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8" w:type="dxa"/>
        <w:tblInd w:w="65" w:type="dxa"/>
        <w:tblCellMar>
          <w:left w:w="70" w:type="dxa"/>
          <w:right w:w="70" w:type="dxa"/>
        </w:tblCellMar>
        <w:tblLook w:val="04A0" w:firstRow="1" w:lastRow="0" w:firstColumn="1" w:lastColumn="0" w:noHBand="0" w:noVBand="1"/>
      </w:tblPr>
      <w:tblGrid>
        <w:gridCol w:w="484"/>
        <w:gridCol w:w="1430"/>
        <w:gridCol w:w="762"/>
        <w:gridCol w:w="1744"/>
        <w:gridCol w:w="1038"/>
        <w:gridCol w:w="163"/>
        <w:gridCol w:w="869"/>
        <w:gridCol w:w="750"/>
        <w:gridCol w:w="798"/>
        <w:gridCol w:w="432"/>
        <w:gridCol w:w="1758"/>
      </w:tblGrid>
      <w:tr w:rsidR="002F360D" w:rsidRPr="002F360D" w:rsidTr="00DD29C3">
        <w:trPr>
          <w:trHeight w:val="14"/>
        </w:trPr>
        <w:tc>
          <w:tcPr>
            <w:tcW w:w="10227"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28"/>
                <w:szCs w:val="28"/>
                <w:lang w:eastAsia="cs-CZ"/>
              </w:rPr>
            </w:pPr>
            <w:r w:rsidRPr="002F360D">
              <w:rPr>
                <w:rFonts w:ascii="Verdana" w:eastAsia="Times New Roman" w:hAnsi="Verdana" w:cs="Times New Roman"/>
                <w:b/>
                <w:bCs/>
                <w:color w:val="000000"/>
                <w:sz w:val="28"/>
                <w:szCs w:val="28"/>
                <w:lang w:eastAsia="cs-CZ"/>
              </w:rPr>
              <w:t>SMLOUVA O SPOLUPRÁCI</w:t>
            </w:r>
          </w:p>
        </w:tc>
      </w:tr>
      <w:tr w:rsidR="002F360D" w:rsidRPr="002F360D" w:rsidTr="00DD29C3">
        <w:trPr>
          <w:trHeight w:val="14"/>
        </w:trPr>
        <w:tc>
          <w:tcPr>
            <w:tcW w:w="10227" w:type="dxa"/>
            <w:gridSpan w:val="11"/>
            <w:tcBorders>
              <w:top w:val="single" w:sz="4" w:space="0" w:color="auto"/>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i/>
                <w:iCs/>
                <w:color w:val="000000"/>
                <w:sz w:val="17"/>
                <w:szCs w:val="17"/>
                <w:lang w:eastAsia="cs-CZ"/>
              </w:rPr>
            </w:pPr>
            <w:r w:rsidRPr="002F360D">
              <w:rPr>
                <w:rFonts w:ascii="Verdana" w:eastAsia="Times New Roman" w:hAnsi="Verdana" w:cs="Times New Roman"/>
                <w:i/>
                <w:iCs/>
                <w:color w:val="000000"/>
                <w:sz w:val="17"/>
                <w:szCs w:val="17"/>
                <w:lang w:eastAsia="cs-CZ"/>
              </w:rPr>
              <w:t xml:space="preserve">kterou dnešního dne uzavírají mezi sebou tyto </w:t>
            </w:r>
            <w:r w:rsidRPr="002F360D">
              <w:rPr>
                <w:rFonts w:ascii="Verdana" w:eastAsia="Times New Roman" w:hAnsi="Verdana" w:cs="Times New Roman"/>
                <w:b/>
                <w:bCs/>
                <w:i/>
                <w:iCs/>
                <w:color w:val="000000"/>
                <w:sz w:val="17"/>
                <w:szCs w:val="17"/>
                <w:lang w:eastAsia="cs-CZ"/>
              </w:rPr>
              <w:t>smluvní strany</w:t>
            </w:r>
            <w:r w:rsidRPr="002F360D">
              <w:rPr>
                <w:rFonts w:ascii="Verdana" w:eastAsia="Times New Roman" w:hAnsi="Verdana" w:cs="Times New Roman"/>
                <w:i/>
                <w:iCs/>
                <w:color w:val="000000"/>
                <w:sz w:val="17"/>
                <w:szCs w:val="17"/>
                <w:lang w:eastAsia="cs-CZ"/>
              </w:rPr>
              <w:t xml:space="preserve">: </w:t>
            </w:r>
          </w:p>
        </w:tc>
      </w:tr>
      <w:tr w:rsidR="002F360D" w:rsidRPr="002F360D" w:rsidTr="00DD29C3">
        <w:trPr>
          <w:trHeight w:val="3"/>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11"/>
        </w:trPr>
        <w:tc>
          <w:tcPr>
            <w:tcW w:w="8038" w:type="dxa"/>
            <w:gridSpan w:val="9"/>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Cestovní kancelář - </w:t>
            </w:r>
            <w:r w:rsidRPr="002F360D">
              <w:rPr>
                <w:rFonts w:ascii="Verdana" w:eastAsia="Times New Roman" w:hAnsi="Verdana" w:cs="Times New Roman"/>
                <w:b/>
                <w:bCs/>
                <w:color w:val="000000"/>
                <w:sz w:val="17"/>
                <w:szCs w:val="17"/>
                <w:lang w:eastAsia="cs-CZ"/>
              </w:rPr>
              <w:t>KRISTOF, s. r. o.</w:t>
            </w:r>
            <w:r w:rsidRPr="002F360D">
              <w:rPr>
                <w:rFonts w:ascii="Verdana" w:eastAsia="Times New Roman" w:hAnsi="Verdana" w:cs="Times New Roman"/>
                <w:color w:val="000000"/>
                <w:sz w:val="17"/>
                <w:szCs w:val="17"/>
                <w:lang w:eastAsia="cs-CZ"/>
              </w:rPr>
              <w:t>, IČ: 62 73 93 87</w:t>
            </w: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11"/>
        </w:trPr>
        <w:tc>
          <w:tcPr>
            <w:tcW w:w="8038" w:type="dxa"/>
            <w:gridSpan w:val="9"/>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se sídlem Moskevská 28, 460 01 Liberec</w:t>
            </w: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11"/>
        </w:trPr>
        <w:tc>
          <w:tcPr>
            <w:tcW w:w="8038" w:type="dxa"/>
            <w:gridSpan w:val="9"/>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zapsaná u Krajského soudu v Ústí nad Labem, oddíl C, vložka 8557</w:t>
            </w: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11"/>
        </w:trPr>
        <w:tc>
          <w:tcPr>
            <w:tcW w:w="8038" w:type="dxa"/>
            <w:gridSpan w:val="9"/>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tel.: 485 102 862, fax.: 485 102 863</w:t>
            </w: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11"/>
        </w:trPr>
        <w:tc>
          <w:tcPr>
            <w:tcW w:w="2676" w:type="dxa"/>
            <w:gridSpan w:val="3"/>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 /dále jen </w:t>
            </w:r>
            <w:r w:rsidRPr="002F360D">
              <w:rPr>
                <w:rFonts w:ascii="Verdana" w:eastAsia="Times New Roman" w:hAnsi="Verdana" w:cs="Times New Roman"/>
                <w:b/>
                <w:bCs/>
                <w:color w:val="000000"/>
                <w:sz w:val="17"/>
                <w:szCs w:val="17"/>
                <w:lang w:eastAsia="cs-CZ"/>
              </w:rPr>
              <w:t>"KRISTOF"</w:t>
            </w:r>
            <w:r w:rsidRPr="002F360D">
              <w:rPr>
                <w:rFonts w:ascii="Verdana" w:eastAsia="Times New Roman" w:hAnsi="Verdana" w:cs="Times New Roman"/>
                <w:color w:val="000000"/>
                <w:sz w:val="17"/>
                <w:szCs w:val="17"/>
                <w:lang w:eastAsia="cs-CZ"/>
              </w:rPr>
              <w:t>/</w:t>
            </w: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2"/>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a</w:t>
            </w: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2"/>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11"/>
        </w:trPr>
        <w:tc>
          <w:tcPr>
            <w:tcW w:w="10227" w:type="dxa"/>
            <w:gridSpan w:val="11"/>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ZŠ s rozšířeným vyučováním cizích jazyků</w:t>
            </w:r>
          </w:p>
        </w:tc>
      </w:tr>
      <w:tr w:rsidR="002F360D" w:rsidRPr="002F360D" w:rsidTr="00DD29C3">
        <w:trPr>
          <w:trHeight w:val="11"/>
        </w:trPr>
        <w:tc>
          <w:tcPr>
            <w:tcW w:w="10227" w:type="dxa"/>
            <w:gridSpan w:val="11"/>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Metelkovo náměstí 968</w:t>
            </w:r>
          </w:p>
        </w:tc>
      </w:tr>
      <w:tr w:rsidR="002F360D" w:rsidRPr="002F360D" w:rsidTr="00DD29C3">
        <w:trPr>
          <w:trHeight w:val="11"/>
        </w:trPr>
        <w:tc>
          <w:tcPr>
            <w:tcW w:w="10227" w:type="dxa"/>
            <w:gridSpan w:val="11"/>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415 01 Teplice</w:t>
            </w:r>
          </w:p>
        </w:tc>
      </w:tr>
      <w:tr w:rsidR="002F360D" w:rsidRPr="002F360D" w:rsidTr="00DD29C3">
        <w:trPr>
          <w:trHeight w:val="7"/>
        </w:trPr>
        <w:tc>
          <w:tcPr>
            <w:tcW w:w="10227" w:type="dxa"/>
            <w:gridSpan w:val="11"/>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2676" w:type="dxa"/>
            <w:gridSpan w:val="3"/>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 /dále jen </w:t>
            </w:r>
            <w:r w:rsidRPr="002F360D">
              <w:rPr>
                <w:rFonts w:ascii="Verdana" w:eastAsia="Times New Roman" w:hAnsi="Verdana" w:cs="Times New Roman"/>
                <w:b/>
                <w:bCs/>
                <w:color w:val="000000"/>
                <w:sz w:val="17"/>
                <w:szCs w:val="17"/>
                <w:lang w:eastAsia="cs-CZ"/>
              </w:rPr>
              <w:t>"Zájemce"</w:t>
            </w:r>
            <w:r w:rsidRPr="002F360D">
              <w:rPr>
                <w:rFonts w:ascii="Verdana" w:eastAsia="Times New Roman" w:hAnsi="Verdana" w:cs="Times New Roman"/>
                <w:color w:val="000000"/>
                <w:sz w:val="17"/>
                <w:szCs w:val="17"/>
                <w:lang w:eastAsia="cs-CZ"/>
              </w:rPr>
              <w:t>/</w:t>
            </w: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11"/>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 xml:space="preserve">takto: </w:t>
            </w:r>
          </w:p>
        </w:tc>
      </w:tr>
      <w:tr w:rsidR="002F360D" w:rsidRPr="002F360D" w:rsidTr="00DD29C3">
        <w:trPr>
          <w:trHeight w:val="8"/>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I.</w:t>
            </w:r>
          </w:p>
        </w:tc>
      </w:tr>
      <w:tr w:rsidR="002F360D" w:rsidRPr="002F360D" w:rsidTr="00DD29C3">
        <w:trPr>
          <w:trHeight w:val="11"/>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Předmět smlouvy</w:t>
            </w:r>
          </w:p>
        </w:tc>
      </w:tr>
      <w:tr w:rsidR="002F360D" w:rsidRPr="002F360D" w:rsidTr="00DD29C3">
        <w:trPr>
          <w:trHeight w:val="2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r w:rsidRPr="002F360D">
              <w:rPr>
                <w:rFonts w:ascii="Verdana" w:eastAsia="Times New Roman" w:hAnsi="Verdana" w:cs="Times New Roman"/>
                <w:color w:val="000000"/>
                <w:sz w:val="18"/>
                <w:szCs w:val="18"/>
                <w:lang w:eastAsia="cs-CZ"/>
              </w:rPr>
              <w:t xml:space="preserve">1. </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KRISTOF je cestovní kanceláří poskytující služby poznávacího zájezdu/jazykového kurzu pro školní a jiné kolektivy. KRISTOF má zájem uzavřít s dále ve smlouvě určeným počtem osob cestovní smlouvy / smlouvy o zájezdu, na jejichž základě se poznávací zájezd/jazykový kurz uskuteční.</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430"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62"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744"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038"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40"/>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r w:rsidRPr="002F360D">
              <w:rPr>
                <w:rFonts w:ascii="Verdana" w:eastAsia="Times New Roman" w:hAnsi="Verdana" w:cs="Times New Roman"/>
                <w:color w:val="000000"/>
                <w:sz w:val="18"/>
                <w:szCs w:val="18"/>
                <w:lang w:eastAsia="cs-CZ"/>
              </w:rPr>
              <w:t>2.</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Zájemce je vzdělávacím zařízením a je na základě své vlastní poptávky poznávacího zájezdu/jazykového kurzu schopen zprostředkovat uzavření jednotlivých cestovních smluv / smluv o zájezdu, jakož i zajistit pedagogický dozor a další činnosti v průběhu poznávacího zájezdu/jazykového kurzu. Zájemce se zavazuje vyvíjet činnost směřující k tomu, aby mohl KRISTOF uzavřít s dále uvedeným počtem osob cestovní smlouvy / smlouvy o zájezdu.</w:t>
            </w:r>
          </w:p>
        </w:tc>
      </w:tr>
      <w:tr w:rsidR="002F360D" w:rsidRPr="002F360D" w:rsidTr="00DD29C3">
        <w:trPr>
          <w:trHeight w:val="6"/>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43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62"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2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r w:rsidRPr="002F360D">
              <w:rPr>
                <w:rFonts w:ascii="Verdana" w:eastAsia="Times New Roman" w:hAnsi="Verdana" w:cs="Times New Roman"/>
                <w:color w:val="000000"/>
                <w:sz w:val="18"/>
                <w:szCs w:val="18"/>
                <w:lang w:eastAsia="cs-CZ"/>
              </w:rPr>
              <w:t>3.</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KRISTOF se zavazuje za úspěšnou činnost zájemce, tj. za uzavření dále uvedeného počtu cestovních smluv / smluv o zájezdu, poskytnout zájemci zdarma místa v poznávacím zájezdu/jazykovém kurzu pro pedagogický dozor, a to v rozsahu a kvalitě stejné, jako bude poskytována účastníkům na základě cestovní smlouvy / smlouvy o zájezdu.</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430"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c>
          <w:tcPr>
            <w:tcW w:w="762"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c>
          <w:tcPr>
            <w:tcW w:w="1744"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c>
          <w:tcPr>
            <w:tcW w:w="1038"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8"/>
                <w:szCs w:val="18"/>
                <w:lang w:eastAsia="cs-CZ"/>
              </w:rPr>
            </w:pPr>
          </w:p>
        </w:tc>
      </w:tr>
      <w:tr w:rsidR="002F360D" w:rsidRPr="002F360D" w:rsidTr="00DD29C3">
        <w:trPr>
          <w:trHeight w:val="18"/>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r w:rsidRPr="002F360D">
              <w:rPr>
                <w:rFonts w:ascii="Verdana" w:eastAsia="Times New Roman" w:hAnsi="Verdana" w:cs="Times New Roman"/>
                <w:color w:val="000000"/>
                <w:sz w:val="18"/>
                <w:szCs w:val="18"/>
                <w:lang w:eastAsia="cs-CZ"/>
              </w:rPr>
              <w:t>4.</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Zájemce se zavazuje po dobu konání poznávacího zájezdu/jazykového kurzu zajistit prostřednictvím doprovodu níže uvedené činnosti.</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43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62"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p>
        </w:tc>
      </w:tr>
      <w:tr w:rsidR="002F360D" w:rsidRPr="002F360D" w:rsidTr="00DD29C3">
        <w:trPr>
          <w:trHeight w:val="9"/>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II.</w:t>
            </w:r>
          </w:p>
        </w:tc>
      </w:tr>
      <w:tr w:rsidR="002F360D" w:rsidRPr="002F360D" w:rsidTr="00DD29C3">
        <w:trPr>
          <w:trHeight w:val="11"/>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Práva a povinnosti Zájemce</w:t>
            </w:r>
          </w:p>
        </w:tc>
      </w:tr>
      <w:tr w:rsidR="002F360D" w:rsidRPr="002F360D" w:rsidTr="00DD29C3">
        <w:trPr>
          <w:trHeight w:val="1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1. </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Zájemce se zavazuje vyvíjet činnost směřující k tomu, aby mohl KRISTOF uzavřít s jednotlivými účastníky cestovní smlouvy / smlouvy o zájezdu pro jazykový kurz v </w:t>
            </w:r>
            <w:proofErr w:type="spellStart"/>
            <w:r w:rsidRPr="002F360D">
              <w:rPr>
                <w:rFonts w:ascii="Verdana" w:eastAsia="Times New Roman" w:hAnsi="Verdana" w:cs="Times New Roman"/>
                <w:color w:val="000000"/>
                <w:sz w:val="17"/>
                <w:szCs w:val="17"/>
                <w:lang w:eastAsia="cs-CZ"/>
              </w:rPr>
              <w:t>Bournemouth</w:t>
            </w:r>
            <w:proofErr w:type="spellEnd"/>
            <w:r w:rsidRPr="002F360D">
              <w:rPr>
                <w:rFonts w:ascii="Verdana" w:eastAsia="Times New Roman" w:hAnsi="Verdana" w:cs="Times New Roman"/>
                <w:color w:val="000000"/>
                <w:sz w:val="17"/>
                <w:szCs w:val="17"/>
                <w:lang w:eastAsia="cs-CZ"/>
              </w:rPr>
              <w:t>.</w:t>
            </w:r>
          </w:p>
        </w:tc>
      </w:tr>
      <w:tr w:rsidR="002F360D" w:rsidRPr="002F360D" w:rsidTr="00DD29C3">
        <w:trPr>
          <w:trHeight w:val="18"/>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Za tuto činnost se považuje především propagace zájezdu/kurzu a poskytování informací o zájezdu/kurzu účastníkům, dále pak zajištění podpisu cestovních smluv účastníky.</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4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2.</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Zájemce se dále zavazuje zajistit pedagogický dozor a řádně tento dozor proškolit z práv a povinností takového dozoru, a to i ve smyslu činností, které bude coby zástupce Zájemce zajišťovat v průběhu zájezdu/kurzu. Zájemce zajistí, aby osoby určené coby pedagogický dozor byly seznámeny s obsahem Pokynů pro pedagogy a zajistil jejich podpis na tomto dokumentu, který tvoří přílohu č. 1 a je nedílnou součást této smlouvy.</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95"/>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3.</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Pedagogický dozor smí v průběhu zájezdu/kurzu vykonávat pouze zletilá osoba, a to vždy jedna na každých 17 účastníků zájezdu/kurzu. Pedagogický dozor plně zodpovídá za účastníky zájezdu/kurzu během celého jeho konání, tj. od místa odjezdu až do návratu tamtéž. V tomto ohledu je pedagogický dozor povinen účastníky dostatečně poučit o tom, že po návratu z odpoledního programu do hostitelských rodin či na ubytovnu se nesmějí účastníci zájezdu/kurzu svévolně pohybovat mimo tato zařízení (především ve večerních a nočních hodinách). Hostitelská rodina přebírá částečně zodpovědnost v době pobytu účastníků s hostitelskou rodinou. V případě, že účastníci poruší tyto podmínky a opustí svévolně rodinu, je rodina takové odpovědnosti zbavena. Pedagogický dozor smí po dohodě se zákonnými zástupci účastníka takové vzdálení umožnit, ale pouze za předpokladu předchozího písemného prohlášení těchto zákonných zástupců, ve kterém vezmou na vědomí, že v takovém případě zodpovídají za účastníka pouze oni.</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48"/>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4.</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Pedagogický dozor dále působí jako zástupce zájemce i účastníků zájezdu/kurzu pro komunikaci s KRISTOF po dobu trvání zájezdu/kurzu. V tomto smyslu zajišťuje především kontrolu plnění podmínek zájezdu/kurzu, předává podněty a reklamace účastníků a předává organizační pokyny KRISTOF účastníkům zájezdu/kurzu a zajišťuje jejich plnění všemi účastníky. Případné podněty a reklamace účastníků zájezdu/kurzu musí pedagogický dozor bezodkladně uplatnit u průvodce tak, aby mohly být řešeny na místě samém.</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9"/>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III.</w:t>
            </w:r>
          </w:p>
        </w:tc>
      </w:tr>
      <w:tr w:rsidR="002F360D" w:rsidRPr="002F360D" w:rsidTr="00DD29C3">
        <w:trPr>
          <w:trHeight w:val="11"/>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Práva a povinnosti KRISTOF</w:t>
            </w:r>
          </w:p>
        </w:tc>
      </w:tr>
      <w:tr w:rsidR="002F360D" w:rsidRPr="002F360D" w:rsidTr="00DD29C3">
        <w:trPr>
          <w:trHeight w:val="20"/>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1. </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KRISTOF se zavazuje poskytnout zájezd/kurz za smluvní cenu a dle přiloženého programu v termínu, délce, místě a standardu, který je vymezen v příloze č. 2 </w:t>
            </w:r>
            <w:proofErr w:type="gramStart"/>
            <w:r w:rsidRPr="002F360D">
              <w:rPr>
                <w:rFonts w:ascii="Verdana" w:eastAsia="Times New Roman" w:hAnsi="Verdana" w:cs="Times New Roman"/>
                <w:color w:val="000000"/>
                <w:sz w:val="17"/>
                <w:szCs w:val="17"/>
                <w:lang w:eastAsia="cs-CZ"/>
              </w:rPr>
              <w:t>této</w:t>
            </w:r>
            <w:proofErr w:type="gramEnd"/>
            <w:r w:rsidRPr="002F360D">
              <w:rPr>
                <w:rFonts w:ascii="Verdana" w:eastAsia="Times New Roman" w:hAnsi="Verdana" w:cs="Times New Roman"/>
                <w:color w:val="000000"/>
                <w:sz w:val="17"/>
                <w:szCs w:val="17"/>
                <w:lang w:eastAsia="cs-CZ"/>
              </w:rPr>
              <w:t xml:space="preserve"> smlouvy, která tvoří její nedílnou součást.</w:t>
            </w:r>
          </w:p>
        </w:tc>
      </w:tr>
      <w:tr w:rsidR="002F360D" w:rsidRPr="002F360D" w:rsidTr="00DD29C3">
        <w:trPr>
          <w:trHeight w:val="22"/>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2.</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KRISTOF se zavazuje dodržet cenu zájezdu/kurzu a dohodnutý rozsah a standard služeb za podmínky dodržení termínů ze strany zájemce uvedených v příloze č. 2, tj. především za podmínky včasného zajištění:</w:t>
            </w:r>
          </w:p>
        </w:tc>
      </w:tr>
      <w:tr w:rsidR="002F360D" w:rsidRPr="002F360D" w:rsidTr="00DD29C3">
        <w:trPr>
          <w:trHeight w:val="1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8"/>
                <w:szCs w:val="18"/>
                <w:lang w:eastAsia="cs-CZ"/>
              </w:rPr>
            </w:pPr>
            <w:r w:rsidRPr="002F360D">
              <w:rPr>
                <w:rFonts w:ascii="Verdana" w:eastAsia="Times New Roman" w:hAnsi="Verdana" w:cs="Times New Roman"/>
                <w:color w:val="000000"/>
                <w:sz w:val="18"/>
                <w:szCs w:val="18"/>
                <w:lang w:eastAsia="cs-CZ"/>
              </w:rPr>
              <w:t xml:space="preserve"> - </w:t>
            </w:r>
          </w:p>
        </w:tc>
        <w:tc>
          <w:tcPr>
            <w:tcW w:w="9743" w:type="dxa"/>
            <w:gridSpan w:val="10"/>
            <w:tcBorders>
              <w:top w:val="nil"/>
              <w:left w:val="nil"/>
              <w:bottom w:val="nil"/>
              <w:right w:val="nil"/>
            </w:tcBorders>
            <w:shd w:val="clear" w:color="auto" w:fill="auto"/>
            <w:noWrap/>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uzavření předem dohodnutého počtu účastnických cestovních smluv,</w:t>
            </w:r>
          </w:p>
        </w:tc>
      </w:tr>
      <w:tr w:rsidR="002F360D" w:rsidRPr="002F360D" w:rsidTr="00DD29C3">
        <w:trPr>
          <w:trHeight w:val="1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 - </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uhrazení požadovaných záloh a doplatků, složenkami, platebním příkazem či v hotovosti k rukám Zájemce, který je touto smlouvou zmocněn k vybírání těchto plateb od účastníků,</w:t>
            </w:r>
          </w:p>
        </w:tc>
      </w:tr>
      <w:tr w:rsidR="002F360D" w:rsidRPr="002F360D" w:rsidTr="00DD29C3">
        <w:trPr>
          <w:trHeight w:val="2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 - </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předání všech potřebných informací o účastnících zájezdu/kurzu, tj. jmenný seznam s daty narození, adresami, eventuálními zdravotními problémy účastníku (alergie atp.) a konkrétními ubytovacími požadavky (rozmístění studentů v rodinách atp.).</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2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3.</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KRISTOF se zavazuje poptávaný zájezd/kurz uskutečnit při minimálním počtu účastníků 50 osob, když tento </w:t>
            </w:r>
            <w:r w:rsidRPr="002F360D">
              <w:rPr>
                <w:rFonts w:ascii="Verdana" w:eastAsia="Times New Roman" w:hAnsi="Verdana" w:cs="Times New Roman"/>
                <w:color w:val="000000"/>
                <w:sz w:val="17"/>
                <w:szCs w:val="17"/>
                <w:lang w:eastAsia="cs-CZ"/>
              </w:rPr>
              <w:lastRenderedPageBreak/>
              <w:t xml:space="preserve">závazek vzniká až v případě plné úhrady ceny zájezdu/kurzu všemi účastníky ve výši určené v příloze č. 2. </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40"/>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4.</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Nebude-li činností Zájemce zajištěn výše uvedený počet účastníků zájezdu/kurzu, lze zájezd/kurz uskutečnit na žádost Zájemce i pro menší skupinu účastníků, zajistí-li Zájemce souhlas všech účastníků s navýšením ceny zájezdu/kurzu o poměrnou částku za dopravu. Jiné náklady nebudou menší skupině účastníků k jejich ceně přidávány. Nebude-li zajištěn souhlas všech účastníků menší skupiny, zájezd/kurz se neuskuteční.</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2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5.</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Zástupce KRISTOF po dobu trvání zájezdu/kurzu je vždy průvodce, který provází zájezd/kurz po celou dobu jeho konání a je zmocněn za KRISTOF jednat ve všech věcech týkajících se zájezdu/kurzu, např. předávat pokyny pedagogickému dozoru, vyřizovat stížnosti a reklamace, přijímat plnění atp.</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vAlign w:val="center"/>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r>
      <w:tr w:rsidR="002F360D" w:rsidRPr="002F360D" w:rsidTr="00DD29C3">
        <w:trPr>
          <w:trHeight w:val="13"/>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6.</w:t>
            </w:r>
          </w:p>
        </w:tc>
        <w:tc>
          <w:tcPr>
            <w:tcW w:w="9743" w:type="dxa"/>
            <w:gridSpan w:val="10"/>
            <w:tcBorders>
              <w:top w:val="nil"/>
              <w:left w:val="nil"/>
              <w:bottom w:val="nil"/>
              <w:right w:val="nil"/>
            </w:tcBorders>
            <w:shd w:val="clear" w:color="auto" w:fill="auto"/>
            <w:hideMark/>
          </w:tcPr>
          <w:p w:rsidR="002A65B1"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KRISTOF se zavazuje dodržet smluvní cenu uvedenou v konkrétních ujednáních s výjimkou těchto případů:</w:t>
            </w:r>
          </w:p>
          <w:p w:rsidR="002A65B1" w:rsidRPr="002F360D" w:rsidRDefault="002A65B1" w:rsidP="002F360D">
            <w:pPr>
              <w:spacing w:after="0" w:line="240" w:lineRule="auto"/>
              <w:jc w:val="both"/>
              <w:rPr>
                <w:rFonts w:ascii="Verdana" w:eastAsia="Times New Roman" w:hAnsi="Verdana" w:cs="Times New Roman"/>
                <w:color w:val="000000"/>
                <w:sz w:val="6"/>
                <w:szCs w:val="6"/>
                <w:lang w:eastAsia="cs-CZ"/>
              </w:rPr>
            </w:pPr>
          </w:p>
        </w:tc>
      </w:tr>
      <w:tr w:rsidR="002F360D" w:rsidRPr="002F360D" w:rsidTr="00DD29C3">
        <w:trPr>
          <w:trHeight w:val="1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a)</w:t>
            </w:r>
          </w:p>
        </w:tc>
        <w:tc>
          <w:tcPr>
            <w:tcW w:w="9743" w:type="dxa"/>
            <w:gridSpan w:val="10"/>
            <w:tcBorders>
              <w:top w:val="nil"/>
              <w:left w:val="nil"/>
              <w:bottom w:val="nil"/>
              <w:right w:val="nil"/>
            </w:tcBorders>
            <w:shd w:val="clear" w:color="auto" w:fill="auto"/>
            <w:noWrap/>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změna kurzu ČSOB deviza prodej oproti dni </w:t>
            </w:r>
            <w:proofErr w:type="gramStart"/>
            <w:r w:rsidRPr="002F360D">
              <w:rPr>
                <w:rFonts w:ascii="Verdana" w:eastAsia="Times New Roman" w:hAnsi="Verdana" w:cs="Times New Roman"/>
                <w:color w:val="000000"/>
                <w:sz w:val="17"/>
                <w:szCs w:val="17"/>
                <w:lang w:eastAsia="cs-CZ"/>
              </w:rPr>
              <w:t>17.10.2017</w:t>
            </w:r>
            <w:proofErr w:type="gramEnd"/>
            <w:r w:rsidRPr="002F360D">
              <w:rPr>
                <w:rFonts w:ascii="Verdana" w:eastAsia="Times New Roman" w:hAnsi="Verdana" w:cs="Times New Roman"/>
                <w:color w:val="000000"/>
                <w:sz w:val="17"/>
                <w:szCs w:val="17"/>
                <w:lang w:eastAsia="cs-CZ"/>
              </w:rPr>
              <w:t xml:space="preserve"> o více než 10%</w:t>
            </w:r>
          </w:p>
        </w:tc>
      </w:tr>
      <w:tr w:rsidR="002F360D" w:rsidRPr="002F360D" w:rsidTr="00DD29C3">
        <w:trPr>
          <w:trHeight w:val="1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b)</w:t>
            </w:r>
          </w:p>
        </w:tc>
        <w:tc>
          <w:tcPr>
            <w:tcW w:w="9743" w:type="dxa"/>
            <w:gridSpan w:val="10"/>
            <w:tcBorders>
              <w:top w:val="nil"/>
              <w:left w:val="nil"/>
              <w:bottom w:val="nil"/>
              <w:right w:val="nil"/>
            </w:tcBorders>
            <w:shd w:val="clear" w:color="auto" w:fill="auto"/>
            <w:noWrap/>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změna cen pohonných hmot oproti dni </w:t>
            </w:r>
            <w:proofErr w:type="gramStart"/>
            <w:r w:rsidRPr="002F360D">
              <w:rPr>
                <w:rFonts w:ascii="Verdana" w:eastAsia="Times New Roman" w:hAnsi="Verdana" w:cs="Times New Roman"/>
                <w:color w:val="000000"/>
                <w:sz w:val="17"/>
                <w:szCs w:val="17"/>
                <w:lang w:eastAsia="cs-CZ"/>
              </w:rPr>
              <w:t>17.10.2017</w:t>
            </w:r>
            <w:proofErr w:type="gramEnd"/>
            <w:r w:rsidRPr="002F360D">
              <w:rPr>
                <w:rFonts w:ascii="Verdana" w:eastAsia="Times New Roman" w:hAnsi="Verdana" w:cs="Times New Roman"/>
                <w:color w:val="000000"/>
                <w:sz w:val="17"/>
                <w:szCs w:val="17"/>
                <w:lang w:eastAsia="cs-CZ"/>
              </w:rPr>
              <w:t xml:space="preserve"> o více než 10%</w:t>
            </w:r>
          </w:p>
        </w:tc>
      </w:tr>
      <w:tr w:rsidR="002F360D" w:rsidRPr="002F360D" w:rsidTr="00DD29C3">
        <w:trPr>
          <w:trHeight w:val="1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c)</w:t>
            </w:r>
          </w:p>
        </w:tc>
        <w:tc>
          <w:tcPr>
            <w:tcW w:w="9743" w:type="dxa"/>
            <w:gridSpan w:val="10"/>
            <w:tcBorders>
              <w:top w:val="nil"/>
              <w:left w:val="nil"/>
              <w:bottom w:val="nil"/>
              <w:right w:val="nil"/>
            </w:tcBorders>
            <w:shd w:val="clear" w:color="auto" w:fill="auto"/>
            <w:noWrap/>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nepředvídaných změn ze strany zahraničních partnerů</w:t>
            </w:r>
          </w:p>
        </w:tc>
      </w:tr>
      <w:tr w:rsidR="002F360D" w:rsidRPr="002F360D" w:rsidTr="00DD29C3">
        <w:trPr>
          <w:trHeight w:val="1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Představuje-li zvýšení ceny poznávacího zájezdu/jazykového kurzu v </w:t>
            </w:r>
            <w:proofErr w:type="gramStart"/>
            <w:r w:rsidRPr="002F360D">
              <w:rPr>
                <w:rFonts w:ascii="Verdana" w:eastAsia="Times New Roman" w:hAnsi="Verdana" w:cs="Times New Roman"/>
                <w:color w:val="000000"/>
                <w:sz w:val="17"/>
                <w:szCs w:val="17"/>
                <w:lang w:eastAsia="cs-CZ"/>
              </w:rPr>
              <w:t xml:space="preserve">případech </w:t>
            </w:r>
            <w:proofErr w:type="spellStart"/>
            <w:r w:rsidRPr="002F360D">
              <w:rPr>
                <w:rFonts w:ascii="Verdana" w:eastAsia="Times New Roman" w:hAnsi="Verdana" w:cs="Times New Roman"/>
                <w:color w:val="000000"/>
                <w:sz w:val="17"/>
                <w:szCs w:val="17"/>
                <w:lang w:eastAsia="cs-CZ"/>
              </w:rPr>
              <w:t>a,b,c</w:t>
            </w:r>
            <w:proofErr w:type="spellEnd"/>
            <w:r w:rsidRPr="002F360D">
              <w:rPr>
                <w:rFonts w:ascii="Verdana" w:eastAsia="Times New Roman" w:hAnsi="Verdana" w:cs="Times New Roman"/>
                <w:color w:val="000000"/>
                <w:sz w:val="17"/>
                <w:szCs w:val="17"/>
                <w:lang w:eastAsia="cs-CZ"/>
              </w:rPr>
              <w:t xml:space="preserve"> více</w:t>
            </w:r>
            <w:proofErr w:type="gramEnd"/>
            <w:r w:rsidRPr="002F360D">
              <w:rPr>
                <w:rFonts w:ascii="Verdana" w:eastAsia="Times New Roman" w:hAnsi="Verdana" w:cs="Times New Roman"/>
                <w:color w:val="000000"/>
                <w:sz w:val="17"/>
                <w:szCs w:val="17"/>
                <w:lang w:eastAsia="cs-CZ"/>
              </w:rPr>
              <w:t xml:space="preserve"> než 10% původní ceny, má objednávající právo od smlouvy odstoupit bez uhrazení stornovacích poplatků.</w:t>
            </w:r>
          </w:p>
        </w:tc>
      </w:tr>
      <w:tr w:rsidR="002F360D" w:rsidRPr="002F360D" w:rsidTr="00DD29C3">
        <w:trPr>
          <w:trHeight w:val="1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d)</w:t>
            </w:r>
          </w:p>
        </w:tc>
        <w:tc>
          <w:tcPr>
            <w:tcW w:w="9743" w:type="dxa"/>
            <w:gridSpan w:val="10"/>
            <w:tcBorders>
              <w:top w:val="nil"/>
              <w:left w:val="nil"/>
              <w:bottom w:val="nil"/>
              <w:right w:val="nil"/>
            </w:tcBorders>
            <w:shd w:val="clear" w:color="auto" w:fill="auto"/>
            <w:noWrap/>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zavedení vízové povinnosti se státy tranzitní nebo cílové země</w:t>
            </w:r>
          </w:p>
        </w:tc>
      </w:tr>
      <w:tr w:rsidR="002F360D" w:rsidRPr="002F360D" w:rsidTr="00DD29C3">
        <w:trPr>
          <w:trHeight w:val="18"/>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e)</w:t>
            </w:r>
          </w:p>
        </w:tc>
        <w:tc>
          <w:tcPr>
            <w:tcW w:w="9743" w:type="dxa"/>
            <w:gridSpan w:val="10"/>
            <w:tcBorders>
              <w:top w:val="nil"/>
              <w:left w:val="nil"/>
              <w:bottom w:val="nil"/>
              <w:right w:val="nil"/>
            </w:tcBorders>
            <w:shd w:val="clear" w:color="auto" w:fill="auto"/>
            <w:hideMark/>
          </w:tcPr>
          <w:p w:rsid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změna sazeb DPH či jiných daní spojených se službami na jazykovém kurzu či poznávacím zájezdu po podepsání smlouvy</w:t>
            </w:r>
          </w:p>
          <w:p w:rsidR="002A65B1" w:rsidRPr="002F360D" w:rsidRDefault="002A65B1" w:rsidP="002F360D">
            <w:pPr>
              <w:spacing w:after="0" w:line="240" w:lineRule="auto"/>
              <w:jc w:val="both"/>
              <w:rPr>
                <w:rFonts w:ascii="Verdana" w:eastAsia="Times New Roman" w:hAnsi="Verdana" w:cs="Times New Roman"/>
                <w:color w:val="000000"/>
                <w:sz w:val="6"/>
                <w:szCs w:val="6"/>
                <w:lang w:eastAsia="cs-CZ"/>
              </w:rPr>
            </w:pP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45"/>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7.</w:t>
            </w:r>
          </w:p>
        </w:tc>
        <w:tc>
          <w:tcPr>
            <w:tcW w:w="9743" w:type="dxa"/>
            <w:gridSpan w:val="10"/>
            <w:tcBorders>
              <w:top w:val="nil"/>
              <w:left w:val="nil"/>
              <w:right w:val="nil"/>
            </w:tcBorders>
            <w:shd w:val="clear" w:color="auto" w:fill="auto"/>
            <w:hideMark/>
          </w:tcPr>
          <w:p w:rsidR="002F360D" w:rsidRDefault="002F360D" w:rsidP="002F360D">
            <w:pPr>
              <w:spacing w:after="0" w:line="240" w:lineRule="auto"/>
              <w:jc w:val="both"/>
              <w:rPr>
                <w:rFonts w:ascii="Verdana" w:eastAsia="Times New Roman" w:hAnsi="Verdana" w:cs="Times New Roman"/>
                <w:color w:val="000000"/>
                <w:sz w:val="17"/>
                <w:szCs w:val="17"/>
                <w:lang w:eastAsia="cs-CZ"/>
              </w:rPr>
            </w:pPr>
            <w:proofErr w:type="spellStart"/>
            <w:r w:rsidRPr="002F360D">
              <w:rPr>
                <w:rFonts w:ascii="Verdana" w:eastAsia="Times New Roman" w:hAnsi="Verdana" w:cs="Times New Roman"/>
                <w:color w:val="000000"/>
                <w:sz w:val="17"/>
                <w:szCs w:val="17"/>
                <w:lang w:eastAsia="cs-CZ"/>
              </w:rPr>
              <w:t>Stornopodmínky</w:t>
            </w:r>
            <w:proofErr w:type="spellEnd"/>
            <w:r w:rsidRPr="002F360D">
              <w:rPr>
                <w:rFonts w:ascii="Verdana" w:eastAsia="Times New Roman" w:hAnsi="Verdana" w:cs="Times New Roman"/>
                <w:color w:val="000000"/>
                <w:sz w:val="17"/>
                <w:szCs w:val="17"/>
                <w:lang w:eastAsia="cs-CZ"/>
              </w:rPr>
              <w:t xml:space="preserve"> - vzhledem k tomu, že na základě smlouvy a Vašich záloh poukazujeme platby našim partnerům v ČR i v cizině, jsme nuceni Vám v případě odstoupení od smlouvy účtovat níže uvedené stornopoplatky. Rozhodující pro určení výše stornopoplatku je den doručení Vašeho storna do kanceláře KRISTOF. Stornopoplatek není účtován, pokud jsou za stornované osoby náhradníci. Výše stornopoplatků - bylo-li storno podáno:</w:t>
            </w:r>
          </w:p>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r>
      <w:tr w:rsidR="002F360D" w:rsidRPr="002F360D" w:rsidTr="00DD29C3">
        <w:trPr>
          <w:trHeight w:val="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ode dne podpisu smlouvy až 120 dnů před odjezdem 1.000 Kč</w:t>
            </w:r>
          </w:p>
        </w:tc>
      </w:tr>
      <w:tr w:rsidR="002F360D" w:rsidRPr="002F360D" w:rsidTr="00DD29C3">
        <w:trPr>
          <w:trHeight w:val="11"/>
        </w:trPr>
        <w:tc>
          <w:tcPr>
            <w:tcW w:w="484" w:type="dxa"/>
            <w:tcBorders>
              <w:top w:val="nil"/>
              <w:left w:val="nil"/>
              <w:bottom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3935" w:type="dxa"/>
            <w:gridSpan w:val="3"/>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více než 60 dnů před odjezdem</w:t>
            </w:r>
          </w:p>
        </w:tc>
        <w:tc>
          <w:tcPr>
            <w:tcW w:w="1201" w:type="dxa"/>
            <w:gridSpan w:val="2"/>
            <w:shd w:val="clear" w:color="auto" w:fill="auto"/>
            <w:noWrap/>
            <w:hideMark/>
          </w:tcPr>
          <w:p w:rsidR="002F360D" w:rsidRPr="002F360D" w:rsidRDefault="002F360D" w:rsidP="002F360D">
            <w:pPr>
              <w:spacing w:after="0" w:line="240" w:lineRule="auto"/>
              <w:jc w:val="center"/>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w:t>
            </w:r>
          </w:p>
        </w:tc>
        <w:tc>
          <w:tcPr>
            <w:tcW w:w="2849" w:type="dxa"/>
            <w:gridSpan w:val="4"/>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30% ceny zájezdu/osobu</w:t>
            </w:r>
          </w:p>
        </w:tc>
        <w:tc>
          <w:tcPr>
            <w:tcW w:w="175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3935" w:type="dxa"/>
            <w:gridSpan w:val="3"/>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59 dnů - 30 dnů před odjezdem</w:t>
            </w:r>
          </w:p>
        </w:tc>
        <w:tc>
          <w:tcPr>
            <w:tcW w:w="1201" w:type="dxa"/>
            <w:gridSpan w:val="2"/>
            <w:shd w:val="clear" w:color="auto" w:fill="auto"/>
            <w:noWrap/>
            <w:hideMark/>
          </w:tcPr>
          <w:p w:rsidR="002F360D" w:rsidRPr="002F360D" w:rsidRDefault="002F360D" w:rsidP="002F360D">
            <w:pPr>
              <w:spacing w:after="0" w:line="240" w:lineRule="auto"/>
              <w:jc w:val="center"/>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w:t>
            </w:r>
          </w:p>
        </w:tc>
        <w:tc>
          <w:tcPr>
            <w:tcW w:w="2849" w:type="dxa"/>
            <w:gridSpan w:val="4"/>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50% ceny zájezdu/osobu</w:t>
            </w:r>
          </w:p>
        </w:tc>
        <w:tc>
          <w:tcPr>
            <w:tcW w:w="175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3935" w:type="dxa"/>
            <w:gridSpan w:val="3"/>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29 dnů - 15 dnů před odjezdem</w:t>
            </w:r>
          </w:p>
        </w:tc>
        <w:tc>
          <w:tcPr>
            <w:tcW w:w="1201" w:type="dxa"/>
            <w:gridSpan w:val="2"/>
            <w:shd w:val="clear" w:color="auto" w:fill="auto"/>
            <w:noWrap/>
            <w:hideMark/>
          </w:tcPr>
          <w:p w:rsidR="002F360D" w:rsidRPr="002F360D" w:rsidRDefault="002F360D" w:rsidP="002F360D">
            <w:pPr>
              <w:spacing w:after="0" w:line="240" w:lineRule="auto"/>
              <w:jc w:val="center"/>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w:t>
            </w:r>
          </w:p>
        </w:tc>
        <w:tc>
          <w:tcPr>
            <w:tcW w:w="2849" w:type="dxa"/>
            <w:gridSpan w:val="4"/>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70% ceny zájezdu/osobu</w:t>
            </w:r>
          </w:p>
        </w:tc>
        <w:tc>
          <w:tcPr>
            <w:tcW w:w="175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3935" w:type="dxa"/>
            <w:gridSpan w:val="3"/>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14 dnů - 7 dnů před odjezdem</w:t>
            </w:r>
          </w:p>
        </w:tc>
        <w:tc>
          <w:tcPr>
            <w:tcW w:w="1201" w:type="dxa"/>
            <w:gridSpan w:val="2"/>
            <w:shd w:val="clear" w:color="auto" w:fill="auto"/>
            <w:noWrap/>
            <w:hideMark/>
          </w:tcPr>
          <w:p w:rsidR="002F360D" w:rsidRPr="002F360D" w:rsidRDefault="002F360D" w:rsidP="002F360D">
            <w:pPr>
              <w:spacing w:after="0" w:line="240" w:lineRule="auto"/>
              <w:jc w:val="center"/>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w:t>
            </w:r>
          </w:p>
        </w:tc>
        <w:tc>
          <w:tcPr>
            <w:tcW w:w="2849" w:type="dxa"/>
            <w:gridSpan w:val="4"/>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90% ceny zájezdu/osobu</w:t>
            </w:r>
          </w:p>
        </w:tc>
        <w:tc>
          <w:tcPr>
            <w:tcW w:w="1758" w:type="dxa"/>
            <w:tcBorders>
              <w:top w:val="nil"/>
              <w:left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3935" w:type="dxa"/>
            <w:gridSpan w:val="3"/>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6 a méně dnů před odjezdem</w:t>
            </w:r>
          </w:p>
        </w:tc>
        <w:tc>
          <w:tcPr>
            <w:tcW w:w="1201" w:type="dxa"/>
            <w:gridSpan w:val="2"/>
            <w:shd w:val="clear" w:color="auto" w:fill="auto"/>
            <w:noWrap/>
            <w:hideMark/>
          </w:tcPr>
          <w:p w:rsidR="002F360D" w:rsidRPr="002F360D" w:rsidRDefault="002F360D" w:rsidP="002F360D">
            <w:pPr>
              <w:spacing w:after="0" w:line="240" w:lineRule="auto"/>
              <w:jc w:val="center"/>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w:t>
            </w:r>
          </w:p>
        </w:tc>
        <w:tc>
          <w:tcPr>
            <w:tcW w:w="2849" w:type="dxa"/>
            <w:gridSpan w:val="4"/>
            <w:shd w:val="clear" w:color="auto" w:fill="auto"/>
            <w:noWrap/>
            <w:hideMark/>
          </w:tcPr>
          <w:p w:rsid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100% ceny zájezdu/osobu</w:t>
            </w:r>
          </w:p>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58"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4"/>
        </w:trPr>
        <w:tc>
          <w:tcPr>
            <w:tcW w:w="484" w:type="dxa"/>
            <w:tcBorders>
              <w:top w:val="nil"/>
              <w:left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left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8"/>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IV.</w:t>
            </w:r>
          </w:p>
        </w:tc>
      </w:tr>
      <w:tr w:rsidR="002F360D" w:rsidRPr="002F360D" w:rsidTr="00DD29C3">
        <w:trPr>
          <w:trHeight w:val="11"/>
        </w:trPr>
        <w:tc>
          <w:tcPr>
            <w:tcW w:w="10227" w:type="dxa"/>
            <w:gridSpan w:val="11"/>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b/>
                <w:bCs/>
                <w:color w:val="000000"/>
                <w:sz w:val="17"/>
                <w:szCs w:val="17"/>
                <w:lang w:eastAsia="cs-CZ"/>
              </w:rPr>
            </w:pPr>
            <w:r w:rsidRPr="002F360D">
              <w:rPr>
                <w:rFonts w:ascii="Verdana" w:eastAsia="Times New Roman" w:hAnsi="Verdana" w:cs="Times New Roman"/>
                <w:b/>
                <w:bCs/>
                <w:color w:val="000000"/>
                <w:sz w:val="17"/>
                <w:szCs w:val="17"/>
                <w:lang w:eastAsia="cs-CZ"/>
              </w:rPr>
              <w:t>Závěrečná ustanovení</w:t>
            </w:r>
          </w:p>
        </w:tc>
      </w:tr>
      <w:tr w:rsidR="002F360D" w:rsidRPr="002F360D" w:rsidTr="00DD29C3">
        <w:trPr>
          <w:trHeight w:val="29"/>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1. </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Smluvní strany shodně prohlašují, že tato smlouva byla sepsána na základě jejich pravé, svobodné a vážně projevené vůle a v souladu s platnými právními předpisy, a že jim nejsou známy žádné okolnosti ani překážky bránící uzavření této smlouvy.</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2"/>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2.</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K této smlouvě mohou být se souhlasem smluvních stran písemně uzavřena dodatečná ujednání či dodatky.</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3.</w:t>
            </w:r>
          </w:p>
        </w:tc>
        <w:tc>
          <w:tcPr>
            <w:tcW w:w="9743" w:type="dxa"/>
            <w:gridSpan w:val="10"/>
            <w:tcBorders>
              <w:top w:val="nil"/>
              <w:left w:val="nil"/>
              <w:bottom w:val="nil"/>
              <w:right w:val="nil"/>
            </w:tcBorders>
            <w:shd w:val="clear" w:color="auto" w:fill="auto"/>
            <w:hideMark/>
          </w:tcPr>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Tato smlouva se vyhotovuje ve dvou stejnopisech, z nichž jeden obdrží každá ze smluvních stran.</w:t>
            </w:r>
          </w:p>
        </w:tc>
      </w:tr>
      <w:tr w:rsidR="002F360D" w:rsidRPr="002F360D" w:rsidTr="00DD29C3">
        <w:trPr>
          <w:trHeight w:val="4"/>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351"/>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4.</w:t>
            </w:r>
          </w:p>
        </w:tc>
        <w:tc>
          <w:tcPr>
            <w:tcW w:w="9743" w:type="dxa"/>
            <w:gridSpan w:val="10"/>
            <w:tcBorders>
              <w:top w:val="nil"/>
              <w:left w:val="nil"/>
              <w:bottom w:val="nil"/>
              <w:right w:val="nil"/>
            </w:tcBorders>
            <w:shd w:val="clear" w:color="auto" w:fill="auto"/>
            <w:noWrap/>
            <w:hideMark/>
          </w:tcPr>
          <w:p w:rsidR="002F360D" w:rsidRDefault="002F360D" w:rsidP="002F360D">
            <w:pPr>
              <w:spacing w:after="0" w:line="240" w:lineRule="auto"/>
              <w:jc w:val="both"/>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Smlouva nabývá platnosti a účinnosti dnem jejího podpisu oběma smluvními stranami.</w:t>
            </w:r>
          </w:p>
          <w:p w:rsidR="002F360D" w:rsidRPr="002F360D" w:rsidRDefault="002F360D" w:rsidP="002F360D">
            <w:pPr>
              <w:spacing w:after="0" w:line="240" w:lineRule="auto"/>
              <w:jc w:val="both"/>
              <w:rPr>
                <w:rFonts w:ascii="Verdana" w:eastAsia="Times New Roman" w:hAnsi="Verdana" w:cs="Times New Roman"/>
                <w:color w:val="000000"/>
                <w:sz w:val="17"/>
                <w:szCs w:val="17"/>
                <w:lang w:eastAsia="cs-CZ"/>
              </w:rPr>
            </w:pPr>
          </w:p>
        </w:tc>
      </w:tr>
      <w:tr w:rsidR="002F360D" w:rsidRPr="002F360D" w:rsidTr="00DD29C3">
        <w:trPr>
          <w:trHeight w:val="3"/>
        </w:trPr>
        <w:tc>
          <w:tcPr>
            <w:tcW w:w="484" w:type="dxa"/>
            <w:tcBorders>
              <w:top w:val="nil"/>
              <w:left w:val="nil"/>
              <w:bottom w:val="nil"/>
              <w:right w:val="nil"/>
            </w:tcBorders>
            <w:shd w:val="clear" w:color="auto" w:fill="auto"/>
            <w:noWrap/>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4973" w:type="dxa"/>
            <w:gridSpan w:val="4"/>
            <w:tcBorders>
              <w:top w:val="nil"/>
              <w:left w:val="nil"/>
              <w:bottom w:val="nil"/>
              <w:right w:val="nil"/>
            </w:tcBorders>
            <w:shd w:val="clear" w:color="auto" w:fill="auto"/>
            <w:noWrap/>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3935" w:type="dxa"/>
            <w:gridSpan w:val="3"/>
            <w:tcBorders>
              <w:top w:val="nil"/>
              <w:left w:val="nil"/>
              <w:bottom w:val="nil"/>
              <w:right w:val="nil"/>
            </w:tcBorders>
            <w:shd w:val="clear" w:color="auto" w:fill="auto"/>
            <w:noWrap/>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3935" w:type="dxa"/>
            <w:gridSpan w:val="3"/>
            <w:tcBorders>
              <w:top w:val="nil"/>
              <w:left w:val="nil"/>
              <w:bottom w:val="nil"/>
              <w:right w:val="nil"/>
            </w:tcBorders>
            <w:shd w:val="clear" w:color="auto" w:fill="auto"/>
            <w:noWrap/>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1"/>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6005" w:type="dxa"/>
            <w:gridSpan w:val="6"/>
            <w:tcBorders>
              <w:top w:val="nil"/>
              <w:left w:val="nil"/>
              <w:bottom w:val="nil"/>
              <w:right w:val="nil"/>
            </w:tcBorders>
            <w:shd w:val="clear" w:color="auto" w:fill="auto"/>
            <w:noWrap/>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5"/>
        </w:trPr>
        <w:tc>
          <w:tcPr>
            <w:tcW w:w="484" w:type="dxa"/>
            <w:tcBorders>
              <w:top w:val="nil"/>
              <w:left w:val="nil"/>
              <w:bottom w:val="nil"/>
              <w:right w:val="nil"/>
            </w:tcBorders>
            <w:shd w:val="clear" w:color="auto" w:fill="auto"/>
            <w:noWrap/>
            <w:vAlign w:val="bottom"/>
            <w:hideMark/>
          </w:tcPr>
          <w:p w:rsidR="002F360D" w:rsidRDefault="002F360D" w:rsidP="002F360D">
            <w:pPr>
              <w:spacing w:after="0" w:line="240" w:lineRule="auto"/>
              <w:rPr>
                <w:rFonts w:ascii="Verdana" w:eastAsia="Times New Roman" w:hAnsi="Verdana" w:cs="Times New Roman"/>
                <w:color w:val="000000"/>
                <w:sz w:val="17"/>
                <w:szCs w:val="17"/>
                <w:lang w:eastAsia="cs-CZ"/>
              </w:rPr>
            </w:pPr>
          </w:p>
          <w:p w:rsidR="002A65B1" w:rsidRDefault="002A65B1" w:rsidP="002F360D">
            <w:pPr>
              <w:spacing w:after="0" w:line="240" w:lineRule="auto"/>
              <w:rPr>
                <w:rFonts w:ascii="Verdana" w:eastAsia="Times New Roman" w:hAnsi="Verdana" w:cs="Times New Roman"/>
                <w:color w:val="000000"/>
                <w:sz w:val="17"/>
                <w:szCs w:val="17"/>
                <w:lang w:eastAsia="cs-CZ"/>
              </w:rPr>
            </w:pPr>
          </w:p>
          <w:p w:rsidR="002A65B1" w:rsidRDefault="002A65B1" w:rsidP="002F360D">
            <w:pPr>
              <w:spacing w:after="0" w:line="240" w:lineRule="auto"/>
              <w:rPr>
                <w:rFonts w:ascii="Verdana" w:eastAsia="Times New Roman" w:hAnsi="Verdana" w:cs="Times New Roman"/>
                <w:color w:val="000000"/>
                <w:sz w:val="17"/>
                <w:szCs w:val="17"/>
                <w:lang w:eastAsia="cs-CZ"/>
              </w:rPr>
            </w:pPr>
          </w:p>
          <w:p w:rsidR="002A65B1" w:rsidRPr="002F360D" w:rsidRDefault="002A65B1" w:rsidP="002F360D">
            <w:pPr>
              <w:spacing w:after="0" w:line="240" w:lineRule="auto"/>
              <w:rPr>
                <w:rFonts w:ascii="Verdana" w:eastAsia="Times New Roman" w:hAnsi="Verdana" w:cs="Times New Roman"/>
                <w:color w:val="000000"/>
                <w:sz w:val="17"/>
                <w:szCs w:val="17"/>
                <w:lang w:eastAsia="cs-CZ"/>
              </w:rPr>
            </w:pPr>
          </w:p>
        </w:tc>
        <w:tc>
          <w:tcPr>
            <w:tcW w:w="4973" w:type="dxa"/>
            <w:gridSpan w:val="4"/>
            <w:tcBorders>
              <w:top w:val="nil"/>
              <w:left w:val="nil"/>
              <w:bottom w:val="nil"/>
              <w:right w:val="nil"/>
            </w:tcBorders>
            <w:shd w:val="clear" w:color="auto" w:fill="auto"/>
            <w:noWrap/>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2"/>
        </w:trPr>
        <w:tc>
          <w:tcPr>
            <w:tcW w:w="1914"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V Liberci dne</w:t>
            </w:r>
          </w:p>
        </w:tc>
        <w:tc>
          <w:tcPr>
            <w:tcW w:w="2506"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roofErr w:type="gramStart"/>
            <w:r w:rsidRPr="002F360D">
              <w:rPr>
                <w:rFonts w:ascii="Verdana" w:eastAsia="Times New Roman" w:hAnsi="Verdana" w:cs="Times New Roman"/>
                <w:color w:val="000000"/>
                <w:sz w:val="17"/>
                <w:szCs w:val="17"/>
                <w:lang w:eastAsia="cs-CZ"/>
              </w:rPr>
              <w:t>17.10.2017</w:t>
            </w:r>
            <w:proofErr w:type="gramEnd"/>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jc w:val="right"/>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V</w:t>
            </w:r>
          </w:p>
        </w:tc>
        <w:tc>
          <w:tcPr>
            <w:tcW w:w="1782" w:type="dxa"/>
            <w:gridSpan w:val="3"/>
            <w:tcBorders>
              <w:top w:val="nil"/>
              <w:left w:val="nil"/>
              <w:bottom w:val="single" w:sz="4" w:space="0" w:color="auto"/>
              <w:right w:val="nil"/>
            </w:tcBorders>
            <w:shd w:val="clear" w:color="auto" w:fill="auto"/>
            <w:noWrap/>
            <w:vAlign w:val="bottom"/>
            <w:hideMark/>
          </w:tcPr>
          <w:p w:rsidR="002F360D" w:rsidRPr="002F360D" w:rsidRDefault="001D19EB" w:rsidP="002F360D">
            <w:pPr>
              <w:spacing w:after="0" w:line="240" w:lineRule="auto"/>
              <w:rPr>
                <w:rFonts w:ascii="Verdana" w:eastAsia="Times New Roman" w:hAnsi="Verdana" w:cs="Times New Roman"/>
                <w:color w:val="000000"/>
                <w:sz w:val="17"/>
                <w:szCs w:val="17"/>
                <w:lang w:eastAsia="cs-CZ"/>
              </w:rPr>
            </w:pPr>
            <w:proofErr w:type="gramStart"/>
            <w:r>
              <w:rPr>
                <w:rFonts w:ascii="Verdana" w:eastAsia="Times New Roman" w:hAnsi="Verdana" w:cs="Times New Roman"/>
                <w:color w:val="000000"/>
                <w:sz w:val="17"/>
                <w:szCs w:val="17"/>
                <w:lang w:eastAsia="cs-CZ"/>
              </w:rPr>
              <w:t>Teplicích</w:t>
            </w:r>
            <w:proofErr w:type="gramEnd"/>
            <w:r>
              <w:rPr>
                <w:rFonts w:ascii="Verdana" w:eastAsia="Times New Roman" w:hAnsi="Verdana" w:cs="Times New Roman"/>
                <w:color w:val="000000"/>
                <w:sz w:val="17"/>
                <w:szCs w:val="17"/>
                <w:lang w:eastAsia="cs-CZ"/>
              </w:rPr>
              <w:t xml:space="preserve"> </w:t>
            </w: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dne</w:t>
            </w:r>
          </w:p>
        </w:tc>
        <w:tc>
          <w:tcPr>
            <w:tcW w:w="2190" w:type="dxa"/>
            <w:gridSpan w:val="2"/>
            <w:tcBorders>
              <w:top w:val="nil"/>
              <w:left w:val="nil"/>
              <w:bottom w:val="single" w:sz="4" w:space="0" w:color="auto"/>
              <w:right w:val="nil"/>
            </w:tcBorders>
            <w:shd w:val="clear" w:color="auto" w:fill="auto"/>
            <w:noWrap/>
            <w:vAlign w:val="bottom"/>
            <w:hideMark/>
          </w:tcPr>
          <w:p w:rsidR="002F360D" w:rsidRPr="002F360D" w:rsidRDefault="001D19EB" w:rsidP="002F360D">
            <w:pPr>
              <w:spacing w:after="0" w:line="240" w:lineRule="auto"/>
              <w:rPr>
                <w:rFonts w:ascii="Verdana" w:eastAsia="Times New Roman" w:hAnsi="Verdana" w:cs="Times New Roman"/>
                <w:color w:val="000000"/>
                <w:sz w:val="17"/>
                <w:szCs w:val="17"/>
                <w:lang w:eastAsia="cs-CZ"/>
              </w:rPr>
            </w:pPr>
            <w:r>
              <w:rPr>
                <w:rFonts w:ascii="Verdana" w:eastAsia="Times New Roman" w:hAnsi="Verdana" w:cs="Times New Roman"/>
                <w:color w:val="000000"/>
                <w:sz w:val="17"/>
                <w:szCs w:val="17"/>
                <w:lang w:eastAsia="cs-CZ"/>
              </w:rPr>
              <w:t>13. 11. 2017</w:t>
            </w:r>
          </w:p>
        </w:tc>
      </w:tr>
      <w:tr w:rsidR="002F360D" w:rsidRPr="002F360D" w:rsidTr="00DD29C3">
        <w:trPr>
          <w:trHeight w:val="11"/>
        </w:trPr>
        <w:tc>
          <w:tcPr>
            <w:tcW w:w="48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43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62"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63"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869"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50"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79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2190" w:type="dxa"/>
            <w:gridSpan w:val="2"/>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r>
      <w:tr w:rsidR="002F360D" w:rsidRPr="002F360D" w:rsidTr="00DD29C3">
        <w:trPr>
          <w:trHeight w:val="13"/>
        </w:trPr>
        <w:tc>
          <w:tcPr>
            <w:tcW w:w="2676" w:type="dxa"/>
            <w:gridSpan w:val="3"/>
            <w:tcBorders>
              <w:top w:val="nil"/>
              <w:left w:val="nil"/>
              <w:bottom w:val="single" w:sz="4" w:space="0" w:color="auto"/>
              <w:right w:val="nil"/>
            </w:tcBorders>
            <w:shd w:val="clear" w:color="auto" w:fill="auto"/>
            <w:noWrap/>
            <w:vAlign w:val="bottom"/>
            <w:hideMark/>
          </w:tcPr>
          <w:p w:rsid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w:t>
            </w:r>
          </w:p>
          <w:p w:rsidR="002F360D" w:rsidRDefault="002F360D" w:rsidP="002F360D">
            <w:pPr>
              <w:spacing w:after="0" w:line="240" w:lineRule="auto"/>
              <w:rPr>
                <w:rFonts w:ascii="Verdana" w:eastAsia="Times New Roman" w:hAnsi="Verdana" w:cs="Times New Roman"/>
                <w:color w:val="000000"/>
                <w:sz w:val="17"/>
                <w:szCs w:val="17"/>
                <w:lang w:eastAsia="cs-CZ"/>
              </w:rPr>
            </w:pPr>
          </w:p>
          <w:p w:rsidR="002F360D" w:rsidRDefault="002F360D" w:rsidP="002F360D">
            <w:pPr>
              <w:spacing w:after="0" w:line="240" w:lineRule="auto"/>
              <w:rPr>
                <w:rFonts w:ascii="Verdana" w:eastAsia="Times New Roman" w:hAnsi="Verdana" w:cs="Times New Roman"/>
                <w:color w:val="000000"/>
                <w:sz w:val="17"/>
                <w:szCs w:val="17"/>
                <w:lang w:eastAsia="cs-CZ"/>
              </w:rPr>
            </w:pPr>
          </w:p>
          <w:p w:rsidR="002F360D" w:rsidRDefault="002F360D" w:rsidP="002F360D">
            <w:pPr>
              <w:spacing w:after="0" w:line="240" w:lineRule="auto"/>
              <w:rPr>
                <w:rFonts w:ascii="Verdana" w:eastAsia="Times New Roman" w:hAnsi="Verdana" w:cs="Times New Roman"/>
                <w:color w:val="000000"/>
                <w:sz w:val="17"/>
                <w:szCs w:val="17"/>
                <w:lang w:eastAsia="cs-CZ"/>
              </w:rPr>
            </w:pPr>
          </w:p>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744" w:type="dxa"/>
            <w:tcBorders>
              <w:top w:val="nil"/>
              <w:left w:val="nil"/>
              <w:bottom w:val="nil"/>
              <w:right w:val="nil"/>
            </w:tcBorders>
            <w:shd w:val="clear" w:color="auto" w:fill="auto"/>
            <w:noWrap/>
            <w:vAlign w:val="bottom"/>
            <w:hideMark/>
          </w:tcPr>
          <w:p w:rsidR="002F360D" w:rsidRDefault="002F360D" w:rsidP="002F360D">
            <w:pPr>
              <w:spacing w:after="0" w:line="240" w:lineRule="auto"/>
              <w:rPr>
                <w:rFonts w:ascii="Verdana" w:eastAsia="Times New Roman" w:hAnsi="Verdana" w:cs="Times New Roman"/>
                <w:color w:val="000000"/>
                <w:sz w:val="17"/>
                <w:szCs w:val="17"/>
                <w:lang w:eastAsia="cs-CZ"/>
              </w:rPr>
            </w:pPr>
          </w:p>
          <w:p w:rsidR="002F360D" w:rsidRDefault="002F360D" w:rsidP="002F360D">
            <w:pPr>
              <w:spacing w:after="0" w:line="240" w:lineRule="auto"/>
              <w:rPr>
                <w:rFonts w:ascii="Verdana" w:eastAsia="Times New Roman" w:hAnsi="Verdana" w:cs="Times New Roman"/>
                <w:color w:val="000000"/>
                <w:sz w:val="17"/>
                <w:szCs w:val="17"/>
                <w:lang w:eastAsia="cs-CZ"/>
              </w:rPr>
            </w:pPr>
          </w:p>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4770" w:type="dxa"/>
            <w:gridSpan w:val="6"/>
            <w:tcBorders>
              <w:top w:val="nil"/>
              <w:left w:val="nil"/>
              <w:bottom w:val="single" w:sz="4" w:space="0" w:color="auto"/>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w:t>
            </w:r>
          </w:p>
        </w:tc>
      </w:tr>
      <w:tr w:rsidR="002F360D" w:rsidRPr="002F360D" w:rsidTr="00DD29C3">
        <w:trPr>
          <w:trHeight w:val="11"/>
        </w:trPr>
        <w:tc>
          <w:tcPr>
            <w:tcW w:w="2676" w:type="dxa"/>
            <w:gridSpan w:val="3"/>
            <w:tcBorders>
              <w:top w:val="single" w:sz="4" w:space="0" w:color="auto"/>
              <w:left w:val="nil"/>
              <w:bottom w:val="single" w:sz="4" w:space="0" w:color="auto"/>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 xml:space="preserve">Za KRISTOF, s. r. o. </w:t>
            </w:r>
          </w:p>
        </w:tc>
        <w:tc>
          <w:tcPr>
            <w:tcW w:w="1744"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hideMark/>
          </w:tcPr>
          <w:p w:rsidR="002F360D" w:rsidRPr="002F360D" w:rsidRDefault="002F360D" w:rsidP="002F360D">
            <w:pPr>
              <w:spacing w:after="0" w:line="240" w:lineRule="auto"/>
              <w:rPr>
                <w:rFonts w:ascii="Verdana" w:eastAsia="Times New Roman" w:hAnsi="Verdana" w:cs="Times New Roman"/>
                <w:color w:val="000000"/>
                <w:sz w:val="17"/>
                <w:szCs w:val="17"/>
                <w:lang w:eastAsia="cs-CZ"/>
              </w:rPr>
            </w:pPr>
          </w:p>
        </w:tc>
        <w:tc>
          <w:tcPr>
            <w:tcW w:w="4770" w:type="dxa"/>
            <w:gridSpan w:val="6"/>
            <w:tcBorders>
              <w:top w:val="single" w:sz="4" w:space="0" w:color="auto"/>
              <w:left w:val="nil"/>
              <w:bottom w:val="single" w:sz="4" w:space="0" w:color="auto"/>
              <w:right w:val="nil"/>
            </w:tcBorders>
            <w:shd w:val="clear" w:color="auto" w:fill="auto"/>
            <w:noWrap/>
            <w:vAlign w:val="bottom"/>
            <w:hideMark/>
          </w:tcPr>
          <w:p w:rsidR="002F360D" w:rsidRPr="002F360D" w:rsidRDefault="002F360D" w:rsidP="002F360D">
            <w:pPr>
              <w:spacing w:after="0" w:line="240" w:lineRule="auto"/>
              <w:jc w:val="center"/>
              <w:rPr>
                <w:rFonts w:ascii="Verdana" w:eastAsia="Times New Roman" w:hAnsi="Verdana" w:cs="Times New Roman"/>
                <w:color w:val="000000"/>
                <w:sz w:val="17"/>
                <w:szCs w:val="17"/>
                <w:lang w:eastAsia="cs-CZ"/>
              </w:rPr>
            </w:pPr>
            <w:r w:rsidRPr="002F360D">
              <w:rPr>
                <w:rFonts w:ascii="Verdana" w:eastAsia="Times New Roman" w:hAnsi="Verdana" w:cs="Times New Roman"/>
                <w:color w:val="000000"/>
                <w:sz w:val="17"/>
                <w:szCs w:val="17"/>
                <w:lang w:eastAsia="cs-CZ"/>
              </w:rPr>
              <w:t>Za ZŠ Metelkovo</w:t>
            </w:r>
          </w:p>
        </w:tc>
      </w:tr>
      <w:tr w:rsidR="00DD29C3" w:rsidRPr="002F360D" w:rsidTr="00DD29C3">
        <w:trPr>
          <w:trHeight w:val="11"/>
        </w:trPr>
        <w:tc>
          <w:tcPr>
            <w:tcW w:w="2676" w:type="dxa"/>
            <w:gridSpan w:val="3"/>
            <w:tcBorders>
              <w:top w:val="single" w:sz="4" w:space="0" w:color="auto"/>
              <w:left w:val="nil"/>
              <w:bottom w:val="nil"/>
              <w:right w:val="nil"/>
            </w:tcBorders>
            <w:shd w:val="clear" w:color="auto" w:fill="auto"/>
            <w:noWrap/>
            <w:vAlign w:val="bottom"/>
          </w:tcPr>
          <w:p w:rsidR="00DD29C3" w:rsidRPr="002F360D" w:rsidRDefault="00DD29C3" w:rsidP="002F360D">
            <w:pPr>
              <w:spacing w:after="0" w:line="240" w:lineRule="auto"/>
              <w:jc w:val="center"/>
              <w:rPr>
                <w:rFonts w:ascii="Verdana" w:eastAsia="Times New Roman" w:hAnsi="Verdana" w:cs="Times New Roman"/>
                <w:color w:val="000000"/>
                <w:sz w:val="17"/>
                <w:szCs w:val="17"/>
                <w:lang w:eastAsia="cs-CZ"/>
              </w:rPr>
            </w:pPr>
            <w:bookmarkStart w:id="0" w:name="_GoBack"/>
            <w:bookmarkEnd w:id="0"/>
          </w:p>
        </w:tc>
        <w:tc>
          <w:tcPr>
            <w:tcW w:w="1744" w:type="dxa"/>
            <w:tcBorders>
              <w:top w:val="nil"/>
              <w:left w:val="nil"/>
              <w:bottom w:val="nil"/>
              <w:right w:val="nil"/>
            </w:tcBorders>
            <w:shd w:val="clear" w:color="auto" w:fill="auto"/>
            <w:noWrap/>
            <w:vAlign w:val="bottom"/>
          </w:tcPr>
          <w:p w:rsidR="00DD29C3" w:rsidRPr="002F360D" w:rsidRDefault="00DD29C3" w:rsidP="002F360D">
            <w:pPr>
              <w:spacing w:after="0" w:line="240" w:lineRule="auto"/>
              <w:rPr>
                <w:rFonts w:ascii="Verdana" w:eastAsia="Times New Roman" w:hAnsi="Verdana" w:cs="Times New Roman"/>
                <w:color w:val="000000"/>
                <w:sz w:val="17"/>
                <w:szCs w:val="17"/>
                <w:lang w:eastAsia="cs-CZ"/>
              </w:rPr>
            </w:pPr>
          </w:p>
        </w:tc>
        <w:tc>
          <w:tcPr>
            <w:tcW w:w="1038" w:type="dxa"/>
            <w:tcBorders>
              <w:top w:val="nil"/>
              <w:left w:val="nil"/>
              <w:bottom w:val="nil"/>
              <w:right w:val="nil"/>
            </w:tcBorders>
            <w:shd w:val="clear" w:color="auto" w:fill="auto"/>
            <w:noWrap/>
            <w:vAlign w:val="bottom"/>
          </w:tcPr>
          <w:p w:rsidR="00DD29C3" w:rsidRPr="002F360D" w:rsidRDefault="00DD29C3" w:rsidP="002F360D">
            <w:pPr>
              <w:spacing w:after="0" w:line="240" w:lineRule="auto"/>
              <w:rPr>
                <w:rFonts w:ascii="Verdana" w:eastAsia="Times New Roman" w:hAnsi="Verdana" w:cs="Times New Roman"/>
                <w:color w:val="000000"/>
                <w:sz w:val="17"/>
                <w:szCs w:val="17"/>
                <w:lang w:eastAsia="cs-CZ"/>
              </w:rPr>
            </w:pPr>
          </w:p>
        </w:tc>
        <w:tc>
          <w:tcPr>
            <w:tcW w:w="4770" w:type="dxa"/>
            <w:gridSpan w:val="6"/>
            <w:tcBorders>
              <w:top w:val="single" w:sz="4" w:space="0" w:color="auto"/>
              <w:left w:val="nil"/>
              <w:bottom w:val="nil"/>
              <w:right w:val="nil"/>
            </w:tcBorders>
            <w:shd w:val="clear" w:color="auto" w:fill="auto"/>
            <w:noWrap/>
            <w:vAlign w:val="bottom"/>
          </w:tcPr>
          <w:p w:rsidR="00DD29C3" w:rsidRPr="002F360D" w:rsidRDefault="00DD29C3" w:rsidP="002F360D">
            <w:pPr>
              <w:spacing w:after="0" w:line="240" w:lineRule="auto"/>
              <w:jc w:val="center"/>
              <w:rPr>
                <w:rFonts w:ascii="Verdana" w:eastAsia="Times New Roman" w:hAnsi="Verdana" w:cs="Times New Roman"/>
                <w:color w:val="000000"/>
                <w:sz w:val="17"/>
                <w:szCs w:val="17"/>
                <w:lang w:eastAsia="cs-CZ"/>
              </w:rPr>
            </w:pPr>
          </w:p>
        </w:tc>
      </w:tr>
    </w:tbl>
    <w:p w:rsidR="00E361E4" w:rsidRPr="00DA6222" w:rsidRDefault="00E361E4" w:rsidP="00DD29C3">
      <w:pPr>
        <w:widowControl w:val="0"/>
        <w:pBdr>
          <w:top w:val="single" w:sz="4" w:space="1" w:color="auto"/>
          <w:left w:val="single" w:sz="4" w:space="4" w:color="auto"/>
          <w:bottom w:val="single" w:sz="4" w:space="1" w:color="auto"/>
          <w:right w:val="single" w:sz="4" w:space="6" w:color="auto"/>
        </w:pBdr>
        <w:jc w:val="center"/>
        <w:rPr>
          <w:rFonts w:ascii="Trebuchet MS" w:eastAsia="Times New Roman" w:hAnsi="Trebuchet MS" w:cs="Arial"/>
          <w:sz w:val="19"/>
          <w:szCs w:val="19"/>
          <w:lang w:eastAsia="cs-CZ"/>
        </w:rPr>
      </w:pPr>
    </w:p>
    <w:sectPr w:rsidR="00E361E4" w:rsidRPr="00DA6222" w:rsidSect="00DD29C3">
      <w:headerReference w:type="default" r:id="rId8"/>
      <w:pgSz w:w="11907" w:h="16840"/>
      <w:pgMar w:top="397" w:right="567" w:bottom="39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5F" w:rsidRDefault="0062005F" w:rsidP="00E361E4">
      <w:pPr>
        <w:spacing w:after="0" w:line="240" w:lineRule="auto"/>
      </w:pPr>
      <w:r>
        <w:separator/>
      </w:r>
    </w:p>
  </w:endnote>
  <w:endnote w:type="continuationSeparator" w:id="0">
    <w:p w:rsidR="0062005F" w:rsidRDefault="0062005F" w:rsidP="00E36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5F" w:rsidRDefault="0062005F" w:rsidP="00E361E4">
      <w:pPr>
        <w:spacing w:after="0" w:line="240" w:lineRule="auto"/>
      </w:pPr>
      <w:r>
        <w:separator/>
      </w:r>
    </w:p>
  </w:footnote>
  <w:footnote w:type="continuationSeparator" w:id="0">
    <w:p w:rsidR="0062005F" w:rsidRDefault="0062005F" w:rsidP="00E36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22" w:rsidRDefault="00DA6222" w:rsidP="00DA6222">
    <w:pPr>
      <w:pStyle w:val="Zhlav"/>
      <w:pBdr>
        <w:bottom w:val="single" w:sz="4" w:space="1" w:color="808080"/>
      </w:pBdr>
      <w:jc w:val="right"/>
      <w:rPr>
        <w:rFonts w:ascii="Calibri" w:hAnsi="Calibri"/>
        <w:b/>
        <w:color w:val="0070C0"/>
        <w:sz w:val="36"/>
        <w:szCs w:val="36"/>
      </w:rPr>
    </w:pPr>
    <w:r w:rsidRPr="00F921E7">
      <w:rPr>
        <w:noProof/>
        <w:sz w:val="28"/>
        <w:szCs w:val="28"/>
      </w:rPr>
      <w:drawing>
        <wp:anchor distT="0" distB="0" distL="114300" distR="114300" simplePos="0" relativeHeight="251659264" behindDoc="0" locked="0" layoutInCell="1" allowOverlap="1" wp14:anchorId="6F6BEC8D" wp14:editId="1A5EC095">
          <wp:simplePos x="0" y="0"/>
          <wp:positionH relativeFrom="column">
            <wp:posOffset>58420</wp:posOffset>
          </wp:positionH>
          <wp:positionV relativeFrom="paragraph">
            <wp:posOffset>27940</wp:posOffset>
          </wp:positionV>
          <wp:extent cx="2519045" cy="5524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olor w:val="E36C0A"/>
        <w:sz w:val="28"/>
        <w:szCs w:val="28"/>
      </w:rPr>
      <w:t>ZŠ s RVCJ METELKOVO, TEPLICE</w:t>
    </w:r>
  </w:p>
  <w:p w:rsidR="00DA6222" w:rsidRDefault="00DA6222" w:rsidP="00DA6222">
    <w:pPr>
      <w:pStyle w:val="Zhlav"/>
      <w:pBdr>
        <w:bottom w:val="single" w:sz="4" w:space="1" w:color="808080"/>
      </w:pBdr>
      <w:jc w:val="right"/>
      <w:rPr>
        <w:rFonts w:ascii="Calibri" w:hAnsi="Calibri"/>
        <w:b/>
        <w:sz w:val="28"/>
        <w:szCs w:val="28"/>
      </w:rPr>
    </w:pPr>
    <w:r>
      <w:rPr>
        <w:rFonts w:ascii="Calibri" w:hAnsi="Calibri"/>
        <w:b/>
        <w:color w:val="0070C0"/>
        <w:sz w:val="28"/>
        <w:szCs w:val="28"/>
      </w:rPr>
      <w:t xml:space="preserve">Jazykový kurz v </w:t>
    </w:r>
    <w:proofErr w:type="spellStart"/>
    <w:proofErr w:type="gramStart"/>
    <w:r>
      <w:rPr>
        <w:rFonts w:ascii="Calibri" w:hAnsi="Calibri"/>
        <w:b/>
        <w:color w:val="0070C0"/>
        <w:sz w:val="28"/>
        <w:szCs w:val="28"/>
      </w:rPr>
      <w:t>Bournemouth</w:t>
    </w:r>
    <w:proofErr w:type="spellEnd"/>
    <w:proofErr w:type="gramEnd"/>
  </w:p>
  <w:p w:rsidR="00DA6222" w:rsidRDefault="00DA6222" w:rsidP="00DA6222">
    <w:pPr>
      <w:pStyle w:val="Zhlav"/>
      <w:pBdr>
        <w:bottom w:val="single" w:sz="4" w:space="1" w:color="808080"/>
      </w:pBdr>
      <w:jc w:val="right"/>
      <w:rPr>
        <w:rFonts w:ascii="Calibri" w:hAnsi="Calibri"/>
        <w:b/>
        <w:sz w:val="24"/>
        <w:szCs w:val="24"/>
      </w:rPr>
    </w:pPr>
    <w:r>
      <w:rPr>
        <w:rFonts w:ascii="Calibri" w:hAnsi="Calibri"/>
        <w:b/>
        <w:sz w:val="24"/>
        <w:szCs w:val="28"/>
      </w:rPr>
      <w:t>3. – 10. června</w:t>
    </w:r>
    <w:r w:rsidRPr="00C473E5">
      <w:rPr>
        <w:rFonts w:ascii="Calibri" w:hAnsi="Calibri"/>
        <w:b/>
        <w:sz w:val="24"/>
        <w:szCs w:val="28"/>
      </w:rPr>
      <w:t xml:space="preserve"> 2018</w:t>
    </w:r>
    <w:r>
      <w:rPr>
        <w:rFonts w:ascii="Calibri" w:hAnsi="Calibri"/>
        <w:b/>
        <w:sz w:val="24"/>
        <w:szCs w:val="28"/>
      </w:rPr>
      <w:t xml:space="preserve">, </w:t>
    </w:r>
    <w:r>
      <w:rPr>
        <w:rFonts w:ascii="Calibri" w:hAnsi="Calibri"/>
        <w:b/>
        <w:sz w:val="24"/>
        <w:szCs w:val="24"/>
      </w:rPr>
      <w:t>8 dnů / 5</w:t>
    </w:r>
    <w:r w:rsidRPr="00FF3ACC">
      <w:rPr>
        <w:rFonts w:ascii="Calibri" w:hAnsi="Calibri"/>
        <w:b/>
        <w:sz w:val="24"/>
        <w:szCs w:val="24"/>
      </w:rPr>
      <w:t xml:space="preserve"> noci</w:t>
    </w:r>
  </w:p>
  <w:p w:rsidR="00DA6222" w:rsidRPr="00C473E5" w:rsidRDefault="00DA6222" w:rsidP="00DA6222">
    <w:pPr>
      <w:pStyle w:val="Zhlav"/>
      <w:pBdr>
        <w:bottom w:val="single" w:sz="4" w:space="1" w:color="808080"/>
      </w:pBdr>
      <w:jc w:val="right"/>
      <w:rPr>
        <w:rFonts w:ascii="Calibri" w:hAnsi="Calibri"/>
        <w:b/>
        <w:sz w:val="24"/>
        <w:szCs w:val="28"/>
      </w:rPr>
    </w:pPr>
    <w:r>
      <w:rPr>
        <w:rFonts w:ascii="Calibri" w:hAnsi="Calibri"/>
        <w:b/>
        <w:sz w:val="24"/>
        <w:szCs w:val="24"/>
      </w:rPr>
      <w:t>9 lekcí / 3 výukové dny</w:t>
    </w:r>
  </w:p>
  <w:p w:rsidR="00DA6222" w:rsidRPr="00DA6222" w:rsidRDefault="00DA6222" w:rsidP="00DA62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29A9"/>
    <w:multiLevelType w:val="hybridMultilevel"/>
    <w:tmpl w:val="3D4AD3AE"/>
    <w:lvl w:ilvl="0" w:tplc="08A630BE">
      <w:start w:val="6"/>
      <w:numFmt w:val="bullet"/>
      <w:lvlText w:val="-"/>
      <w:lvlJc w:val="left"/>
      <w:pPr>
        <w:ind w:left="1776" w:hanging="360"/>
      </w:pPr>
      <w:rPr>
        <w:rFonts w:ascii="Trebuchet MS" w:eastAsia="Times New Roman" w:hAnsi="Trebuchet MS"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0D"/>
    <w:rsid w:val="00161A1F"/>
    <w:rsid w:val="001D19EB"/>
    <w:rsid w:val="002A65B1"/>
    <w:rsid w:val="002F360D"/>
    <w:rsid w:val="00331C06"/>
    <w:rsid w:val="004C1A3E"/>
    <w:rsid w:val="0062005F"/>
    <w:rsid w:val="008277DE"/>
    <w:rsid w:val="008438EC"/>
    <w:rsid w:val="00CD34AD"/>
    <w:rsid w:val="00DA6222"/>
    <w:rsid w:val="00DD29C3"/>
    <w:rsid w:val="00E361E4"/>
    <w:rsid w:val="00FE7DE3"/>
    <w:rsid w:val="00FF3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361E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E361E4"/>
    <w:rPr>
      <w:rFonts w:ascii="Times New Roman" w:eastAsia="Times New Roman" w:hAnsi="Times New Roman" w:cs="Times New Roman"/>
      <w:sz w:val="20"/>
      <w:szCs w:val="20"/>
      <w:lang w:eastAsia="cs-CZ"/>
    </w:rPr>
  </w:style>
  <w:style w:type="paragraph" w:styleId="Zpat">
    <w:name w:val="footer"/>
    <w:basedOn w:val="Normln"/>
    <w:link w:val="ZpatChar"/>
    <w:rsid w:val="00E361E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E361E4"/>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361E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E361E4"/>
    <w:rPr>
      <w:rFonts w:ascii="Times New Roman" w:eastAsia="Times New Roman" w:hAnsi="Times New Roman" w:cs="Times New Roman"/>
      <w:sz w:val="20"/>
      <w:szCs w:val="20"/>
      <w:lang w:eastAsia="cs-CZ"/>
    </w:rPr>
  </w:style>
  <w:style w:type="paragraph" w:styleId="Zpat">
    <w:name w:val="footer"/>
    <w:basedOn w:val="Normln"/>
    <w:link w:val="ZpatChar"/>
    <w:rsid w:val="00E361E4"/>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E361E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3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1201</Words>
  <Characters>7092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user</cp:lastModifiedBy>
  <cp:revision>2</cp:revision>
  <dcterms:created xsi:type="dcterms:W3CDTF">2017-11-21T12:42:00Z</dcterms:created>
  <dcterms:modified xsi:type="dcterms:W3CDTF">2017-11-21T12:42:00Z</dcterms:modified>
</cp:coreProperties>
</file>