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543A" w:rsidRDefault="001C434C">
      <w:pPr>
        <w:keepNext/>
        <w:numPr>
          <w:ilvl w:val="3"/>
          <w:numId w:val="11"/>
        </w:numPr>
        <w:ind w:hanging="864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sz w:val="36"/>
          <w:szCs w:val="36"/>
        </w:rPr>
        <w:t>Příkazní smlouva</w:t>
      </w:r>
    </w:p>
    <w:p w:rsidR="00CB543A" w:rsidRDefault="00CB543A">
      <w:pPr>
        <w:jc w:val="center"/>
      </w:pPr>
    </w:p>
    <w:p w:rsidR="00CB543A" w:rsidRDefault="00CB543A">
      <w:pPr>
        <w:jc w:val="center"/>
      </w:pP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uzavřená podle § 2430 a následných zákona č. a násl. zákona č. 89/2012 Sb., občanského zákoníku</w:t>
      </w:r>
    </w:p>
    <w:p w:rsidR="00CB543A" w:rsidRDefault="00CB543A">
      <w:pPr>
        <w:jc w:val="center"/>
      </w:pP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I. </w:t>
      </w:r>
    </w:p>
    <w:p w:rsidR="00CB543A" w:rsidRDefault="001C434C">
      <w:pPr>
        <w:keepNext/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Smluvní strany</w:t>
      </w:r>
    </w:p>
    <w:p w:rsidR="00CB543A" w:rsidRDefault="00CB543A">
      <w:pPr>
        <w:keepNext/>
      </w:pPr>
    </w:p>
    <w:p w:rsidR="00CB543A" w:rsidRDefault="001C434C" w:rsidP="005D7B13">
      <w:pPr>
        <w:keepNext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Příkazce: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AC19AC" w:rsidRPr="00AC19AC">
        <w:rPr>
          <w:rFonts w:ascii="Arial" w:eastAsia="Arial" w:hAnsi="Arial" w:cs="Arial"/>
          <w:b/>
        </w:rPr>
        <w:t>Městský obvod Liberec – Vratislavice nad Nisou</w:t>
      </w:r>
      <w:r>
        <w:rPr>
          <w:rFonts w:ascii="Arial" w:eastAsia="Arial" w:hAnsi="Arial" w:cs="Arial"/>
          <w:b/>
        </w:rPr>
        <w:t xml:space="preserve"> </w:t>
      </w:r>
    </w:p>
    <w:p w:rsidR="00CB543A" w:rsidRDefault="001C434C">
      <w:pPr>
        <w:ind w:left="2127" w:hanging="2127"/>
      </w:pPr>
      <w:r>
        <w:rPr>
          <w:rFonts w:ascii="Arial" w:eastAsia="Arial" w:hAnsi="Arial" w:cs="Arial"/>
        </w:rPr>
        <w:t>zastoupený:</w:t>
      </w:r>
      <w:r>
        <w:rPr>
          <w:rFonts w:ascii="Arial" w:eastAsia="Arial" w:hAnsi="Arial" w:cs="Arial"/>
        </w:rPr>
        <w:tab/>
      </w:r>
      <w:r w:rsidR="00AC19AC">
        <w:rPr>
          <w:rFonts w:ascii="Arial" w:eastAsia="Arial" w:hAnsi="Arial" w:cs="Arial"/>
        </w:rPr>
        <w:t>Lukášem Pohankou, starostou</w:t>
      </w:r>
    </w:p>
    <w:p w:rsidR="00CB543A" w:rsidRDefault="001C434C">
      <w:r>
        <w:rPr>
          <w:rFonts w:ascii="Arial" w:eastAsia="Arial" w:hAnsi="Arial" w:cs="Arial"/>
        </w:rPr>
        <w:t>sídlo: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C95EFA">
        <w:rPr>
          <w:rFonts w:ascii="Arial" w:eastAsia="Arial" w:hAnsi="Arial" w:cs="Arial"/>
          <w:sz w:val="19"/>
          <w:szCs w:val="19"/>
        </w:rPr>
        <w:t>Tanvaldská 50, 463 11 Liberec 30</w:t>
      </w:r>
      <w:r>
        <w:rPr>
          <w:rFonts w:ascii="Arial" w:eastAsia="Arial" w:hAnsi="Arial" w:cs="Arial"/>
          <w:sz w:val="19"/>
          <w:szCs w:val="19"/>
        </w:rPr>
        <w:br/>
      </w:r>
      <w:r>
        <w:rPr>
          <w:rFonts w:ascii="Arial" w:eastAsia="Arial" w:hAnsi="Arial" w:cs="Arial"/>
        </w:rPr>
        <w:t>IČ: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AC19AC" w:rsidRPr="00AC19AC">
        <w:rPr>
          <w:rFonts w:ascii="Arial" w:eastAsia="Arial" w:hAnsi="Arial" w:cs="Arial"/>
        </w:rPr>
        <w:t>00262978</w:t>
      </w:r>
    </w:p>
    <w:p w:rsidR="00CB543A" w:rsidRDefault="00AC19AC">
      <w:pPr>
        <w:jc w:val="both"/>
      </w:pPr>
      <w:r>
        <w:rPr>
          <w:rFonts w:ascii="Arial" w:eastAsia="Arial" w:hAnsi="Arial" w:cs="Arial"/>
        </w:rPr>
        <w:t xml:space="preserve"> </w:t>
      </w:r>
      <w:r w:rsidR="001C434C">
        <w:rPr>
          <w:rFonts w:ascii="Arial" w:eastAsia="Arial" w:hAnsi="Arial" w:cs="Arial"/>
        </w:rPr>
        <w:t xml:space="preserve">(dále jen </w:t>
      </w:r>
      <w:r w:rsidR="001C434C">
        <w:rPr>
          <w:rFonts w:ascii="Arial" w:eastAsia="Arial" w:hAnsi="Arial" w:cs="Arial"/>
          <w:b/>
        </w:rPr>
        <w:t>příkazce)</w:t>
      </w:r>
    </w:p>
    <w:p w:rsidR="00CB543A" w:rsidRDefault="00CB543A"/>
    <w:p w:rsidR="00CB543A" w:rsidRDefault="00CB543A"/>
    <w:p w:rsidR="00CB543A" w:rsidRDefault="001C434C">
      <w:r>
        <w:rPr>
          <w:rFonts w:ascii="Arial" w:eastAsia="Arial" w:hAnsi="Arial" w:cs="Arial"/>
        </w:rPr>
        <w:t xml:space="preserve">  a</w:t>
      </w:r>
    </w:p>
    <w:p w:rsidR="00CB543A" w:rsidRDefault="00CB543A">
      <w:pPr>
        <w:tabs>
          <w:tab w:val="left" w:pos="2127"/>
        </w:tabs>
      </w:pPr>
    </w:p>
    <w:p w:rsidR="00CB543A" w:rsidRDefault="001C434C">
      <w:pPr>
        <w:tabs>
          <w:tab w:val="left" w:pos="2127"/>
        </w:tabs>
      </w:pPr>
      <w:r>
        <w:rPr>
          <w:rFonts w:ascii="Arial" w:eastAsia="Arial" w:hAnsi="Arial" w:cs="Arial"/>
          <w:b/>
        </w:rPr>
        <w:t xml:space="preserve">Příkazník: </w:t>
      </w:r>
      <w:r>
        <w:rPr>
          <w:rFonts w:ascii="Arial" w:eastAsia="Arial" w:hAnsi="Arial" w:cs="Arial"/>
          <w:b/>
        </w:rPr>
        <w:tab/>
      </w:r>
      <w:r w:rsidR="00AC19AC" w:rsidRPr="00AC19AC">
        <w:rPr>
          <w:rFonts w:ascii="Arial" w:eastAsia="Arial" w:hAnsi="Arial" w:cs="Arial"/>
          <w:b/>
        </w:rPr>
        <w:t>Euroregion Nisa</w:t>
      </w:r>
    </w:p>
    <w:p w:rsidR="00AC19AC" w:rsidRDefault="00AC19AC">
      <w:pPr>
        <w:tabs>
          <w:tab w:val="left" w:pos="212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Zastoupený:</w:t>
      </w:r>
      <w:r>
        <w:rPr>
          <w:rFonts w:ascii="Arial" w:eastAsia="Arial" w:hAnsi="Arial" w:cs="Arial"/>
        </w:rPr>
        <w:tab/>
        <w:t>Ing. Jaroslavem Zámečníkem, CSc, jednatelem</w:t>
      </w:r>
    </w:p>
    <w:p w:rsidR="00AC19AC" w:rsidRDefault="001C434C">
      <w:pPr>
        <w:tabs>
          <w:tab w:val="left" w:pos="212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</w:t>
      </w:r>
      <w:r>
        <w:rPr>
          <w:rFonts w:ascii="Arial" w:eastAsia="Arial" w:hAnsi="Arial" w:cs="Arial"/>
        </w:rPr>
        <w:tab/>
      </w:r>
      <w:r w:rsidR="00F05FD2" w:rsidRPr="00F05FD2">
        <w:rPr>
          <w:rFonts w:ascii="Arial" w:eastAsia="Arial" w:hAnsi="Arial" w:cs="Arial"/>
        </w:rPr>
        <w:t>U Jezu 525/4</w:t>
      </w:r>
      <w:r w:rsidR="00F05FD2">
        <w:rPr>
          <w:rFonts w:ascii="Arial" w:eastAsia="Arial" w:hAnsi="Arial" w:cs="Arial"/>
        </w:rPr>
        <w:t>, 460 01</w:t>
      </w:r>
      <w:r w:rsidR="00AC19AC" w:rsidRPr="00AC19AC">
        <w:rPr>
          <w:rFonts w:ascii="Arial" w:eastAsia="Arial" w:hAnsi="Arial" w:cs="Arial"/>
        </w:rPr>
        <w:t xml:space="preserve"> Liberec </w:t>
      </w:r>
      <w:r w:rsidR="00F05FD2">
        <w:rPr>
          <w:rFonts w:ascii="Arial" w:eastAsia="Arial" w:hAnsi="Arial" w:cs="Arial"/>
        </w:rPr>
        <w:t>1</w:t>
      </w:r>
    </w:p>
    <w:p w:rsidR="00CB543A" w:rsidRDefault="001C434C">
      <w:pPr>
        <w:tabs>
          <w:tab w:val="left" w:pos="212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</w:t>
      </w:r>
      <w:r>
        <w:rPr>
          <w:rFonts w:ascii="Arial" w:eastAsia="Arial" w:hAnsi="Arial" w:cs="Arial"/>
        </w:rPr>
        <w:tab/>
      </w:r>
      <w:r w:rsidR="00AC19AC" w:rsidRPr="00AC19AC">
        <w:rPr>
          <w:rFonts w:ascii="Arial" w:eastAsia="Arial" w:hAnsi="Arial" w:cs="Arial"/>
        </w:rPr>
        <w:t>00832227</w:t>
      </w:r>
    </w:p>
    <w:p w:rsidR="00CB543A" w:rsidRDefault="001C434C">
      <w:r>
        <w:rPr>
          <w:rFonts w:ascii="Arial" w:eastAsia="Arial" w:hAnsi="Arial" w:cs="Arial"/>
        </w:rPr>
        <w:t xml:space="preserve">(dále jen </w:t>
      </w:r>
      <w:r>
        <w:rPr>
          <w:rFonts w:ascii="Arial" w:eastAsia="Arial" w:hAnsi="Arial" w:cs="Arial"/>
          <w:b/>
        </w:rPr>
        <w:t>příkazník)</w:t>
      </w:r>
    </w:p>
    <w:p w:rsidR="00CB543A" w:rsidRDefault="00CB543A">
      <w:pPr>
        <w:jc w:val="center"/>
      </w:pP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spolu uzavírají tuto příkazní smlouvu </w:t>
      </w:r>
    </w:p>
    <w:p w:rsidR="00CB543A" w:rsidRDefault="00CB543A">
      <w:pPr>
        <w:jc w:val="center"/>
      </w:pP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II. </w:t>
      </w: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Předmět smlouvy</w:t>
      </w:r>
    </w:p>
    <w:p w:rsidR="00CB543A" w:rsidRDefault="00CB543A">
      <w:pPr>
        <w:jc w:val="center"/>
      </w:pPr>
    </w:p>
    <w:p w:rsidR="00CB543A" w:rsidRDefault="001C434C">
      <w:pPr>
        <w:numPr>
          <w:ilvl w:val="0"/>
          <w:numId w:val="13"/>
        </w:numPr>
        <w:ind w:left="284" w:right="-25" w:hanging="284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Předmětem smlouvy je administrace průběhu </w:t>
      </w:r>
      <w:r w:rsidR="005D7B13">
        <w:rPr>
          <w:rFonts w:ascii="Arial" w:eastAsia="Arial" w:hAnsi="Arial" w:cs="Arial"/>
        </w:rPr>
        <w:t xml:space="preserve">realizace projektu </w:t>
      </w:r>
      <w:r>
        <w:rPr>
          <w:rFonts w:ascii="Arial" w:eastAsia="Arial" w:hAnsi="Arial" w:cs="Arial"/>
          <w:b/>
        </w:rPr>
        <w:t>„</w:t>
      </w:r>
      <w:r w:rsidR="00AC19AC">
        <w:rPr>
          <w:rFonts w:ascii="Arial" w:eastAsia="Arial" w:hAnsi="Arial" w:cs="Arial"/>
          <w:b/>
        </w:rPr>
        <w:t>Mateřská škola Nová Ruda</w:t>
      </w:r>
      <w:r>
        <w:rPr>
          <w:b/>
        </w:rPr>
        <w:t xml:space="preserve">“, </w:t>
      </w:r>
      <w:r>
        <w:rPr>
          <w:rFonts w:ascii="Arial" w:eastAsia="Arial" w:hAnsi="Arial" w:cs="Arial"/>
        </w:rPr>
        <w:t>financovaného z Integrovaného regionálního operačního programu (IROP).</w:t>
      </w:r>
    </w:p>
    <w:p w:rsidR="00CB543A" w:rsidRDefault="00CB543A">
      <w:pPr>
        <w:ind w:left="993" w:right="-25"/>
        <w:jc w:val="both"/>
      </w:pPr>
    </w:p>
    <w:p w:rsidR="00CB543A" w:rsidRDefault="001C434C">
      <w:pPr>
        <w:numPr>
          <w:ilvl w:val="0"/>
          <w:numId w:val="13"/>
        </w:numPr>
        <w:ind w:left="284" w:right="-25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Administrace zahrnuje administrativní a organizační činnosti v rámci </w:t>
      </w:r>
      <w:r w:rsidR="005D7B13">
        <w:rPr>
          <w:rFonts w:ascii="Arial" w:eastAsia="Arial" w:hAnsi="Arial" w:cs="Arial"/>
        </w:rPr>
        <w:t>plnění povinností příjemce dotace vůči poskytovateli dotace vyplívající z příručky Specifická pravidla pro žadatele a příjemce a</w:t>
      </w:r>
      <w:r w:rsidR="00AC19AC">
        <w:rPr>
          <w:rFonts w:ascii="Arial" w:eastAsia="Arial" w:hAnsi="Arial" w:cs="Arial"/>
        </w:rPr>
        <w:t> </w:t>
      </w:r>
      <w:r w:rsidR="005D7B13">
        <w:rPr>
          <w:rFonts w:ascii="Arial" w:eastAsia="Arial" w:hAnsi="Arial" w:cs="Arial"/>
        </w:rPr>
        <w:t>příručky Obecná pravidla pro žadatele a příjemce.</w:t>
      </w:r>
      <w:r>
        <w:rPr>
          <w:rFonts w:ascii="Arial" w:eastAsia="Arial" w:hAnsi="Arial" w:cs="Arial"/>
        </w:rPr>
        <w:t xml:space="preserve"> </w:t>
      </w:r>
    </w:p>
    <w:p w:rsidR="00CB543A" w:rsidRDefault="00CB543A">
      <w:pPr>
        <w:ind w:left="720"/>
      </w:pPr>
    </w:p>
    <w:p w:rsidR="00CB543A" w:rsidRDefault="001C434C">
      <w:pPr>
        <w:numPr>
          <w:ilvl w:val="0"/>
          <w:numId w:val="13"/>
        </w:numPr>
        <w:ind w:left="284" w:right="-25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rámci této smlouvy se předpokládá administrace </w:t>
      </w:r>
      <w:r w:rsidR="005D7B13">
        <w:rPr>
          <w:rFonts w:ascii="Arial" w:eastAsia="Arial" w:hAnsi="Arial" w:cs="Arial"/>
        </w:rPr>
        <w:t>v následujícím rozsahu</w:t>
      </w:r>
      <w:r>
        <w:rPr>
          <w:rFonts w:ascii="Arial" w:eastAsia="Arial" w:hAnsi="Arial" w:cs="Arial"/>
        </w:rPr>
        <w:t>:</w:t>
      </w:r>
    </w:p>
    <w:p w:rsidR="005D7B13" w:rsidRDefault="005D7B13" w:rsidP="005D7B13">
      <w:pPr>
        <w:ind w:right="-25"/>
        <w:contextualSpacing/>
        <w:jc w:val="both"/>
        <w:rPr>
          <w:rFonts w:ascii="Arial" w:eastAsia="Arial" w:hAnsi="Arial" w:cs="Arial"/>
        </w:rPr>
      </w:pPr>
    </w:p>
    <w:p w:rsidR="00CB543A" w:rsidRDefault="00CB543A" w:rsidP="005D7B13">
      <w:pPr>
        <w:jc w:val="both"/>
      </w:pPr>
    </w:p>
    <w:p w:rsidR="00CB543A" w:rsidRDefault="00CB543A">
      <w:pPr>
        <w:jc w:val="center"/>
      </w:pP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III.</w:t>
      </w: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Rozsah činnosti </w:t>
      </w:r>
    </w:p>
    <w:p w:rsidR="00CB543A" w:rsidRDefault="00CB543A">
      <w:pPr>
        <w:jc w:val="center"/>
      </w:pPr>
    </w:p>
    <w:p w:rsidR="00CB543A" w:rsidRDefault="001C434C" w:rsidP="00B60F96">
      <w:pPr>
        <w:numPr>
          <w:ilvl w:val="0"/>
          <w:numId w:val="6"/>
        </w:numPr>
        <w:spacing w:after="120"/>
        <w:ind w:left="283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se zavazuje v rámci organizačního zajištění </w:t>
      </w:r>
      <w:r w:rsidR="005D7B13">
        <w:rPr>
          <w:rFonts w:ascii="Arial" w:eastAsia="Arial" w:hAnsi="Arial" w:cs="Arial"/>
        </w:rPr>
        <w:t xml:space="preserve">administrace projektu </w:t>
      </w:r>
      <w:r>
        <w:rPr>
          <w:rFonts w:ascii="Arial" w:eastAsia="Arial" w:hAnsi="Arial" w:cs="Arial"/>
        </w:rPr>
        <w:t>vykonávat pro</w:t>
      </w:r>
      <w:r w:rsidR="005D7B13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příkazce zejména následující činnosti:  </w:t>
      </w:r>
    </w:p>
    <w:p w:rsidR="005D7B13" w:rsidRPr="005D7B13" w:rsidRDefault="005D7B13" w:rsidP="005D7B13">
      <w:pPr>
        <w:pStyle w:val="Odstavecseseznamem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t>Příprava a zpracování Průběžných zpráv o realizaci projektu včetně příloh</w:t>
      </w:r>
    </w:p>
    <w:p w:rsidR="005D7B13" w:rsidRPr="005D7B13" w:rsidRDefault="005D7B13" w:rsidP="005D7B13">
      <w:pPr>
        <w:pStyle w:val="Odstavecseseznamem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t>Příprava a zpracování Závěrečné zprávy o realizaci projektu včetně příloh</w:t>
      </w:r>
    </w:p>
    <w:p w:rsidR="005D7B13" w:rsidRPr="005D7B13" w:rsidRDefault="005D7B13" w:rsidP="005D7B13">
      <w:pPr>
        <w:pStyle w:val="Odstavecseseznamem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t xml:space="preserve">Příprava </w:t>
      </w:r>
      <w:r w:rsidR="00B60F96">
        <w:rPr>
          <w:rFonts w:ascii="Arial" w:eastAsia="Arial" w:hAnsi="Arial" w:cs="Arial"/>
        </w:rPr>
        <w:t>a zpracování Ž</w:t>
      </w:r>
      <w:r w:rsidRPr="005D7B13">
        <w:rPr>
          <w:rFonts w:ascii="Arial" w:eastAsia="Arial" w:hAnsi="Arial" w:cs="Arial"/>
        </w:rPr>
        <w:t>ádostí o platbu včetně příloh</w:t>
      </w:r>
    </w:p>
    <w:p w:rsidR="005D7B13" w:rsidRPr="005D7B13" w:rsidRDefault="005D7B13" w:rsidP="005D7B13">
      <w:pPr>
        <w:pStyle w:val="Odstavecseseznamem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t>Zpracování Žádostí o změnu</w:t>
      </w:r>
    </w:p>
    <w:p w:rsidR="005D7B13" w:rsidRPr="005D7B13" w:rsidRDefault="005D7B13" w:rsidP="005D7B13">
      <w:pPr>
        <w:pStyle w:val="Odstavecseseznamem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lastRenderedPageBreak/>
        <w:t>Konzultace a poradenství pro objednatele při realizaci projektu ve vztahu k povinnostem příjemce vyplývajících z metodiky IROP</w:t>
      </w:r>
    </w:p>
    <w:p w:rsidR="005D7B13" w:rsidRPr="005D7B13" w:rsidRDefault="005D7B13" w:rsidP="005D7B13">
      <w:pPr>
        <w:pStyle w:val="Odstavecseseznamem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t>Konzultace realizace projektu s pracovníky CRR</w:t>
      </w:r>
    </w:p>
    <w:p w:rsidR="00CB543A" w:rsidRDefault="00CB543A">
      <w:pPr>
        <w:jc w:val="both"/>
      </w:pPr>
    </w:p>
    <w:p w:rsidR="00CB543A" w:rsidRDefault="001C434C">
      <w:pPr>
        <w:numPr>
          <w:ilvl w:val="0"/>
          <w:numId w:val="6"/>
        </w:numPr>
        <w:ind w:left="2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Rozsah činností uvedený v odst. 1 byl stanoven na základě obvyklého a předpokládaného průběhu </w:t>
      </w:r>
      <w:r w:rsidR="005D7B13">
        <w:rPr>
          <w:rFonts w:ascii="Arial" w:eastAsia="Arial" w:hAnsi="Arial" w:cs="Arial"/>
        </w:rPr>
        <w:t>administrace projektu</w:t>
      </w:r>
      <w:r>
        <w:rPr>
          <w:rFonts w:ascii="Arial" w:eastAsia="Arial" w:hAnsi="Arial" w:cs="Arial"/>
        </w:rPr>
        <w:t xml:space="preserve">, přičemž skutečný rozsah úkonů bude odpovídat konkrétnímu průběhu </w:t>
      </w:r>
      <w:r w:rsidR="005D7B13">
        <w:rPr>
          <w:rFonts w:ascii="Arial" w:eastAsia="Arial" w:hAnsi="Arial" w:cs="Arial"/>
        </w:rPr>
        <w:t>realizace</w:t>
      </w:r>
      <w:r>
        <w:rPr>
          <w:rFonts w:ascii="Arial" w:eastAsia="Arial" w:hAnsi="Arial" w:cs="Arial"/>
        </w:rPr>
        <w:t xml:space="preserve">.   </w:t>
      </w:r>
    </w:p>
    <w:p w:rsidR="00CB543A" w:rsidRDefault="00CB543A">
      <w:pPr>
        <w:ind w:left="284"/>
        <w:jc w:val="both"/>
      </w:pPr>
    </w:p>
    <w:p w:rsidR="00CB543A" w:rsidRDefault="001C434C">
      <w:pPr>
        <w:numPr>
          <w:ilvl w:val="0"/>
          <w:numId w:val="6"/>
        </w:numPr>
        <w:ind w:left="2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případě, že budou v</w:t>
      </w:r>
      <w:r w:rsidR="005D7B13">
        <w:rPr>
          <w:rFonts w:ascii="Arial" w:eastAsia="Arial" w:hAnsi="Arial" w:cs="Arial"/>
        </w:rPr>
        <w:t xml:space="preserve"> průběhu administrace </w:t>
      </w:r>
      <w:r>
        <w:rPr>
          <w:rFonts w:ascii="Arial" w:eastAsia="Arial" w:hAnsi="Arial" w:cs="Arial"/>
        </w:rPr>
        <w:t>podány námitky</w:t>
      </w:r>
      <w:r w:rsidR="005D7B13">
        <w:rPr>
          <w:rFonts w:ascii="Arial" w:eastAsia="Arial" w:hAnsi="Arial" w:cs="Arial"/>
        </w:rPr>
        <w:t xml:space="preserve"> či požadavek na doplnění Zpráv o</w:t>
      </w:r>
      <w:r w:rsidR="00B60F96">
        <w:rPr>
          <w:rFonts w:ascii="Arial" w:eastAsia="Arial" w:hAnsi="Arial" w:cs="Arial"/>
        </w:rPr>
        <w:t> </w:t>
      </w:r>
      <w:r w:rsidR="005D7B13">
        <w:rPr>
          <w:rFonts w:ascii="Arial" w:eastAsia="Arial" w:hAnsi="Arial" w:cs="Arial"/>
        </w:rPr>
        <w:t>realizaci, Zjednodušeních žádostí o platbu či Žádostí o změnu</w:t>
      </w:r>
      <w:r>
        <w:rPr>
          <w:rFonts w:ascii="Arial" w:eastAsia="Arial" w:hAnsi="Arial" w:cs="Arial"/>
        </w:rPr>
        <w:t>, zavazuje se příkazník spolupracovat s příkazcem na řešení těchto námitek.</w:t>
      </w:r>
    </w:p>
    <w:p w:rsidR="00CB543A" w:rsidRDefault="00CB543A">
      <w:pPr>
        <w:ind w:left="720"/>
      </w:pPr>
    </w:p>
    <w:p w:rsidR="00CB543A" w:rsidRDefault="00CB543A">
      <w:pPr>
        <w:ind w:left="284"/>
        <w:jc w:val="both"/>
      </w:pP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IV. </w:t>
      </w: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Práva a povinnosti příkazníka </w:t>
      </w:r>
    </w:p>
    <w:p w:rsidR="00CB543A" w:rsidRDefault="00CB543A">
      <w:pPr>
        <w:jc w:val="center"/>
      </w:pPr>
    </w:p>
    <w:p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se zavazuje postupovat při věcném plnění smlouvy s odbornou péčí, v zájmu příkazce, poctivě a pečlivě podle svých schopností; použije při tom každého prostředku, kterého vyžaduje povaha obstarávané záležitosti, jakož i takového, který se shoduje s vůlí příkazce. </w:t>
      </w:r>
    </w:p>
    <w:p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Příkazník se zavazuje při věcném plnění smlouvy postupovat podle platných ustanovení zákona a</w:t>
      </w:r>
      <w:r w:rsidR="00B60F96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prováděcích právních předpisů k tomuto zákonu a podle Pokynů.</w:t>
      </w:r>
    </w:p>
    <w:p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je povinen plnit své povinnosti v dohodnutých termínech a to tak, aby byly dodrženy všechny lhůty stanovené </w:t>
      </w:r>
      <w:r w:rsidR="005D7B13">
        <w:rPr>
          <w:rFonts w:ascii="Arial" w:eastAsia="Arial" w:hAnsi="Arial" w:cs="Arial"/>
        </w:rPr>
        <w:t>metodikou programu</w:t>
      </w:r>
      <w:r>
        <w:rPr>
          <w:rFonts w:ascii="Arial" w:eastAsia="Arial" w:hAnsi="Arial" w:cs="Arial"/>
        </w:rPr>
        <w:t>.</w:t>
      </w:r>
    </w:p>
    <w:p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je povinen uskutečňovat předmětnou činnost v souladu s vymezeným rozsahem činnosti a oprávnění, podle pokynů příkazce a v souladu s jeho zájmy. Od pokynů příkazce se může příkazník odchýlit, pokud je to nezbytné v zájmu příkazce a pokud nemůže včas obdržet jeho souhlas. </w:t>
      </w:r>
    </w:p>
    <w:p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Příkazník neodpovídá za vady v dokončené a příkazci předané práci, jestliže tyto vady byly způsobeny použitím podkladů a věcí předaných mu ke zpracování od příkazce.</w:t>
      </w:r>
    </w:p>
    <w:p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je povinen bez zbytečného odkladu oznámit příkazci všechny okolnosti a informovat ho o všech skutečnostech, které zjistil při zařizování záležitostí, a které mohou mít vliv na změnu pokynů příkazce nebo jeho zájmů. </w:t>
      </w:r>
    </w:p>
    <w:p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je povinen na požádání předat bez zbytečného odkladu příkazci podklady, které převzal a získal při vyřizování záležitostí. </w:t>
      </w:r>
    </w:p>
    <w:p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Zjistí-li příkazník při zajišťování prací překážky, které znemožňují řádné uskutečnění činnosti a</w:t>
      </w:r>
      <w:r w:rsidR="00B60F96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právních úkonů dohodnutým způsobem, oznámí to neprodleně příkazci, se kterým se dohodne na odstranění daných překážek. Nedohodnou-li se strany na odstranění překážek, popř. změně smlouvy, ve lhůtě 7 dnů, může příkazník od smlouvy odstoupit. Příkazníkovi náleží v tomto případě částka, dosud účelně a nezbytně vynaložená pro potřeby příkazce.  </w:t>
      </w:r>
    </w:p>
    <w:p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Zjistí-li příkazník, že pokyny příkazce jsou nevhodné a neúčelné, je povinen příkazce na tuto skutečnost písemně upozornit. Bude-li příkazce přes toto upozornění na splnění svých pokynů trvat, má příkazník právo požádat o písemné potvrzení pokynu, případně od smlouvy odstoupit, pokud jsou pokyny příkazce v rozporu s touto smlouvou. Stejně je příkazník oprávněn postupovat v případě, že jsou pokyny příkazce v rozporu se zákonem nebo jinými právními předpisy.</w:t>
      </w:r>
    </w:p>
    <w:p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je podle ustanovení § 2 písm. e) zákona č. 320/2001 Sb., o finanční kontrole ve veřejné správě a o změně některých zákonů, ve znění pozdějších předpisů, osobou povinnou spolupůsobit při výkonu finanční kontroly prováděné v souvislosti s úhradou služeb z veřejných výdajů. </w:t>
      </w:r>
    </w:p>
    <w:p w:rsidR="00CB543A" w:rsidRDefault="00CB543A">
      <w:pPr>
        <w:jc w:val="center"/>
      </w:pP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V.</w:t>
      </w: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Práva a povinnosti příkazce</w:t>
      </w:r>
    </w:p>
    <w:p w:rsidR="00CB543A" w:rsidRDefault="00CB543A">
      <w:pPr>
        <w:jc w:val="center"/>
      </w:pPr>
    </w:p>
    <w:p w:rsidR="00CB543A" w:rsidRDefault="001C434C">
      <w:pPr>
        <w:numPr>
          <w:ilvl w:val="0"/>
          <w:numId w:val="3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Příkazce je povinen předat včas příkazníkovi úplné, pravdivé a přehledné informace, jež jsou nezbytně nutné k věcnému plnění smlouvy, pokud z jejich povahy nevyplývá, že je má zajistit příkazník v rámci své činnosti. Příkazce je povinen řádně a včas (v dohodnutém termínu) předat příkazníkovi veškerý listinný materiál potřebný k řádnému plnění smlouvy. </w:t>
      </w:r>
    </w:p>
    <w:p w:rsidR="00CB543A" w:rsidRDefault="001C434C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Příkazce je povinen vytvořit řádné podmínky pro činnost příkazníka a poskytnout mu během plnění předmětu smlouvy nezbytnou další součinnost, především se příkazce zavazuje:  </w:t>
      </w:r>
    </w:p>
    <w:p w:rsidR="00CB543A" w:rsidRPr="005D7B13" w:rsidRDefault="001C434C" w:rsidP="005D7B13">
      <w:pPr>
        <w:numPr>
          <w:ilvl w:val="0"/>
          <w:numId w:val="8"/>
        </w:numPr>
        <w:ind w:left="714" w:hanging="357"/>
        <w:jc w:val="both"/>
      </w:pPr>
      <w:r w:rsidRPr="005D7B13">
        <w:rPr>
          <w:rFonts w:ascii="Arial" w:eastAsia="Arial" w:hAnsi="Arial" w:cs="Arial"/>
        </w:rPr>
        <w:t xml:space="preserve">předat příkazníkovi </w:t>
      </w:r>
      <w:r w:rsidR="00F54CD4">
        <w:rPr>
          <w:rFonts w:ascii="Arial" w:eastAsia="Arial" w:hAnsi="Arial" w:cs="Arial"/>
        </w:rPr>
        <w:t xml:space="preserve">v elektronické podobě (scan) </w:t>
      </w:r>
      <w:r w:rsidR="005D7B13" w:rsidRPr="005D7B13">
        <w:rPr>
          <w:rFonts w:ascii="Arial" w:eastAsia="Arial" w:hAnsi="Arial" w:cs="Arial"/>
        </w:rPr>
        <w:t xml:space="preserve">faktury, výpisy z účtu, výpisy z účetnictví, zápisy z kontrolních dní </w:t>
      </w:r>
      <w:r w:rsidR="005D7B13">
        <w:rPr>
          <w:rFonts w:ascii="Arial" w:eastAsia="Arial" w:hAnsi="Arial" w:cs="Arial"/>
        </w:rPr>
        <w:t>a další podklady potřebné pro vyhotovení Zpráv o realizaci, Zjednodušených žádostí o platbu a</w:t>
      </w:r>
      <w:r w:rsidR="00B60F96">
        <w:rPr>
          <w:rFonts w:ascii="Arial" w:eastAsia="Arial" w:hAnsi="Arial" w:cs="Arial"/>
        </w:rPr>
        <w:t> </w:t>
      </w:r>
      <w:r w:rsidR="005D7B13">
        <w:rPr>
          <w:rFonts w:ascii="Arial" w:eastAsia="Arial" w:hAnsi="Arial" w:cs="Arial"/>
        </w:rPr>
        <w:t xml:space="preserve">Žádostí o změnu </w:t>
      </w:r>
    </w:p>
    <w:p w:rsidR="005D7B13" w:rsidRDefault="005D7B13" w:rsidP="005D7B13">
      <w:pPr>
        <w:ind w:left="714"/>
        <w:jc w:val="both"/>
      </w:pPr>
    </w:p>
    <w:p w:rsidR="00CB543A" w:rsidRDefault="001C434C">
      <w:pPr>
        <w:numPr>
          <w:ilvl w:val="0"/>
          <w:numId w:val="3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Příkazce se zavazuje vyplatit příkazníkovi dohodnutou odměnu za zařízení záležitostí dle této smlouvy včas a v souladu s čl. VI. této smlouvy.</w:t>
      </w:r>
    </w:p>
    <w:p w:rsidR="00CB543A" w:rsidRDefault="00CB543A">
      <w:pPr>
        <w:ind w:left="360"/>
        <w:jc w:val="both"/>
      </w:pP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VI. </w:t>
      </w: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Odměna a platební podmínky</w:t>
      </w:r>
    </w:p>
    <w:p w:rsidR="00CB543A" w:rsidRDefault="00CB543A">
      <w:pPr>
        <w:jc w:val="center"/>
      </w:pPr>
    </w:p>
    <w:p w:rsidR="00CB543A" w:rsidRPr="005D7B13" w:rsidRDefault="001C434C">
      <w:pPr>
        <w:numPr>
          <w:ilvl w:val="0"/>
          <w:numId w:val="4"/>
        </w:numPr>
        <w:ind w:left="42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komplexní administraci </w:t>
      </w:r>
      <w:r w:rsidR="005D7B13" w:rsidRPr="005D7B13">
        <w:rPr>
          <w:rFonts w:ascii="Arial" w:eastAsia="Arial" w:hAnsi="Arial" w:cs="Arial"/>
        </w:rPr>
        <w:t xml:space="preserve">projektu </w:t>
      </w:r>
      <w:r w:rsidRPr="005D7B13">
        <w:rPr>
          <w:rFonts w:ascii="Arial" w:eastAsia="Arial" w:hAnsi="Arial" w:cs="Arial"/>
        </w:rPr>
        <w:t>náleží příkazníkovi odměna ve výši:</w:t>
      </w:r>
    </w:p>
    <w:p w:rsidR="00CB543A" w:rsidRPr="005D7B13" w:rsidRDefault="00CB543A">
      <w:pPr>
        <w:ind w:left="426"/>
        <w:jc w:val="both"/>
        <w:rPr>
          <w:rFonts w:ascii="Arial" w:hAnsi="Arial" w:cs="Aria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367"/>
      </w:tblGrid>
      <w:tr w:rsidR="005D7B13" w:rsidRPr="005D7B13" w:rsidTr="005D7B13">
        <w:trPr>
          <w:trHeight w:hRule="exact" w:val="454"/>
        </w:trPr>
        <w:tc>
          <w:tcPr>
            <w:tcW w:w="6487" w:type="dxa"/>
            <w:vAlign w:val="center"/>
          </w:tcPr>
          <w:p w:rsidR="005D7B13" w:rsidRPr="005D7B13" w:rsidRDefault="005D7B13" w:rsidP="007E1525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CENA V KČ BEZ DPH ZA MĚSÍC PROJEKTU</w:t>
            </w:r>
          </w:p>
        </w:tc>
        <w:tc>
          <w:tcPr>
            <w:tcW w:w="3367" w:type="dxa"/>
            <w:vAlign w:val="center"/>
          </w:tcPr>
          <w:p w:rsidR="005D7B13" w:rsidRPr="005D7B13" w:rsidRDefault="00B60F96" w:rsidP="007E1525"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5D7B13" w:rsidRPr="005D7B1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6</w:t>
            </w:r>
            <w:r w:rsidR="005D7B13" w:rsidRPr="005D7B13">
              <w:rPr>
                <w:rFonts w:ascii="Arial" w:hAnsi="Arial" w:cs="Arial"/>
                <w:b/>
              </w:rPr>
              <w:t>00,00</w:t>
            </w:r>
          </w:p>
        </w:tc>
      </w:tr>
      <w:tr w:rsidR="005D7B13" w:rsidRPr="005D7B13" w:rsidTr="005D7B13">
        <w:trPr>
          <w:trHeight w:hRule="exact" w:val="454"/>
        </w:trPr>
        <w:tc>
          <w:tcPr>
            <w:tcW w:w="6487" w:type="dxa"/>
            <w:vAlign w:val="center"/>
          </w:tcPr>
          <w:p w:rsidR="005D7B13" w:rsidRPr="005D7B13" w:rsidRDefault="005D7B13" w:rsidP="007E1525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 v Kč</w:t>
            </w:r>
          </w:p>
        </w:tc>
        <w:tc>
          <w:tcPr>
            <w:tcW w:w="3367" w:type="dxa"/>
            <w:vAlign w:val="center"/>
          </w:tcPr>
          <w:p w:rsidR="005D7B13" w:rsidRPr="005D7B13" w:rsidRDefault="00B60F96" w:rsidP="007E1525"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2.016</w:t>
            </w:r>
            <w:r w:rsidR="005D7B13" w:rsidRPr="005D7B13">
              <w:rPr>
                <w:rFonts w:ascii="Arial" w:hAnsi="Arial" w:cs="Arial"/>
                <w:b/>
              </w:rPr>
              <w:t>,00</w:t>
            </w:r>
          </w:p>
        </w:tc>
      </w:tr>
      <w:tr w:rsidR="005D7B13" w:rsidRPr="005D7B13" w:rsidTr="005D7B13">
        <w:trPr>
          <w:trHeight w:hRule="exact" w:val="789"/>
        </w:trPr>
        <w:tc>
          <w:tcPr>
            <w:tcW w:w="6487" w:type="dxa"/>
            <w:vAlign w:val="center"/>
          </w:tcPr>
          <w:p w:rsidR="005D7B13" w:rsidRPr="005D7B13" w:rsidRDefault="005D7B13" w:rsidP="007E1525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CELKOVÁ CENA V KČ VČETNĚ DPH ZA MĚSÍC PROJEKTU</w:t>
            </w:r>
          </w:p>
        </w:tc>
        <w:tc>
          <w:tcPr>
            <w:tcW w:w="3367" w:type="dxa"/>
            <w:vAlign w:val="center"/>
          </w:tcPr>
          <w:p w:rsidR="005D7B13" w:rsidRPr="005D7B13" w:rsidRDefault="00B60F96" w:rsidP="007E1525"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5D7B13" w:rsidRPr="005D7B1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616</w:t>
            </w:r>
            <w:r w:rsidR="005D7B13" w:rsidRPr="005D7B13">
              <w:rPr>
                <w:rFonts w:ascii="Arial" w:hAnsi="Arial" w:cs="Arial"/>
                <w:b/>
              </w:rPr>
              <w:t>,00</w:t>
            </w:r>
          </w:p>
        </w:tc>
      </w:tr>
    </w:tbl>
    <w:p w:rsidR="00CB543A" w:rsidRPr="005D7B13" w:rsidRDefault="001C434C">
      <w:pPr>
        <w:ind w:left="426"/>
        <w:jc w:val="both"/>
        <w:rPr>
          <w:rFonts w:ascii="Arial" w:hAnsi="Arial" w:cs="Arial"/>
        </w:rPr>
      </w:pPr>
      <w:r w:rsidRPr="005D7B13">
        <w:rPr>
          <w:rFonts w:ascii="Arial" w:eastAsia="Arial" w:hAnsi="Arial" w:cs="Arial"/>
          <w:b/>
        </w:rPr>
        <w:t xml:space="preserve">  </w:t>
      </w:r>
      <w:r w:rsidRPr="005D7B13">
        <w:rPr>
          <w:rFonts w:ascii="Arial" w:eastAsia="Arial" w:hAnsi="Arial" w:cs="Arial"/>
        </w:rPr>
        <w:t xml:space="preserve"> </w:t>
      </w:r>
    </w:p>
    <w:p w:rsidR="00F54CD4" w:rsidRDefault="001C434C">
      <w:pPr>
        <w:numPr>
          <w:ilvl w:val="0"/>
          <w:numId w:val="4"/>
        </w:numPr>
        <w:ind w:left="425" w:hanging="357"/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t>Celková odměna za administraci</w:t>
      </w:r>
      <w:r w:rsidR="005D7B13">
        <w:rPr>
          <w:rFonts w:ascii="Arial" w:eastAsia="Arial" w:hAnsi="Arial" w:cs="Arial"/>
        </w:rPr>
        <w:t xml:space="preserve"> je závislá na celkovém době realizace projektu</w:t>
      </w:r>
      <w:r w:rsidRPr="005D7B13">
        <w:rPr>
          <w:rFonts w:ascii="Arial" w:eastAsia="Arial" w:hAnsi="Arial" w:cs="Arial"/>
        </w:rPr>
        <w:t>. Odměna za</w:t>
      </w:r>
      <w:r w:rsidR="00F54CD4">
        <w:rPr>
          <w:rFonts w:ascii="Arial" w:eastAsia="Arial" w:hAnsi="Arial" w:cs="Arial"/>
        </w:rPr>
        <w:t> </w:t>
      </w:r>
      <w:r w:rsidRPr="005D7B13">
        <w:rPr>
          <w:rFonts w:ascii="Arial" w:eastAsia="Arial" w:hAnsi="Arial" w:cs="Arial"/>
        </w:rPr>
        <w:t>administraci zahrnuje náklady příkazníka vynaložené v souvislosti s</w:t>
      </w:r>
      <w:r w:rsidR="005D7B13">
        <w:rPr>
          <w:rFonts w:ascii="Arial" w:eastAsia="Arial" w:hAnsi="Arial" w:cs="Arial"/>
        </w:rPr>
        <w:t xml:space="preserve"> administrací projektu </w:t>
      </w:r>
      <w:r w:rsidRPr="005D7B13">
        <w:rPr>
          <w:rFonts w:ascii="Arial" w:eastAsia="Arial" w:hAnsi="Arial" w:cs="Arial"/>
        </w:rPr>
        <w:t>ve</w:t>
      </w:r>
      <w:r w:rsidR="005D7B13">
        <w:rPr>
          <w:rFonts w:ascii="Arial" w:eastAsia="Arial" w:hAnsi="Arial" w:cs="Arial"/>
        </w:rPr>
        <w:t> </w:t>
      </w:r>
      <w:r w:rsidRPr="005D7B13">
        <w:rPr>
          <w:rFonts w:ascii="Arial" w:eastAsia="Arial" w:hAnsi="Arial" w:cs="Arial"/>
        </w:rPr>
        <w:t>sjednaném (obvyklém) rozsahu</w:t>
      </w:r>
      <w:r>
        <w:rPr>
          <w:rFonts w:ascii="Arial" w:eastAsia="Arial" w:hAnsi="Arial" w:cs="Arial"/>
        </w:rPr>
        <w:t>, včetně nákladů na poštovné, telefony, množení dokumentů apod.</w:t>
      </w:r>
      <w:r w:rsidR="00F54CD4">
        <w:rPr>
          <w:rFonts w:ascii="Arial" w:eastAsia="Arial" w:hAnsi="Arial" w:cs="Arial"/>
        </w:rPr>
        <w:t xml:space="preserve"> Celková doba realizace projektu je předpokládána do 30. 9. 2018 a z toho se odvíjí následující orientační výpočet celkových nákladů, který bude upraven dle skutečné doby realizace. </w:t>
      </w:r>
    </w:p>
    <w:p w:rsidR="00F54CD4" w:rsidRDefault="001C434C" w:rsidP="00F54C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08"/>
      </w:tblGrid>
      <w:tr w:rsidR="00F54CD4" w:rsidRPr="005D7B13" w:rsidTr="000B786F">
        <w:trPr>
          <w:trHeight w:hRule="exact" w:val="454"/>
        </w:trPr>
        <w:tc>
          <w:tcPr>
            <w:tcW w:w="8046" w:type="dxa"/>
            <w:vAlign w:val="center"/>
          </w:tcPr>
          <w:p w:rsidR="00F54CD4" w:rsidRPr="005D7B13" w:rsidRDefault="00F54CD4" w:rsidP="0003347B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PŘEDPOKLÁDANÁ CELKOVÁ DOBA REALIZACE (</w:t>
            </w:r>
            <w:r w:rsidR="000B786F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POČET MĚSÍCŮ)</w:t>
            </w:r>
          </w:p>
        </w:tc>
        <w:tc>
          <w:tcPr>
            <w:tcW w:w="1808" w:type="dxa"/>
            <w:vAlign w:val="center"/>
          </w:tcPr>
          <w:p w:rsidR="00F54CD4" w:rsidRPr="005D7B13" w:rsidRDefault="000B786F" w:rsidP="0003347B"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0B786F" w:rsidRPr="005D7B13" w:rsidTr="000B786F">
        <w:trPr>
          <w:trHeight w:hRule="exact" w:val="454"/>
        </w:trPr>
        <w:tc>
          <w:tcPr>
            <w:tcW w:w="8046" w:type="dxa"/>
            <w:vAlign w:val="center"/>
          </w:tcPr>
          <w:p w:rsidR="000B786F" w:rsidRPr="005D7B13" w:rsidRDefault="000B786F" w:rsidP="000B786F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CENA V KČ BEZ DPH ZA </w:t>
            </w:r>
            <w: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PŘEDPOKLÁDANOU DOBU REALIZACE </w:t>
            </w: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</w:p>
        </w:tc>
        <w:tc>
          <w:tcPr>
            <w:tcW w:w="1808" w:type="dxa"/>
            <w:vAlign w:val="center"/>
          </w:tcPr>
          <w:p w:rsidR="000B786F" w:rsidRPr="005D7B13" w:rsidRDefault="000B786F" w:rsidP="000B786F">
            <w:pPr>
              <w:ind w:right="113"/>
              <w:jc w:val="right"/>
              <w:rPr>
                <w:rFonts w:ascii="Arial" w:hAnsi="Arial" w:cs="Arial"/>
                <w:b/>
              </w:rPr>
            </w:pPr>
            <w:r w:rsidRPr="000B786F">
              <w:rPr>
                <w:rFonts w:ascii="Arial" w:hAnsi="Arial" w:cs="Arial"/>
                <w:b/>
              </w:rPr>
              <w:t>10</w:t>
            </w:r>
            <w:r w:rsidR="004B34F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 w:rsidR="004B34F2">
              <w:rPr>
                <w:rFonts w:ascii="Arial" w:hAnsi="Arial" w:cs="Arial"/>
                <w:b/>
              </w:rPr>
              <w:t>6</w:t>
            </w:r>
            <w:r w:rsidRPr="000B786F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>,00</w:t>
            </w:r>
          </w:p>
        </w:tc>
      </w:tr>
      <w:tr w:rsidR="000B786F" w:rsidRPr="005D7B13" w:rsidTr="000B786F">
        <w:trPr>
          <w:trHeight w:hRule="exact" w:val="789"/>
        </w:trPr>
        <w:tc>
          <w:tcPr>
            <w:tcW w:w="8046" w:type="dxa"/>
            <w:vAlign w:val="center"/>
          </w:tcPr>
          <w:p w:rsidR="000B786F" w:rsidRPr="005D7B13" w:rsidRDefault="000B786F" w:rsidP="000B786F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 v Kč</w:t>
            </w:r>
          </w:p>
        </w:tc>
        <w:tc>
          <w:tcPr>
            <w:tcW w:w="1808" w:type="dxa"/>
            <w:vAlign w:val="center"/>
          </w:tcPr>
          <w:p w:rsidR="000B786F" w:rsidRPr="005D7B13" w:rsidRDefault="004B34F2" w:rsidP="000B786F"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22.176</w:t>
            </w:r>
            <w:r w:rsidR="000B786F" w:rsidRPr="005D7B13">
              <w:rPr>
                <w:rFonts w:ascii="Arial" w:hAnsi="Arial" w:cs="Arial"/>
                <w:b/>
              </w:rPr>
              <w:t>,00</w:t>
            </w:r>
          </w:p>
        </w:tc>
      </w:tr>
      <w:tr w:rsidR="000B786F" w:rsidRPr="005D7B13" w:rsidTr="000B786F">
        <w:trPr>
          <w:trHeight w:hRule="exact" w:val="789"/>
        </w:trPr>
        <w:tc>
          <w:tcPr>
            <w:tcW w:w="8046" w:type="dxa"/>
            <w:vAlign w:val="center"/>
          </w:tcPr>
          <w:p w:rsidR="000B786F" w:rsidRPr="005D7B13" w:rsidRDefault="000B786F" w:rsidP="000B786F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CENA V KČ </w:t>
            </w:r>
            <w: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VČETNĚ</w:t>
            </w: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DPH ZA </w:t>
            </w:r>
            <w: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PŘEDPOKLÁDANOU DOBU REALIZACE </w:t>
            </w: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</w:p>
        </w:tc>
        <w:tc>
          <w:tcPr>
            <w:tcW w:w="1808" w:type="dxa"/>
            <w:vAlign w:val="center"/>
          </w:tcPr>
          <w:p w:rsidR="000B786F" w:rsidRDefault="000B786F" w:rsidP="000B786F"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B34F2">
              <w:rPr>
                <w:rFonts w:ascii="Arial" w:hAnsi="Arial" w:cs="Arial"/>
                <w:b/>
              </w:rPr>
              <w:t>27</w:t>
            </w:r>
            <w:r>
              <w:rPr>
                <w:rFonts w:ascii="Arial" w:hAnsi="Arial" w:cs="Arial"/>
                <w:b/>
              </w:rPr>
              <w:t>.</w:t>
            </w:r>
            <w:r w:rsidR="004B34F2">
              <w:rPr>
                <w:rFonts w:ascii="Arial" w:hAnsi="Arial" w:cs="Arial"/>
                <w:b/>
              </w:rPr>
              <w:t>776</w:t>
            </w:r>
            <w:r>
              <w:rPr>
                <w:rFonts w:ascii="Arial" w:hAnsi="Arial" w:cs="Arial"/>
                <w:b/>
              </w:rPr>
              <w:t>,00</w:t>
            </w:r>
          </w:p>
        </w:tc>
      </w:tr>
    </w:tbl>
    <w:p w:rsidR="00CB543A" w:rsidRDefault="00CB543A" w:rsidP="00F54CD4">
      <w:pPr>
        <w:jc w:val="both"/>
        <w:rPr>
          <w:rFonts w:ascii="Arial" w:eastAsia="Arial" w:hAnsi="Arial" w:cs="Arial"/>
        </w:rPr>
      </w:pPr>
    </w:p>
    <w:p w:rsidR="00CB543A" w:rsidRDefault="001C434C">
      <w:pPr>
        <w:numPr>
          <w:ilvl w:val="0"/>
          <w:numId w:val="4"/>
        </w:numPr>
        <w:ind w:left="42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Služby poskytované na základě této smlouvy budou hrazeny na základě příslušných daňových dokladů (faktur) vystavených příkazníkem vždy po </w:t>
      </w:r>
      <w:r w:rsidR="005D7B13">
        <w:rPr>
          <w:rFonts w:ascii="Arial" w:eastAsia="Arial" w:hAnsi="Arial" w:cs="Arial"/>
        </w:rPr>
        <w:t>na začátku každého kalendářního čtvrtletí</w:t>
      </w:r>
      <w:r>
        <w:rPr>
          <w:rFonts w:ascii="Arial" w:eastAsia="Arial" w:hAnsi="Arial" w:cs="Arial"/>
        </w:rPr>
        <w:t xml:space="preserve">.  Výše fakturované částky za příslušnou fázi bude odpovídat </w:t>
      </w:r>
      <w:r w:rsidR="005D7B13">
        <w:rPr>
          <w:rFonts w:ascii="Arial" w:eastAsia="Arial" w:hAnsi="Arial" w:cs="Arial"/>
        </w:rPr>
        <w:t>3 měsícům</w:t>
      </w:r>
      <w:r>
        <w:rPr>
          <w:rFonts w:ascii="Arial" w:eastAsia="Arial" w:hAnsi="Arial" w:cs="Arial"/>
        </w:rPr>
        <w:t xml:space="preserve">. </w:t>
      </w:r>
    </w:p>
    <w:p w:rsidR="00CB543A" w:rsidRDefault="00CB543A">
      <w:pPr>
        <w:ind w:left="720"/>
      </w:pPr>
    </w:p>
    <w:p w:rsidR="00CB543A" w:rsidRDefault="001C434C">
      <w:pPr>
        <w:numPr>
          <w:ilvl w:val="0"/>
          <w:numId w:val="4"/>
        </w:numPr>
        <w:ind w:left="42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Splatnost faktur se sjednává </w:t>
      </w:r>
      <w:r>
        <w:rPr>
          <w:rFonts w:ascii="Arial" w:eastAsia="Arial" w:hAnsi="Arial" w:cs="Arial"/>
          <w:b/>
        </w:rPr>
        <w:t>1</w:t>
      </w:r>
      <w:r w:rsidR="00E17085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dní</w:t>
      </w:r>
      <w:r>
        <w:rPr>
          <w:rFonts w:ascii="Arial" w:eastAsia="Arial" w:hAnsi="Arial" w:cs="Arial"/>
        </w:rPr>
        <w:t xml:space="preserve"> od jejího doručení příkazci.</w:t>
      </w:r>
    </w:p>
    <w:p w:rsidR="00CB543A" w:rsidRDefault="00CB543A">
      <w:pPr>
        <w:ind w:left="426"/>
        <w:jc w:val="both"/>
      </w:pPr>
    </w:p>
    <w:p w:rsidR="00CB543A" w:rsidRDefault="001C434C">
      <w:pPr>
        <w:numPr>
          <w:ilvl w:val="0"/>
          <w:numId w:val="4"/>
        </w:numPr>
        <w:ind w:left="42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Veškeré účetní doklady musejí obsahovat náležitosti daňového dokladu dle zákona č. 235/2004 Sb., o dani z přidané hodnoty, v platném znění. </w:t>
      </w:r>
    </w:p>
    <w:p w:rsidR="00CB543A" w:rsidRDefault="00CB543A">
      <w:pPr>
        <w:jc w:val="both"/>
      </w:pPr>
    </w:p>
    <w:p w:rsidR="00CB543A" w:rsidRDefault="001C434C">
      <w:pPr>
        <w:numPr>
          <w:ilvl w:val="0"/>
          <w:numId w:val="4"/>
        </w:numPr>
        <w:ind w:left="42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případě, že účetní doklady nebudou mít odpovídající náležitosti, je příkazce oprávněn zaslat je ve lhůtě splatnosti příkazníkovi k doplnění, aniž se tak dostane do prodlení se splatností; lhůta splatnosti počíná běžet znovu od opětovného zaslání náležitě doplněných či opravených dokladů.</w:t>
      </w:r>
    </w:p>
    <w:p w:rsidR="00CB543A" w:rsidRDefault="00CB543A">
      <w:pPr>
        <w:jc w:val="both"/>
      </w:pP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</w:rPr>
        <w:t>VII.</w:t>
      </w:r>
    </w:p>
    <w:p w:rsidR="00CB543A" w:rsidRDefault="001C434C" w:rsidP="00E17085">
      <w:pPr>
        <w:keepNext/>
        <w:numPr>
          <w:ilvl w:val="8"/>
          <w:numId w:val="11"/>
        </w:numPr>
        <w:ind w:left="426" w:hanging="426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Nakládání s dosaženými výsledky</w:t>
      </w:r>
    </w:p>
    <w:p w:rsidR="00CB543A" w:rsidRDefault="00CB543A">
      <w:pPr>
        <w:jc w:val="center"/>
      </w:pPr>
    </w:p>
    <w:p w:rsidR="00CB543A" w:rsidRDefault="001C434C">
      <w:pPr>
        <w:ind w:left="426"/>
        <w:jc w:val="both"/>
      </w:pPr>
      <w:r>
        <w:rPr>
          <w:rFonts w:ascii="Arial" w:eastAsia="Arial" w:hAnsi="Arial" w:cs="Arial"/>
        </w:rPr>
        <w:t xml:space="preserve">Výsledky tvůrčí činnosti příkazníka vytvořené pro příkazce dle této smlouvy se stanou vlastnictvím příkazce po jejich předání příkazcovi a po zaplacení sjednané odměny na účet příkazníka. </w:t>
      </w:r>
    </w:p>
    <w:p w:rsidR="00CB543A" w:rsidRDefault="00CB543A">
      <w:pPr>
        <w:jc w:val="both"/>
      </w:pPr>
    </w:p>
    <w:p w:rsidR="00CB543A" w:rsidRDefault="000B786F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V</w:t>
      </w:r>
      <w:r w:rsidR="001C434C">
        <w:rPr>
          <w:rFonts w:ascii="Arial" w:eastAsia="Arial" w:hAnsi="Arial" w:cs="Arial"/>
          <w:b/>
          <w:i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II</w:t>
      </w:r>
      <w:r w:rsidR="001C434C">
        <w:rPr>
          <w:rFonts w:ascii="Arial" w:eastAsia="Arial" w:hAnsi="Arial" w:cs="Arial"/>
          <w:b/>
          <w:i/>
          <w:sz w:val="22"/>
          <w:szCs w:val="22"/>
        </w:rPr>
        <w:t>.</w:t>
      </w: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Ochrana důvěrných informací</w:t>
      </w:r>
    </w:p>
    <w:p w:rsidR="00CB543A" w:rsidRDefault="00CB543A">
      <w:pPr>
        <w:jc w:val="both"/>
      </w:pPr>
    </w:p>
    <w:p w:rsidR="00CB543A" w:rsidRDefault="001C434C">
      <w:pPr>
        <w:ind w:left="426"/>
        <w:jc w:val="both"/>
      </w:pPr>
      <w:r>
        <w:rPr>
          <w:rFonts w:ascii="Arial" w:eastAsia="Arial" w:hAnsi="Arial" w:cs="Arial"/>
        </w:rPr>
        <w:t>Příkazník je povinen zachovávat mlčenlivost o všech skutečnostech a údajích, se kterými přišel v průběhu plnění smlouvy do styku, a bez písemného souhlasu druhé strany nepředá žádné třetí osobě dokumenty, údaje či jiné informace, předané přímo či nepřímo příkazcem v souvislosti s plněním této smlouvy. To se netýká informací, které jsou všeobecně známy či informací a</w:t>
      </w:r>
      <w:r w:rsidR="000B786F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podkladů poskytovaných ve zvláštních správních či soudních řízeních souvisejících se zadáním veřejné zakázky.  </w:t>
      </w:r>
    </w:p>
    <w:p w:rsidR="00CB543A" w:rsidRDefault="00CB543A">
      <w:pPr>
        <w:jc w:val="center"/>
      </w:pPr>
    </w:p>
    <w:p w:rsidR="00CB543A" w:rsidRDefault="00B82F49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IX</w:t>
      </w:r>
      <w:r w:rsidR="001C434C">
        <w:rPr>
          <w:rFonts w:ascii="Arial" w:eastAsia="Arial" w:hAnsi="Arial" w:cs="Arial"/>
          <w:b/>
          <w:i/>
          <w:sz w:val="22"/>
          <w:szCs w:val="22"/>
        </w:rPr>
        <w:t>.</w:t>
      </w: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Doba trvání a ukončení smlouvy</w:t>
      </w:r>
    </w:p>
    <w:p w:rsidR="00CB543A" w:rsidRDefault="00CB543A">
      <w:pPr>
        <w:jc w:val="center"/>
      </w:pPr>
    </w:p>
    <w:p w:rsidR="00CB543A" w:rsidRDefault="001C434C" w:rsidP="005D7B1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je uzavírána na dobu určitou, počínaje dnem zahájení prací ke splnění předmětu smlouvy a konč</w:t>
      </w:r>
      <w:r w:rsidR="00D01355">
        <w:rPr>
          <w:rFonts w:ascii="Arial" w:eastAsia="Arial" w:hAnsi="Arial" w:cs="Arial"/>
        </w:rPr>
        <w:t>í</w:t>
      </w:r>
      <w:r>
        <w:rPr>
          <w:rFonts w:ascii="Arial" w:eastAsia="Arial" w:hAnsi="Arial" w:cs="Arial"/>
        </w:rPr>
        <w:t xml:space="preserve"> </w:t>
      </w:r>
      <w:r w:rsidR="00E17085">
        <w:rPr>
          <w:rFonts w:ascii="Arial" w:eastAsia="Arial" w:hAnsi="Arial" w:cs="Arial"/>
        </w:rPr>
        <w:t>finančním ukončením projektu, kterým je připsání poslední částky dotace na účet příjemce dotace.</w:t>
      </w:r>
      <w:r>
        <w:rPr>
          <w:rFonts w:ascii="Arial" w:eastAsia="Arial" w:hAnsi="Arial" w:cs="Arial"/>
        </w:rPr>
        <w:t xml:space="preserve">  </w:t>
      </w:r>
    </w:p>
    <w:p w:rsidR="00CB543A" w:rsidRDefault="001C434C" w:rsidP="005D7B1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Příkazce může smlouvu kdykoli částečně nebo v celém rozsahu písemně vypovědět. Pokud výpověď nestanoví pozdější účinnost, nabývá účinnosti k poslednímu dni kalendářního měsíce, ve</w:t>
      </w:r>
      <w:r w:rsidR="00E17085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kterém byla příkazníkovi výpověď doručena. </w:t>
      </w:r>
    </w:p>
    <w:p w:rsidR="00CB543A" w:rsidRDefault="001C434C" w:rsidP="005D7B1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 účinnosti výpovědi je příkazník povinen nepokračovat v činnosti, na kterou se výpověď vztahuje. Je však povinen příkazce upozornit na opatření potřebná k tomu, aby se zabránilo vzniku škody bezprostředně hrozící příkazci nedokončením činností, souvisejících se zařizováním záležitosti. Za činnost řádně uskutečněnou do účinnosti výpovědi má příkazník nárok na úhradu nákladů a přiměřenou část odměny. </w:t>
      </w:r>
    </w:p>
    <w:p w:rsidR="00CB543A" w:rsidRDefault="001C434C" w:rsidP="005D7B1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Příkazník může smlouvu vypovědět s účinností ke konci kalendářního měsíce, v němž byla výpověď doručena příkazci, nevyplývá-li z výpovědi doba pozdější.</w:t>
      </w:r>
      <w:bookmarkStart w:id="1" w:name="_tu3nsaslr8uh" w:colFirst="0" w:colLast="0"/>
      <w:bookmarkEnd w:id="1"/>
    </w:p>
    <w:p w:rsidR="00CB543A" w:rsidRDefault="00622376" w:rsidP="005D7B1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eastAsia="Arial" w:hAnsi="Arial" w:cs="Arial"/>
        </w:rPr>
      </w:pPr>
      <w:bookmarkStart w:id="2" w:name="_gjdgxs" w:colFirst="0" w:colLast="0"/>
      <w:bookmarkEnd w:id="2"/>
      <w:r w:rsidRPr="00622376">
        <w:rPr>
          <w:rFonts w:ascii="Arial" w:eastAsia="Arial" w:hAnsi="Arial" w:cs="Arial"/>
        </w:rPr>
        <w:t>Tato smlouva nabývá platnosti dnem podpisu a účinnosti dnem uveřejnění v informačním systému veřejné správy - Registru smluv.</w:t>
      </w:r>
    </w:p>
    <w:p w:rsidR="00CB543A" w:rsidRDefault="00CB543A">
      <w:pPr>
        <w:jc w:val="center"/>
      </w:pPr>
    </w:p>
    <w:p w:rsidR="00CB543A" w:rsidRDefault="00CB543A">
      <w:pPr>
        <w:jc w:val="center"/>
      </w:pPr>
    </w:p>
    <w:p w:rsidR="00CB543A" w:rsidRDefault="001C434C">
      <w:pPr>
        <w:jc w:val="center"/>
      </w:pPr>
      <w:r>
        <w:rPr>
          <w:rFonts w:ascii="Arial" w:eastAsia="Arial" w:hAnsi="Arial" w:cs="Arial"/>
          <w:b/>
          <w:i/>
          <w:sz w:val="24"/>
          <w:szCs w:val="24"/>
        </w:rPr>
        <w:t>X.</w:t>
      </w:r>
    </w:p>
    <w:p w:rsidR="00CB543A" w:rsidRDefault="001C434C">
      <w:pPr>
        <w:keepNext/>
        <w:jc w:val="center"/>
      </w:pPr>
      <w:r>
        <w:rPr>
          <w:rFonts w:ascii="Arial" w:eastAsia="Arial" w:hAnsi="Arial" w:cs="Arial"/>
          <w:b/>
          <w:i/>
          <w:sz w:val="24"/>
          <w:szCs w:val="24"/>
        </w:rPr>
        <w:lastRenderedPageBreak/>
        <w:t>Závěrečná ustanovení</w:t>
      </w:r>
    </w:p>
    <w:p w:rsidR="00CB543A" w:rsidRDefault="00CB543A"/>
    <w:p w:rsidR="00CB543A" w:rsidRDefault="001C434C">
      <w:pPr>
        <w:spacing w:after="120"/>
      </w:pPr>
      <w:r>
        <w:rPr>
          <w:rFonts w:ascii="Arial" w:eastAsia="Arial" w:hAnsi="Arial" w:cs="Arial"/>
        </w:rPr>
        <w:t xml:space="preserve">Vztahy neupravené touto smlouvou se řídí občanským zákoníkem v platném znění. </w:t>
      </w:r>
    </w:p>
    <w:p w:rsidR="00CB543A" w:rsidRDefault="001C434C">
      <w:pPr>
        <w:spacing w:after="120"/>
      </w:pPr>
      <w:r>
        <w:rPr>
          <w:rFonts w:ascii="Arial" w:eastAsia="Arial" w:hAnsi="Arial" w:cs="Arial"/>
        </w:rPr>
        <w:t>Smlouva může být doplněna či změněna pouze písemnou dohodou smluvních stran.</w:t>
      </w:r>
    </w:p>
    <w:p w:rsidR="00CB543A" w:rsidRDefault="001C434C">
      <w:pPr>
        <w:spacing w:after="120"/>
      </w:pPr>
      <w:r>
        <w:rPr>
          <w:rFonts w:ascii="Arial" w:eastAsia="Arial" w:hAnsi="Arial" w:cs="Arial"/>
        </w:rPr>
        <w:t>Příkazník si je vědom veřejnoprávního charakteru příkazce a povinností z toho plynoucích.</w:t>
      </w:r>
    </w:p>
    <w:p w:rsidR="00CB543A" w:rsidRDefault="00CB543A">
      <w:pPr>
        <w:spacing w:after="120"/>
      </w:pPr>
    </w:p>
    <w:p w:rsidR="00AC19AC" w:rsidRDefault="00AC19AC">
      <w:pPr>
        <w:spacing w:after="120"/>
      </w:pPr>
    </w:p>
    <w:p w:rsidR="00CB543A" w:rsidRDefault="001C434C">
      <w:r>
        <w:rPr>
          <w:rFonts w:ascii="Arial" w:eastAsia="Arial" w:hAnsi="Arial" w:cs="Arial"/>
        </w:rPr>
        <w:t xml:space="preserve">Na důkaz souhlasu s obsahem smlouvy následují podpisy smluvních stran. </w:t>
      </w:r>
    </w:p>
    <w:p w:rsidR="00CB543A" w:rsidRDefault="00CB543A" w:rsidP="00B82F49">
      <w:pPr>
        <w:keepNext/>
        <w:rPr>
          <w:rFonts w:ascii="Arial" w:eastAsia="Arial" w:hAnsi="Arial" w:cs="Arial"/>
        </w:rPr>
      </w:pPr>
    </w:p>
    <w:p w:rsidR="00B82F49" w:rsidRDefault="00B82F49" w:rsidP="00B82F49">
      <w:pPr>
        <w:keepNext/>
        <w:rPr>
          <w:rFonts w:ascii="Arial" w:eastAsia="Arial" w:hAnsi="Arial" w:cs="Arial"/>
        </w:rPr>
      </w:pPr>
    </w:p>
    <w:p w:rsidR="00B82F49" w:rsidRDefault="00B82F49" w:rsidP="00B82F49">
      <w:pPr>
        <w:keepNext/>
        <w:rPr>
          <w:rFonts w:ascii="Arial" w:eastAsia="Arial" w:hAnsi="Arial" w:cs="Arial"/>
        </w:rPr>
      </w:pPr>
    </w:p>
    <w:p w:rsidR="00B82F49" w:rsidRDefault="00B82F49" w:rsidP="00B82F49">
      <w:pPr>
        <w:keepNext/>
        <w:rPr>
          <w:rFonts w:ascii="Arial" w:eastAsia="Arial" w:hAnsi="Arial" w:cs="Arial"/>
        </w:rPr>
      </w:pPr>
    </w:p>
    <w:p w:rsidR="00B82F49" w:rsidRDefault="00B82F49">
      <w:pPr>
        <w:keepNext/>
        <w:rPr>
          <w:rFonts w:ascii="Arial" w:eastAsia="Arial" w:hAnsi="Arial" w:cs="Arial"/>
        </w:rPr>
      </w:pPr>
    </w:p>
    <w:p w:rsidR="00CB543A" w:rsidRDefault="001C434C">
      <w:pPr>
        <w:keepNext/>
      </w:pPr>
      <w:r>
        <w:rPr>
          <w:rFonts w:ascii="Arial" w:eastAsia="Arial" w:hAnsi="Arial" w:cs="Arial"/>
        </w:rPr>
        <w:t>V</w:t>
      </w:r>
      <w:r w:rsidR="00AC19AC">
        <w:rPr>
          <w:rFonts w:ascii="Arial" w:eastAsia="Arial" w:hAnsi="Arial" w:cs="Arial"/>
        </w:rPr>
        <w:t xml:space="preserve"> Liberci </w:t>
      </w:r>
      <w:r>
        <w:rPr>
          <w:rFonts w:ascii="Arial" w:eastAsia="Arial" w:hAnsi="Arial" w:cs="Arial"/>
        </w:rPr>
        <w:t xml:space="preserve">dne  ……………….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AC19AC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V Liberci dne ……..........</w:t>
      </w:r>
      <w:r>
        <w:rPr>
          <w:rFonts w:ascii="Arial" w:eastAsia="Arial" w:hAnsi="Arial" w:cs="Arial"/>
        </w:rPr>
        <w:tab/>
      </w:r>
    </w:p>
    <w:p w:rsidR="00CB543A" w:rsidRDefault="00CB543A">
      <w:pPr>
        <w:ind w:left="708" w:firstLine="426"/>
      </w:pPr>
    </w:p>
    <w:p w:rsidR="00CB543A" w:rsidRDefault="00CB543A">
      <w:pPr>
        <w:ind w:left="708" w:firstLine="426"/>
      </w:pPr>
    </w:p>
    <w:p w:rsidR="00CB543A" w:rsidRDefault="00CB543A">
      <w:pPr>
        <w:tabs>
          <w:tab w:val="left" w:pos="2410"/>
        </w:tabs>
      </w:pPr>
    </w:p>
    <w:p w:rsidR="00CB543A" w:rsidRDefault="001C434C">
      <w:pPr>
        <w:ind w:firstLine="708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CB543A" w:rsidRDefault="001C434C">
      <w:pPr>
        <w:ind w:firstLine="708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CB543A" w:rsidRDefault="001C434C">
      <w:r>
        <w:rPr>
          <w:rFonts w:ascii="Arial" w:eastAsia="Arial" w:hAnsi="Arial" w:cs="Arial"/>
        </w:rPr>
        <w:t>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 w:rsidR="00DF168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…….........................................</w:t>
      </w:r>
    </w:p>
    <w:p w:rsidR="00CB543A" w:rsidRDefault="001C434C">
      <w:pPr>
        <w:ind w:firstLine="427"/>
      </w:pPr>
      <w:r>
        <w:rPr>
          <w:rFonts w:ascii="Arial" w:eastAsia="Arial" w:hAnsi="Arial" w:cs="Arial"/>
        </w:rPr>
        <w:t>/razítko a podpis/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/razítko a podpis/</w:t>
      </w:r>
    </w:p>
    <w:p w:rsidR="00CB543A" w:rsidRDefault="00CB543A"/>
    <w:p w:rsidR="00B82F49" w:rsidRDefault="00B82F49" w:rsidP="00B82F49">
      <w:pPr>
        <w:ind w:left="708" w:hanging="708"/>
      </w:pPr>
      <w:r>
        <w:rPr>
          <w:rFonts w:ascii="Arial" w:eastAsia="Arial" w:hAnsi="Arial" w:cs="Arial"/>
        </w:rPr>
        <w:t xml:space="preserve">Příkazce: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Příkazník: </w:t>
      </w:r>
    </w:p>
    <w:p w:rsidR="00B82F49" w:rsidRDefault="00622376" w:rsidP="00B82F49">
      <w:pPr>
        <w:tabs>
          <w:tab w:val="left" w:pos="2410"/>
        </w:tabs>
      </w:pPr>
      <w:r>
        <w:rPr>
          <w:rFonts w:ascii="Arial" w:eastAsia="Arial" w:hAnsi="Arial" w:cs="Arial"/>
        </w:rPr>
        <w:t>Pavel Podlipný</w:t>
      </w:r>
      <w:r w:rsidR="00B82F49">
        <w:rPr>
          <w:rFonts w:ascii="Arial" w:eastAsia="Arial" w:hAnsi="Arial" w:cs="Arial"/>
        </w:rPr>
        <w:tab/>
      </w:r>
      <w:r w:rsidR="00B82F49">
        <w:rPr>
          <w:rFonts w:ascii="Arial" w:eastAsia="Arial" w:hAnsi="Arial" w:cs="Arial"/>
        </w:rPr>
        <w:tab/>
      </w:r>
      <w:r w:rsidR="00B82F49">
        <w:rPr>
          <w:rFonts w:ascii="Arial" w:eastAsia="Arial" w:hAnsi="Arial" w:cs="Arial"/>
        </w:rPr>
        <w:tab/>
      </w:r>
      <w:r w:rsidR="00B82F49">
        <w:rPr>
          <w:rFonts w:ascii="Arial" w:eastAsia="Arial" w:hAnsi="Arial" w:cs="Arial"/>
        </w:rPr>
        <w:tab/>
      </w:r>
      <w:r w:rsidR="00B82F49">
        <w:rPr>
          <w:rFonts w:ascii="Arial" w:eastAsia="Arial" w:hAnsi="Arial" w:cs="Arial"/>
        </w:rPr>
        <w:tab/>
        <w:t>Ing. Jaroslav Zámečník CSc.</w:t>
      </w:r>
    </w:p>
    <w:p w:rsidR="00B82F49" w:rsidRDefault="00622376" w:rsidP="00B82F49">
      <w:pPr>
        <w:tabs>
          <w:tab w:val="left" w:pos="2410"/>
        </w:tabs>
      </w:pPr>
      <w:r>
        <w:rPr>
          <w:rFonts w:ascii="Arial" w:eastAsia="Arial" w:hAnsi="Arial" w:cs="Arial"/>
        </w:rPr>
        <w:t>Vedoucí technického odboru</w:t>
      </w:r>
      <w:r w:rsidR="00B82F49">
        <w:rPr>
          <w:rFonts w:ascii="Arial" w:eastAsia="Arial" w:hAnsi="Arial" w:cs="Arial"/>
        </w:rPr>
        <w:tab/>
      </w:r>
      <w:r w:rsidR="00B82F49">
        <w:rPr>
          <w:rFonts w:ascii="Arial" w:eastAsia="Arial" w:hAnsi="Arial" w:cs="Arial"/>
        </w:rPr>
        <w:tab/>
      </w:r>
      <w:r w:rsidR="00B82F49">
        <w:rPr>
          <w:rFonts w:ascii="Arial" w:eastAsia="Arial" w:hAnsi="Arial" w:cs="Arial"/>
        </w:rPr>
        <w:tab/>
      </w:r>
      <w:r w:rsidR="00B82F49">
        <w:rPr>
          <w:rFonts w:ascii="Arial" w:eastAsia="Arial" w:hAnsi="Arial" w:cs="Arial"/>
        </w:rPr>
        <w:tab/>
        <w:t>jednatel Euroregionu Nisa</w:t>
      </w:r>
    </w:p>
    <w:p w:rsidR="00CB543A" w:rsidRDefault="00CB543A"/>
    <w:p w:rsidR="00CB543A" w:rsidRDefault="00CB543A"/>
    <w:sectPr w:rsidR="00CB543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7D" w:rsidRDefault="0091747D">
      <w:r>
        <w:separator/>
      </w:r>
    </w:p>
  </w:endnote>
  <w:endnote w:type="continuationSeparator" w:id="0">
    <w:p w:rsidR="0091747D" w:rsidRDefault="0091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43A" w:rsidRDefault="001C434C" w:rsidP="005D7B13">
    <w:pPr>
      <w:spacing w:after="1004"/>
      <w:ind w:left="4387" w:right="7" w:hanging="4395"/>
    </w:pPr>
    <w:r>
      <w:tab/>
    </w:r>
    <w:r>
      <w:fldChar w:fldCharType="begin"/>
    </w:r>
    <w:r>
      <w:instrText>PAGE</w:instrText>
    </w:r>
    <w:r>
      <w:fldChar w:fldCharType="separate"/>
    </w:r>
    <w:r w:rsidR="001468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7D" w:rsidRDefault="0091747D">
      <w:r>
        <w:separator/>
      </w:r>
    </w:p>
  </w:footnote>
  <w:footnote w:type="continuationSeparator" w:id="0">
    <w:p w:rsidR="0091747D" w:rsidRDefault="0091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43A" w:rsidRDefault="001C434C">
    <w:pPr>
      <w:tabs>
        <w:tab w:val="left" w:pos="400"/>
        <w:tab w:val="left" w:pos="540"/>
        <w:tab w:val="right" w:pos="9062"/>
      </w:tabs>
      <w:spacing w:before="708" w:after="120"/>
      <w:ind w:left="709" w:hanging="426"/>
      <w:jc w:val="center"/>
    </w:pPr>
    <w:r>
      <w:rPr>
        <w:noProof/>
      </w:rPr>
      <w:drawing>
        <wp:inline distT="0" distB="0" distL="114300" distR="114300" wp14:anchorId="17EB8F6B" wp14:editId="17EB8F6C">
          <wp:extent cx="4119245" cy="679450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9245" cy="679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543A" w:rsidRDefault="00CB54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AD5"/>
    <w:multiLevelType w:val="multilevel"/>
    <w:tmpl w:val="108040D2"/>
    <w:lvl w:ilvl="0">
      <w:start w:val="1"/>
      <w:numFmt w:val="lowerLetter"/>
      <w:lvlText w:val="%1."/>
      <w:lvlJc w:val="left"/>
      <w:pPr>
        <w:ind w:left="786" w:firstLine="425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1" w15:restartNumberingAfterBreak="0">
    <w:nsid w:val="06F77358"/>
    <w:multiLevelType w:val="multilevel"/>
    <w:tmpl w:val="B23AFBA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B364044"/>
    <w:multiLevelType w:val="multilevel"/>
    <w:tmpl w:val="7406A8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1C5C1B3A"/>
    <w:multiLevelType w:val="multilevel"/>
    <w:tmpl w:val="686C88E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3AF397C"/>
    <w:multiLevelType w:val="multilevel"/>
    <w:tmpl w:val="0D76DA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E38286D"/>
    <w:multiLevelType w:val="multilevel"/>
    <w:tmpl w:val="38A8DA5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1FD4D34"/>
    <w:multiLevelType w:val="multilevel"/>
    <w:tmpl w:val="2652871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7" w15:restartNumberingAfterBreak="0">
    <w:nsid w:val="4831491D"/>
    <w:multiLevelType w:val="multilevel"/>
    <w:tmpl w:val="4D924F2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B9132C0"/>
    <w:multiLevelType w:val="multilevel"/>
    <w:tmpl w:val="710683E6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9" w15:restartNumberingAfterBreak="0">
    <w:nsid w:val="6FC5213B"/>
    <w:multiLevelType w:val="hybridMultilevel"/>
    <w:tmpl w:val="F6E8BF82"/>
    <w:lvl w:ilvl="0" w:tplc="8612F32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B6CF4"/>
    <w:multiLevelType w:val="multilevel"/>
    <w:tmpl w:val="153C171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C3B40BA"/>
    <w:multiLevelType w:val="multilevel"/>
    <w:tmpl w:val="AC40B85C"/>
    <w:lvl w:ilvl="0">
      <w:start w:val="1"/>
      <w:numFmt w:val="decimal"/>
      <w:lvlText w:val="%1."/>
      <w:lvlJc w:val="left"/>
      <w:pPr>
        <w:ind w:left="1658" w:firstLine="129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78" w:firstLine="201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98" w:firstLine="291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18" w:firstLine="345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38" w:firstLine="417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58" w:firstLine="507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78" w:firstLine="561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98" w:firstLine="633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18" w:firstLine="7238"/>
      </w:pPr>
      <w:rPr>
        <w:vertAlign w:val="baseline"/>
      </w:rPr>
    </w:lvl>
  </w:abstractNum>
  <w:abstractNum w:abstractNumId="12" w15:restartNumberingAfterBreak="0">
    <w:nsid w:val="7D81214F"/>
    <w:multiLevelType w:val="multilevel"/>
    <w:tmpl w:val="F9A866B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E6C4F16"/>
    <w:multiLevelType w:val="multilevel"/>
    <w:tmpl w:val="8AA678C8"/>
    <w:lvl w:ilvl="0">
      <w:start w:val="1"/>
      <w:numFmt w:val="decimal"/>
      <w:lvlText w:val="%1."/>
      <w:lvlJc w:val="left"/>
      <w:pPr>
        <w:ind w:left="360" w:firstLine="0"/>
      </w:pPr>
      <w:rPr>
        <w:b w:val="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A"/>
    <w:rsid w:val="000B786F"/>
    <w:rsid w:val="0014688F"/>
    <w:rsid w:val="001C434C"/>
    <w:rsid w:val="004B34F2"/>
    <w:rsid w:val="005D7B13"/>
    <w:rsid w:val="00622376"/>
    <w:rsid w:val="0091747D"/>
    <w:rsid w:val="00AC19AC"/>
    <w:rsid w:val="00AE514B"/>
    <w:rsid w:val="00B60F96"/>
    <w:rsid w:val="00B82F49"/>
    <w:rsid w:val="00C95EFA"/>
    <w:rsid w:val="00CB543A"/>
    <w:rsid w:val="00D01355"/>
    <w:rsid w:val="00DF1688"/>
    <w:rsid w:val="00E17085"/>
    <w:rsid w:val="00EB5198"/>
    <w:rsid w:val="00F05FD2"/>
    <w:rsid w:val="00F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F0D70-DD4F-40FD-885E-33E51ABE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5D7B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23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F9C4B983</Template>
  <TotalTime>0</TotalTime>
  <Pages>5</Pages>
  <Words>1421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Kendžirová Lenka</dc:creator>
  <cp:lastModifiedBy>Prorok Martin</cp:lastModifiedBy>
  <cp:revision>2</cp:revision>
  <cp:lastPrinted>2017-11-08T11:45:00Z</cp:lastPrinted>
  <dcterms:created xsi:type="dcterms:W3CDTF">2017-11-20T14:16:00Z</dcterms:created>
  <dcterms:modified xsi:type="dcterms:W3CDTF">2017-11-20T14:16:00Z</dcterms:modified>
</cp:coreProperties>
</file>