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569" w:rsidRDefault="004F2E98">
      <w:pPr>
        <w:spacing w:after="81" w:line="259" w:lineRule="auto"/>
        <w:ind w:left="1123" w:firstLine="0"/>
        <w:jc w:val="center"/>
      </w:pPr>
      <w:r>
        <w:rPr>
          <w:sz w:val="42"/>
        </w:rPr>
        <w:t>Příkazní smlouva</w:t>
      </w:r>
    </w:p>
    <w:p w:rsidR="00782569" w:rsidRDefault="004F2E98">
      <w:pPr>
        <w:spacing w:after="790" w:line="265" w:lineRule="auto"/>
        <w:ind w:left="879" w:right="-274" w:hanging="10"/>
        <w:jc w:val="center"/>
      </w:pPr>
      <w:r>
        <w:t>uzavřená v souladu s Občanským zákoníkem č. 89/2012 Sb. v platném znění</w:t>
      </w:r>
    </w:p>
    <w:p w:rsidR="00782569" w:rsidRDefault="004F2E98">
      <w:pPr>
        <w:spacing w:after="0"/>
        <w:ind w:left="1166" w:firstLine="0"/>
      </w:pPr>
      <w:r>
        <w:t>Č</w:t>
      </w:r>
      <w:r>
        <w:t>íslo smlouvy příkazce: 06EU-002717</w:t>
      </w:r>
    </w:p>
    <w:p w:rsidR="00782569" w:rsidRPr="004F2E98" w:rsidRDefault="004F2E98">
      <w:pPr>
        <w:spacing w:after="17"/>
        <w:ind w:left="1166" w:firstLine="0"/>
        <w:rPr>
          <w:highlight w:val="black"/>
        </w:rPr>
      </w:pPr>
      <w:r>
        <w:t>Č</w:t>
      </w:r>
      <w:r>
        <w:t xml:space="preserve">íslo smlouvy příkazníka: </w:t>
      </w:r>
      <w:r w:rsidRPr="004F2E98">
        <w:rPr>
          <w:highlight w:val="black"/>
        </w:rPr>
        <w:t>16PL31002</w:t>
      </w:r>
    </w:p>
    <w:p w:rsidR="00782569" w:rsidRPr="004F2E98" w:rsidRDefault="004F2E98">
      <w:pPr>
        <w:spacing w:after="557"/>
        <w:ind w:left="1166" w:firstLine="0"/>
        <w:rPr>
          <w:highlight w:val="black"/>
        </w:rPr>
      </w:pPr>
      <w:r>
        <w:t xml:space="preserve">Financování : </w:t>
      </w:r>
      <w:r w:rsidRPr="004F2E98">
        <w:rPr>
          <w:highlight w:val="black"/>
        </w:rPr>
        <w:t>500 155 0003</w:t>
      </w:r>
    </w:p>
    <w:p w:rsidR="00782569" w:rsidRDefault="004F2E98">
      <w:pPr>
        <w:pStyle w:val="Nadpis1"/>
        <w:ind w:left="1253" w:right="106"/>
      </w:pPr>
      <w:r>
        <w:t>Ú</w:t>
      </w:r>
      <w:r>
        <w:t>vodní ustanovení</w:t>
      </w:r>
    </w:p>
    <w:p w:rsidR="00782569" w:rsidRDefault="004F2E98">
      <w:pPr>
        <w:spacing w:after="26" w:line="259" w:lineRule="auto"/>
        <w:ind w:left="1176" w:firstLine="0"/>
        <w:jc w:val="left"/>
      </w:pPr>
      <w:r>
        <w:rPr>
          <w:sz w:val="26"/>
        </w:rPr>
        <w:t>1. Smluvní strany</w:t>
      </w:r>
    </w:p>
    <w:tbl>
      <w:tblPr>
        <w:tblStyle w:val="TableGrid"/>
        <w:tblW w:w="8435" w:type="dxa"/>
        <w:tblInd w:w="1411" w:type="dxa"/>
        <w:tblCellMar>
          <w:top w:w="0" w:type="dxa"/>
          <w:left w:w="0" w:type="dxa"/>
          <w:bottom w:w="0" w:type="dxa"/>
          <w:right w:w="0" w:type="dxa"/>
        </w:tblCellMar>
        <w:tblLook w:val="04A0" w:firstRow="1" w:lastRow="0" w:firstColumn="1" w:lastColumn="0" w:noHBand="0" w:noVBand="1"/>
      </w:tblPr>
      <w:tblGrid>
        <w:gridCol w:w="1459"/>
        <w:gridCol w:w="6976"/>
      </w:tblGrid>
      <w:tr w:rsidR="00782569">
        <w:trPr>
          <w:trHeight w:val="3219"/>
        </w:trPr>
        <w:tc>
          <w:tcPr>
            <w:tcW w:w="1459" w:type="dxa"/>
            <w:tcBorders>
              <w:top w:val="nil"/>
              <w:left w:val="nil"/>
              <w:bottom w:val="nil"/>
              <w:right w:val="nil"/>
            </w:tcBorders>
          </w:tcPr>
          <w:p w:rsidR="00782569" w:rsidRDefault="004F2E98">
            <w:pPr>
              <w:spacing w:after="0" w:line="259" w:lineRule="auto"/>
              <w:ind w:left="58" w:firstLine="0"/>
              <w:jc w:val="left"/>
            </w:pPr>
            <w:r>
              <w:t>Příkazce:</w:t>
            </w:r>
          </w:p>
        </w:tc>
        <w:tc>
          <w:tcPr>
            <w:tcW w:w="6975" w:type="dxa"/>
            <w:tcBorders>
              <w:top w:val="nil"/>
              <w:left w:val="nil"/>
              <w:bottom w:val="nil"/>
              <w:right w:val="nil"/>
            </w:tcBorders>
          </w:tcPr>
          <w:p w:rsidR="00782569" w:rsidRDefault="004F2E98">
            <w:pPr>
              <w:spacing w:after="32" w:line="240" w:lineRule="auto"/>
              <w:ind w:left="0" w:right="3744" w:firstLine="5"/>
              <w:jc w:val="left"/>
            </w:pPr>
            <w:r>
              <w:rPr>
                <w:sz w:val="26"/>
              </w:rPr>
              <w:t>Ředitelství silnic a dálnic Č</w:t>
            </w:r>
            <w:r>
              <w:rPr>
                <w:sz w:val="26"/>
              </w:rPr>
              <w:t>R Na Pankráci 56, 145 05 Praha Zastoupené:</w:t>
            </w:r>
          </w:p>
          <w:p w:rsidR="00782569" w:rsidRDefault="004F2E98">
            <w:pPr>
              <w:spacing w:after="0" w:line="259" w:lineRule="auto"/>
              <w:ind w:left="10" w:firstLine="0"/>
              <w:jc w:val="left"/>
            </w:pPr>
            <w:r w:rsidRPr="004F2E98">
              <w:rPr>
                <w:highlight w:val="black"/>
              </w:rPr>
              <w:t>Ing. Zdeňkem Kuťákem, pověřeným řízením</w:t>
            </w:r>
            <w:r>
              <w:t xml:space="preserve"> Správy Plzeň</w:t>
            </w:r>
          </w:p>
          <w:p w:rsidR="00782569" w:rsidRDefault="004F2E98">
            <w:pPr>
              <w:spacing w:after="0" w:line="259" w:lineRule="auto"/>
              <w:ind w:left="5" w:firstLine="0"/>
              <w:jc w:val="left"/>
            </w:pPr>
            <w:r>
              <w:t>Hřímalého 37, 301 00 Plzeň</w:t>
            </w:r>
          </w:p>
          <w:p w:rsidR="00782569" w:rsidRDefault="004F2E98" w:rsidP="004F2E98">
            <w:pPr>
              <w:spacing w:after="24" w:line="266" w:lineRule="auto"/>
              <w:ind w:left="5" w:right="2813" w:firstLine="0"/>
              <w:jc w:val="left"/>
            </w:pPr>
            <w:r>
              <w:t xml:space="preserve">Telefon: </w:t>
            </w:r>
            <w:r w:rsidRPr="004F2E98">
              <w:rPr>
                <w:highlight w:val="black"/>
              </w:rPr>
              <w:t xml:space="preserve">377 333 711 </w:t>
            </w:r>
            <w:r>
              <w:t xml:space="preserve">Fax: </w:t>
            </w:r>
            <w:r w:rsidRPr="004F2E98">
              <w:rPr>
                <w:highlight w:val="black"/>
              </w:rPr>
              <w:t xml:space="preserve">377 422 619 </w:t>
            </w:r>
            <w:r>
              <w:t xml:space="preserve">bankovní spojení: </w:t>
            </w:r>
            <w:r w:rsidRPr="004F2E98">
              <w:rPr>
                <w:highlight w:val="black"/>
              </w:rPr>
              <w:t xml:space="preserve">Komerční banka Praha I </w:t>
            </w:r>
            <w:r>
              <w:t xml:space="preserve">číslo účtu: </w:t>
            </w:r>
            <w:r w:rsidRPr="004F2E98">
              <w:rPr>
                <w:highlight w:val="black"/>
              </w:rPr>
              <w:t xml:space="preserve">51-1422200277/0100 </w:t>
            </w:r>
            <w:r>
              <w:t xml:space="preserve">                            </w:t>
            </w:r>
            <w:r>
              <w:t>IČO: 659 93 390</w:t>
            </w:r>
          </w:p>
          <w:p w:rsidR="00782569" w:rsidRDefault="004F2E98" w:rsidP="004F2E98">
            <w:pPr>
              <w:tabs>
                <w:tab w:val="center" w:pos="1699"/>
              </w:tabs>
              <w:spacing w:after="0" w:line="259" w:lineRule="auto"/>
              <w:ind w:left="0" w:firstLine="0"/>
              <w:jc w:val="left"/>
            </w:pPr>
            <w:r>
              <w:t>DIČ:</w:t>
            </w:r>
            <w:r>
              <w:tab/>
              <w:t>CZ659 93 390</w:t>
            </w:r>
          </w:p>
        </w:tc>
      </w:tr>
      <w:tr w:rsidR="00782569">
        <w:trPr>
          <w:trHeight w:val="3618"/>
        </w:trPr>
        <w:tc>
          <w:tcPr>
            <w:tcW w:w="1459" w:type="dxa"/>
            <w:tcBorders>
              <w:top w:val="nil"/>
              <w:left w:val="nil"/>
              <w:bottom w:val="nil"/>
              <w:right w:val="nil"/>
            </w:tcBorders>
            <w:vAlign w:val="bottom"/>
          </w:tcPr>
          <w:p w:rsidR="00782569" w:rsidRDefault="004F2E98">
            <w:pPr>
              <w:spacing w:after="2903" w:line="259" w:lineRule="auto"/>
              <w:ind w:left="0" w:firstLine="0"/>
              <w:jc w:val="left"/>
            </w:pPr>
            <w:r>
              <w:t>Příkazník:</w:t>
            </w:r>
          </w:p>
          <w:p w:rsidR="00782569" w:rsidRDefault="004F2E98">
            <w:pPr>
              <w:spacing w:after="0" w:line="259" w:lineRule="auto"/>
              <w:ind w:left="34" w:firstLine="0"/>
              <w:jc w:val="left"/>
            </w:pPr>
            <w:r>
              <w:t>Název akce</w:t>
            </w:r>
            <w:r>
              <w:rPr>
                <w:noProof/>
              </w:rPr>
              <w:drawing>
                <wp:inline distT="0" distB="0" distL="0" distR="0">
                  <wp:extent cx="24387" cy="21341"/>
                  <wp:effectExtent l="0" t="0" r="0" b="0"/>
                  <wp:docPr id="999" name="Picture 999"/>
                  <wp:cNvGraphicFramePr/>
                  <a:graphic xmlns:a="http://schemas.openxmlformats.org/drawingml/2006/main">
                    <a:graphicData uri="http://schemas.openxmlformats.org/drawingml/2006/picture">
                      <pic:pic xmlns:pic="http://schemas.openxmlformats.org/drawingml/2006/picture">
                        <pic:nvPicPr>
                          <pic:cNvPr id="999" name="Picture 999"/>
                          <pic:cNvPicPr/>
                        </pic:nvPicPr>
                        <pic:blipFill>
                          <a:blip r:embed="rId5"/>
                          <a:stretch>
                            <a:fillRect/>
                          </a:stretch>
                        </pic:blipFill>
                        <pic:spPr>
                          <a:xfrm>
                            <a:off x="0" y="0"/>
                            <a:ext cx="24387" cy="21341"/>
                          </a:xfrm>
                          <a:prstGeom prst="rect">
                            <a:avLst/>
                          </a:prstGeom>
                        </pic:spPr>
                      </pic:pic>
                    </a:graphicData>
                  </a:graphic>
                </wp:inline>
              </w:drawing>
            </w:r>
            <w:r>
              <w:rPr>
                <w:noProof/>
              </w:rPr>
              <w:t>:</w:t>
            </w:r>
          </w:p>
        </w:tc>
        <w:tc>
          <w:tcPr>
            <w:tcW w:w="6975" w:type="dxa"/>
            <w:tcBorders>
              <w:top w:val="nil"/>
              <w:left w:val="nil"/>
              <w:bottom w:val="nil"/>
              <w:right w:val="nil"/>
            </w:tcBorders>
          </w:tcPr>
          <w:p w:rsidR="00782569" w:rsidRDefault="004F2E98">
            <w:pPr>
              <w:spacing w:after="1" w:line="253" w:lineRule="auto"/>
              <w:ind w:left="0" w:right="989" w:firstLine="5"/>
              <w:jc w:val="left"/>
            </w:pPr>
            <w:r>
              <w:t xml:space="preserve">Valbek, spol. s r.o, se sídlem: Vaňurova 505/1 7, 460 07 Liberec kontaktní a doručovací adresa: Parková 1205/1 1, 326 00 Plzeň zastoupený: </w:t>
            </w:r>
            <w:r w:rsidRPr="004F2E98">
              <w:rPr>
                <w:highlight w:val="black"/>
              </w:rPr>
              <w:t>Ing. Robert Vorschneider, na základě plné moci</w:t>
            </w:r>
            <w:r>
              <w:t xml:space="preserve"> telefon: </w:t>
            </w:r>
            <w:r w:rsidRPr="004F2E98">
              <w:rPr>
                <w:highlight w:val="black"/>
              </w:rPr>
              <w:t>377 481 220</w:t>
            </w:r>
            <w:r>
              <w:t xml:space="preserve"> bankovní spojení: </w:t>
            </w:r>
            <w:r w:rsidRPr="004F2E98">
              <w:rPr>
                <w:highlight w:val="black"/>
              </w:rPr>
              <w:t>Komerční banka a.s.</w:t>
            </w:r>
          </w:p>
          <w:p w:rsidR="00782569" w:rsidRDefault="004F2E98" w:rsidP="004F2E98">
            <w:pPr>
              <w:spacing w:after="310" w:line="253" w:lineRule="auto"/>
              <w:ind w:left="5" w:right="4484" w:firstLine="0"/>
              <w:jc w:val="left"/>
            </w:pPr>
            <w:r>
              <w:t xml:space="preserve">č. účtu: </w:t>
            </w:r>
            <w:r w:rsidRPr="004F2E98">
              <w:rPr>
                <w:highlight w:val="black"/>
              </w:rPr>
              <w:t>50</w:t>
            </w:r>
            <w:r w:rsidRPr="004F2E98">
              <w:rPr>
                <w:highlight w:val="black"/>
              </w:rPr>
              <w:t>48650267/01</w:t>
            </w:r>
            <w:r>
              <w:t xml:space="preserve"> IČ</w:t>
            </w:r>
            <w:r>
              <w:t xml:space="preserve">: 48266230                            </w:t>
            </w:r>
            <w:r>
              <w:t>DIČ: CZ48266230</w:t>
            </w:r>
          </w:p>
          <w:p w:rsidR="004F2E98" w:rsidRDefault="004F2E98">
            <w:pPr>
              <w:spacing w:after="0" w:line="259" w:lineRule="auto"/>
              <w:ind w:left="38" w:firstLine="0"/>
              <w:jc w:val="left"/>
            </w:pPr>
          </w:p>
          <w:p w:rsidR="004F2E98" w:rsidRDefault="004F2E98">
            <w:pPr>
              <w:spacing w:after="0" w:line="259" w:lineRule="auto"/>
              <w:ind w:left="38" w:firstLine="0"/>
              <w:jc w:val="left"/>
            </w:pPr>
          </w:p>
          <w:p w:rsidR="00782569" w:rsidRDefault="004F2E98">
            <w:pPr>
              <w:spacing w:after="0" w:line="259" w:lineRule="auto"/>
              <w:ind w:left="38" w:firstLine="0"/>
              <w:jc w:val="left"/>
            </w:pPr>
            <w:r>
              <w:rPr>
                <w:noProof/>
              </w:rPr>
              <w:drawing>
                <wp:inline distT="0" distB="0" distL="0" distR="0">
                  <wp:extent cx="4404923" cy="228658"/>
                  <wp:effectExtent l="0" t="0" r="0" b="0"/>
                  <wp:docPr id="1062" name="Picture 1062"/>
                  <wp:cNvGraphicFramePr/>
                  <a:graphic xmlns:a="http://schemas.openxmlformats.org/drawingml/2006/main">
                    <a:graphicData uri="http://schemas.openxmlformats.org/drawingml/2006/picture">
                      <pic:pic xmlns:pic="http://schemas.openxmlformats.org/drawingml/2006/picture">
                        <pic:nvPicPr>
                          <pic:cNvPr id="1062" name="Picture 1062"/>
                          <pic:cNvPicPr/>
                        </pic:nvPicPr>
                        <pic:blipFill>
                          <a:blip r:embed="rId6"/>
                          <a:stretch>
                            <a:fillRect/>
                          </a:stretch>
                        </pic:blipFill>
                        <pic:spPr>
                          <a:xfrm>
                            <a:off x="0" y="0"/>
                            <a:ext cx="4404923" cy="228658"/>
                          </a:xfrm>
                          <a:prstGeom prst="rect">
                            <a:avLst/>
                          </a:prstGeom>
                        </pic:spPr>
                      </pic:pic>
                    </a:graphicData>
                  </a:graphic>
                </wp:inline>
              </w:drawing>
            </w:r>
          </w:p>
        </w:tc>
      </w:tr>
    </w:tbl>
    <w:p w:rsidR="00782569" w:rsidRDefault="004F2E98">
      <w:pPr>
        <w:spacing w:after="10" w:line="259" w:lineRule="auto"/>
        <w:ind w:left="1119" w:firstLine="0"/>
        <w:jc w:val="center"/>
      </w:pPr>
      <w:r>
        <w:rPr>
          <w:sz w:val="22"/>
        </w:rPr>
        <w:t>II</w:t>
      </w:r>
      <w:r>
        <w:rPr>
          <w:sz w:val="22"/>
        </w:rPr>
        <w:t>.</w:t>
      </w:r>
    </w:p>
    <w:p w:rsidR="00782569" w:rsidRDefault="004F2E98">
      <w:pPr>
        <w:pStyle w:val="Nadpis1"/>
        <w:spacing w:after="435"/>
        <w:ind w:left="1253" w:right="125"/>
      </w:pPr>
      <w:r>
        <w:t>Předmět smlouvy</w:t>
      </w:r>
    </w:p>
    <w:p w:rsidR="00782569" w:rsidRDefault="004F2E98">
      <w:pPr>
        <w:spacing w:after="1"/>
        <w:ind w:left="1440"/>
      </w:pPr>
      <w:r>
        <w:t>l . Předmětem akce je realizace „INŽENÝRSKÉ ČINNOSTI VEDOUCÍ K ZAJIŠTĚNÍ POTŘEBNÉHO PRÁVOPLATNÉHO PRA</w:t>
      </w:r>
      <w:r>
        <w:t>VOMOCNÉHO STAVEBNÍHO</w:t>
      </w:r>
    </w:p>
    <w:p w:rsidR="00782569" w:rsidRDefault="004F2E98">
      <w:pPr>
        <w:ind w:left="1435" w:firstLine="0"/>
      </w:pPr>
      <w:r>
        <w:t xml:space="preserve">POVOLENI” — </w:t>
      </w:r>
      <w:r>
        <w:t>přesný rozsah prací je specifi</w:t>
      </w:r>
      <w:r>
        <w:t>kován v tabulce k ocenění prací pro zajištění stavebního povolení (příloha smlouvy).</w:t>
      </w:r>
    </w:p>
    <w:p w:rsidR="00782569" w:rsidRDefault="004F2E98">
      <w:pPr>
        <w:numPr>
          <w:ilvl w:val="0"/>
          <w:numId w:val="1"/>
        </w:numPr>
        <w:spacing w:after="506"/>
        <w:ind w:right="190"/>
      </w:pPr>
      <w:r>
        <w:t xml:space="preserve">IČ bude vykonávána dle uvedených technických podmínek a požadavků. v souladu se </w:t>
      </w:r>
      <w:r>
        <w:t>Směrnicí pro dokumentaci staveb pozemních komunika</w:t>
      </w:r>
      <w:r>
        <w:t>cí” schválenou MD Ol č.j. 101/07— 910-IPKJI ze dne 29.1</w:t>
      </w:r>
      <w:r>
        <w:t>.2007. s účinností od 1.02.2007 a předpisy MD ČR pro výstavbu pozemních komunikací a bude vykonávána dle technických norem a souvisejících předpisů. Dále bude souladu s TKP pro dokumentaci staveb pozem</w:t>
      </w:r>
      <w:r>
        <w:t xml:space="preserve">ních komunikací a se stavebním </w:t>
      </w:r>
      <w:r>
        <w:lastRenderedPageBreak/>
        <w:t>zákonem č. 183/2006 Sb., včetně souvisejících prováděcích vyhlášek a zákonem č. 89/2012 Sb., Občanský zákoník,</w:t>
      </w:r>
      <w:r>
        <w:t xml:space="preserve"> ve znění pozdějších předpisů a bude plně respektovat příslušné Č</w:t>
      </w:r>
      <w:r>
        <w:t>SN, ON, TKP a všechny obecně platné zákony a vyhlá</w:t>
      </w:r>
      <w:r>
        <w:t>šky.</w:t>
      </w:r>
    </w:p>
    <w:p w:rsidR="00782569" w:rsidRDefault="004F2E98">
      <w:pPr>
        <w:numPr>
          <w:ilvl w:val="0"/>
          <w:numId w:val="1"/>
        </w:numPr>
        <w:spacing w:after="30"/>
        <w:ind w:right="190"/>
      </w:pPr>
      <w:r>
        <w:t>Jakékoliv změny oproti sjednanému druhu,</w:t>
      </w:r>
      <w:r>
        <w:t xml:space="preserve"> rozsahu a termínu dokončení činností, které vyplynou z dodatečných požadavků příkazce, ze změny obecně závazných právních předpisů, z požadavků veřejnoprávních org</w:t>
      </w:r>
      <w:r>
        <w:t>ánů nebo z důvodů vyšší moci či nepředpokládaných překážek,</w:t>
      </w:r>
      <w:r>
        <w:t xml:space="preserve"> neležících na straně příkazníka, budou předmětem dodatků k této smlouvě.</w:t>
      </w:r>
    </w:p>
    <w:p w:rsidR="00782569" w:rsidRDefault="004F2E98">
      <w:pPr>
        <w:spacing w:after="560"/>
        <w:ind w:left="1325" w:hanging="38"/>
      </w:pPr>
      <w:r>
        <w:t>V těchto dodatcích bude dohodnuta odpovídající změna předmětu smlouvy</w:t>
      </w:r>
      <w:r>
        <w:t>, doby plnění a ceny za činnost.</w:t>
      </w:r>
    </w:p>
    <w:p w:rsidR="00782569" w:rsidRDefault="004F2E98">
      <w:pPr>
        <w:spacing w:after="33" w:line="259" w:lineRule="auto"/>
        <w:ind w:left="1095" w:right="221" w:hanging="10"/>
        <w:jc w:val="center"/>
      </w:pPr>
      <w:r>
        <w:rPr>
          <w:sz w:val="20"/>
        </w:rPr>
        <w:t>III</w:t>
      </w:r>
      <w:r>
        <w:rPr>
          <w:sz w:val="20"/>
        </w:rPr>
        <w:t>.</w:t>
      </w:r>
    </w:p>
    <w:p w:rsidR="00782569" w:rsidRDefault="004F2E98">
      <w:pPr>
        <w:pStyle w:val="Nadpis1"/>
        <w:ind w:left="1253" w:right="370"/>
      </w:pPr>
      <w:r>
        <w:t>Doba plnění</w:t>
      </w:r>
    </w:p>
    <w:p w:rsidR="00782569" w:rsidRDefault="004F2E98">
      <w:pPr>
        <w:spacing w:after="123"/>
        <w:ind w:left="1075" w:firstLine="0"/>
      </w:pPr>
      <w:r>
        <w:t>l . Smluvní strany se dohodly, že výsledek činnos</w:t>
      </w:r>
      <w:r>
        <w:t>ti bude dokončen v termínu:</w:t>
      </w:r>
    </w:p>
    <w:p w:rsidR="00782569" w:rsidRDefault="004F2E98">
      <w:pPr>
        <w:tabs>
          <w:tab w:val="center" w:pos="2523"/>
          <w:tab w:val="center" w:pos="6368"/>
        </w:tabs>
        <w:spacing w:after="852"/>
        <w:ind w:left="0" w:firstLine="0"/>
        <w:jc w:val="left"/>
      </w:pPr>
      <w:r>
        <w:tab/>
        <w:t>získání pravomocného SP</w:t>
      </w:r>
      <w:r>
        <w:tab/>
        <w:t>do 09/2017</w:t>
      </w:r>
    </w:p>
    <w:p w:rsidR="00782569" w:rsidRDefault="004F2E98">
      <w:pPr>
        <w:spacing w:after="164" w:line="265" w:lineRule="auto"/>
        <w:ind w:left="879" w:hanging="10"/>
        <w:jc w:val="center"/>
      </w:pPr>
      <w:r>
        <w:t>Cena</w:t>
      </w:r>
    </w:p>
    <w:p w:rsidR="00782569" w:rsidRDefault="004F2E98">
      <w:pPr>
        <w:spacing w:after="30"/>
        <w:ind w:left="1407" w:right="77" w:hanging="336"/>
      </w:pPr>
      <w:r>
        <w:t xml:space="preserve">l . Příkazce se zavazuje zaplatit příkazníkovi za provedení činností cenu stanovenou </w:t>
      </w:r>
      <w:r>
        <w:rPr>
          <w:noProof/>
        </w:rPr>
        <w:drawing>
          <wp:inline distT="0" distB="0" distL="0" distR="0">
            <wp:extent cx="3049" cy="3049"/>
            <wp:effectExtent l="0" t="0" r="0" b="0"/>
            <wp:docPr id="2943" name="Picture 2943"/>
            <wp:cNvGraphicFramePr/>
            <a:graphic xmlns:a="http://schemas.openxmlformats.org/drawingml/2006/main">
              <a:graphicData uri="http://schemas.openxmlformats.org/drawingml/2006/picture">
                <pic:pic xmlns:pic="http://schemas.openxmlformats.org/drawingml/2006/picture">
                  <pic:nvPicPr>
                    <pic:cNvPr id="2943" name="Picture 2943"/>
                    <pic:cNvPicPr/>
                  </pic:nvPicPr>
                  <pic:blipFill>
                    <a:blip r:embed="rId7"/>
                    <a:stretch>
                      <a:fillRect/>
                    </a:stretch>
                  </pic:blipFill>
                  <pic:spPr>
                    <a:xfrm>
                      <a:off x="0" y="0"/>
                      <a:ext cx="3049" cy="3049"/>
                    </a:xfrm>
                    <a:prstGeom prst="rect">
                      <a:avLst/>
                    </a:prstGeom>
                  </pic:spPr>
                </pic:pic>
              </a:graphicData>
            </a:graphic>
          </wp:inline>
        </w:drawing>
      </w:r>
      <w:r>
        <w:t>v souladu se zákonem č. 526/1990. Sb., která je nejvýše přípustná a činí:</w:t>
      </w:r>
    </w:p>
    <w:tbl>
      <w:tblPr>
        <w:tblStyle w:val="TableGrid"/>
        <w:tblW w:w="6894" w:type="dxa"/>
        <w:tblInd w:w="1762" w:type="dxa"/>
        <w:tblCellMar>
          <w:top w:w="0" w:type="dxa"/>
          <w:left w:w="0" w:type="dxa"/>
          <w:bottom w:w="0" w:type="dxa"/>
          <w:right w:w="0" w:type="dxa"/>
        </w:tblCellMar>
        <w:tblLook w:val="04A0" w:firstRow="1" w:lastRow="0" w:firstColumn="1" w:lastColumn="0" w:noHBand="0" w:noVBand="1"/>
      </w:tblPr>
      <w:tblGrid>
        <w:gridCol w:w="3735"/>
        <w:gridCol w:w="1599"/>
        <w:gridCol w:w="1560"/>
      </w:tblGrid>
      <w:tr w:rsidR="00782569">
        <w:trPr>
          <w:trHeight w:val="242"/>
        </w:trPr>
        <w:tc>
          <w:tcPr>
            <w:tcW w:w="3735" w:type="dxa"/>
            <w:tcBorders>
              <w:top w:val="nil"/>
              <w:left w:val="nil"/>
              <w:bottom w:val="nil"/>
              <w:right w:val="nil"/>
            </w:tcBorders>
          </w:tcPr>
          <w:p w:rsidR="00782569" w:rsidRDefault="004F2E98">
            <w:pPr>
              <w:spacing w:after="0" w:line="259" w:lineRule="auto"/>
              <w:ind w:left="5" w:firstLine="0"/>
              <w:jc w:val="left"/>
            </w:pPr>
            <w:r>
              <w:t>Cena bez DPH celkem</w:t>
            </w:r>
          </w:p>
        </w:tc>
        <w:tc>
          <w:tcPr>
            <w:tcW w:w="1599" w:type="dxa"/>
            <w:tcBorders>
              <w:top w:val="nil"/>
              <w:left w:val="nil"/>
              <w:bottom w:val="nil"/>
              <w:right w:val="nil"/>
            </w:tcBorders>
          </w:tcPr>
          <w:p w:rsidR="00782569" w:rsidRDefault="00782569">
            <w:pPr>
              <w:spacing w:after="160" w:line="259" w:lineRule="auto"/>
              <w:ind w:left="0" w:firstLine="0"/>
              <w:jc w:val="left"/>
            </w:pPr>
          </w:p>
        </w:tc>
        <w:tc>
          <w:tcPr>
            <w:tcW w:w="1560" w:type="dxa"/>
            <w:tcBorders>
              <w:top w:val="nil"/>
              <w:left w:val="nil"/>
              <w:bottom w:val="nil"/>
              <w:right w:val="nil"/>
            </w:tcBorders>
          </w:tcPr>
          <w:p w:rsidR="00782569" w:rsidRDefault="004F2E98">
            <w:pPr>
              <w:spacing w:after="0" w:line="259" w:lineRule="auto"/>
              <w:ind w:left="91" w:firstLine="0"/>
            </w:pPr>
            <w:r>
              <w:t>1 800 000,- Kč</w:t>
            </w:r>
          </w:p>
        </w:tc>
      </w:tr>
      <w:tr w:rsidR="00782569">
        <w:trPr>
          <w:trHeight w:val="281"/>
        </w:trPr>
        <w:tc>
          <w:tcPr>
            <w:tcW w:w="3735" w:type="dxa"/>
            <w:tcBorders>
              <w:top w:val="nil"/>
              <w:left w:val="nil"/>
              <w:bottom w:val="nil"/>
              <w:right w:val="nil"/>
            </w:tcBorders>
          </w:tcPr>
          <w:p w:rsidR="00782569" w:rsidRDefault="004F2E98">
            <w:pPr>
              <w:spacing w:after="0" w:line="259" w:lineRule="auto"/>
              <w:ind w:left="0" w:firstLine="0"/>
              <w:jc w:val="left"/>
            </w:pPr>
            <w:r>
              <w:t xml:space="preserve">DPH 21 </w:t>
            </w:r>
            <w:r>
              <w:rPr>
                <w:vertAlign w:val="superscript"/>
              </w:rPr>
              <w:t xml:space="preserve">% </w:t>
            </w:r>
            <w:r>
              <w:t xml:space="preserve"> celkem</w:t>
            </w:r>
          </w:p>
        </w:tc>
        <w:tc>
          <w:tcPr>
            <w:tcW w:w="1599" w:type="dxa"/>
            <w:tcBorders>
              <w:top w:val="nil"/>
              <w:left w:val="nil"/>
              <w:bottom w:val="nil"/>
              <w:right w:val="nil"/>
            </w:tcBorders>
            <w:vAlign w:val="bottom"/>
          </w:tcPr>
          <w:p w:rsidR="00782569" w:rsidRDefault="004F2E98">
            <w:pPr>
              <w:spacing w:after="0" w:line="259" w:lineRule="auto"/>
              <w:ind w:left="1200" w:firstLine="0"/>
              <w:jc w:val="left"/>
            </w:pPr>
            <w:r>
              <w:rPr>
                <w:noProof/>
              </w:rPr>
              <w:drawing>
                <wp:inline distT="0" distB="0" distL="0" distR="0">
                  <wp:extent cx="24387" cy="36585"/>
                  <wp:effectExtent l="0" t="0" r="0" b="0"/>
                  <wp:docPr id="2944" name="Picture 2944"/>
                  <wp:cNvGraphicFramePr/>
                  <a:graphic xmlns:a="http://schemas.openxmlformats.org/drawingml/2006/main">
                    <a:graphicData uri="http://schemas.openxmlformats.org/drawingml/2006/picture">
                      <pic:pic xmlns:pic="http://schemas.openxmlformats.org/drawingml/2006/picture">
                        <pic:nvPicPr>
                          <pic:cNvPr id="2944" name="Picture 2944"/>
                          <pic:cNvPicPr/>
                        </pic:nvPicPr>
                        <pic:blipFill>
                          <a:blip r:embed="rId8"/>
                          <a:stretch>
                            <a:fillRect/>
                          </a:stretch>
                        </pic:blipFill>
                        <pic:spPr>
                          <a:xfrm>
                            <a:off x="0" y="0"/>
                            <a:ext cx="24387" cy="36585"/>
                          </a:xfrm>
                          <a:prstGeom prst="rect">
                            <a:avLst/>
                          </a:prstGeom>
                        </pic:spPr>
                      </pic:pic>
                    </a:graphicData>
                  </a:graphic>
                </wp:inline>
              </w:drawing>
            </w:r>
          </w:p>
        </w:tc>
        <w:tc>
          <w:tcPr>
            <w:tcW w:w="1560" w:type="dxa"/>
            <w:tcBorders>
              <w:top w:val="nil"/>
              <w:left w:val="nil"/>
              <w:bottom w:val="nil"/>
              <w:right w:val="nil"/>
            </w:tcBorders>
          </w:tcPr>
          <w:p w:rsidR="00782569" w:rsidRDefault="004F2E98">
            <w:pPr>
              <w:spacing w:after="0" w:line="259" w:lineRule="auto"/>
              <w:ind w:left="0" w:right="5" w:firstLine="0"/>
              <w:jc w:val="right"/>
            </w:pPr>
            <w:r>
              <w:t>378 000,- Kč</w:t>
            </w:r>
          </w:p>
        </w:tc>
      </w:tr>
      <w:tr w:rsidR="00782569">
        <w:trPr>
          <w:trHeight w:val="245"/>
        </w:trPr>
        <w:tc>
          <w:tcPr>
            <w:tcW w:w="3735" w:type="dxa"/>
            <w:tcBorders>
              <w:top w:val="nil"/>
              <w:left w:val="nil"/>
              <w:bottom w:val="nil"/>
              <w:right w:val="nil"/>
            </w:tcBorders>
          </w:tcPr>
          <w:p w:rsidR="00782569" w:rsidRDefault="004F2E98">
            <w:pPr>
              <w:spacing w:after="0" w:line="259" w:lineRule="auto"/>
              <w:ind w:left="5" w:firstLine="0"/>
              <w:jc w:val="left"/>
            </w:pPr>
            <w:r>
              <w:t>Cena vč. DPH celkem</w:t>
            </w:r>
          </w:p>
        </w:tc>
        <w:tc>
          <w:tcPr>
            <w:tcW w:w="1599" w:type="dxa"/>
            <w:tcBorders>
              <w:top w:val="nil"/>
              <w:left w:val="nil"/>
              <w:bottom w:val="nil"/>
              <w:right w:val="nil"/>
            </w:tcBorders>
          </w:tcPr>
          <w:p w:rsidR="00782569" w:rsidRDefault="00782569">
            <w:pPr>
              <w:spacing w:after="160" w:line="259" w:lineRule="auto"/>
              <w:ind w:left="0" w:firstLine="0"/>
              <w:jc w:val="left"/>
            </w:pPr>
          </w:p>
        </w:tc>
        <w:tc>
          <w:tcPr>
            <w:tcW w:w="1560" w:type="dxa"/>
            <w:tcBorders>
              <w:top w:val="nil"/>
              <w:left w:val="nil"/>
              <w:bottom w:val="nil"/>
              <w:right w:val="nil"/>
            </w:tcBorders>
          </w:tcPr>
          <w:p w:rsidR="00782569" w:rsidRDefault="004F2E98">
            <w:pPr>
              <w:spacing w:after="0" w:line="259" w:lineRule="auto"/>
              <w:ind w:left="72" w:firstLine="0"/>
            </w:pPr>
            <w:r>
              <w:t xml:space="preserve"> </w:t>
            </w:r>
            <w:bookmarkStart w:id="0" w:name="_GoBack"/>
            <w:bookmarkEnd w:id="0"/>
            <w:r>
              <w:t>2 178 000,- Kč</w:t>
            </w:r>
          </w:p>
        </w:tc>
      </w:tr>
    </w:tbl>
    <w:p w:rsidR="00782569" w:rsidRDefault="004F2E98">
      <w:pPr>
        <w:ind w:left="1320" w:firstLine="10"/>
      </w:pPr>
      <w:r>
        <w:t>V ceně za dílo jsou zahrnuty veškeré náklady na vlastní zajištění pravomocných stavebních povolení.</w:t>
      </w:r>
    </w:p>
    <w:p w:rsidR="00782569" w:rsidRDefault="004F2E98">
      <w:pPr>
        <w:numPr>
          <w:ilvl w:val="0"/>
          <w:numId w:val="2"/>
        </w:numPr>
        <w:spacing w:after="136"/>
        <w:ind w:right="60" w:hanging="264"/>
      </w:pPr>
      <w:r>
        <w:t>Dodatečné a mimořádné činnosti musí být doloženy rozpisem o jejich nezby</w:t>
      </w:r>
      <w:r>
        <w:t>tnosti .</w:t>
      </w:r>
    </w:p>
    <w:p w:rsidR="00782569" w:rsidRDefault="004F2E98">
      <w:pPr>
        <w:numPr>
          <w:ilvl w:val="0"/>
          <w:numId w:val="2"/>
        </w:numPr>
        <w:spacing w:after="1120"/>
        <w:ind w:right="60" w:hanging="264"/>
      </w:pPr>
      <w:r>
        <w:t>Veškerá rozhodnutí, která mají vliv na cenu činností a základní parametry budou předem s příkazcem projednány,</w:t>
      </w:r>
    </w:p>
    <w:p w:rsidR="00782569" w:rsidRDefault="004F2E98">
      <w:pPr>
        <w:pStyle w:val="Nadpis1"/>
        <w:ind w:left="1253" w:right="379"/>
      </w:pPr>
      <w:r>
        <w:t>Způsob a místo předání</w:t>
      </w:r>
    </w:p>
    <w:p w:rsidR="00782569" w:rsidRDefault="004F2E98">
      <w:pPr>
        <w:ind w:left="1335" w:right="197"/>
      </w:pPr>
      <w:r>
        <w:t>l . Výsledek činnosti (příslušná pravomoc</w:t>
      </w:r>
      <w:r>
        <w:t>ná stavební povolení) bude předán v rozsahu dohodnutém touto smlouvou, osobně pověřenému zástupci příkazce nebo poštou, a to kompletní.</w:t>
      </w:r>
    </w:p>
    <w:p w:rsidR="00782569" w:rsidRDefault="004F2E98">
      <w:pPr>
        <w:numPr>
          <w:ilvl w:val="0"/>
          <w:numId w:val="3"/>
        </w:numPr>
        <w:ind w:left="1382" w:hanging="283"/>
      </w:pPr>
      <w:r>
        <w:t>Příkazník je oprávněn splnit předmět smlouvy i před sjednanou dobou plnění.</w:t>
      </w:r>
    </w:p>
    <w:p w:rsidR="00782569" w:rsidRDefault="004F2E98">
      <w:pPr>
        <w:numPr>
          <w:ilvl w:val="0"/>
          <w:numId w:val="3"/>
        </w:numPr>
        <w:ind w:left="1382" w:hanging="283"/>
      </w:pPr>
      <w:r>
        <w:t>Příkazník předá příkazci podklady pro vešker</w:t>
      </w:r>
      <w:r>
        <w:t>á stavební povolení včetně vydaných stavebních povolení s nabytím právní moci příkazci 2x v tištěné formě (originály</w:t>
      </w:r>
      <w:r>
        <w:t xml:space="preserve"> dokumentace) a 6x na CD.</w:t>
      </w:r>
    </w:p>
    <w:p w:rsidR="00782569" w:rsidRDefault="004F2E98">
      <w:pPr>
        <w:numPr>
          <w:ilvl w:val="0"/>
          <w:numId w:val="3"/>
        </w:numPr>
        <w:spacing w:after="850"/>
        <w:ind w:left="1382" w:hanging="283"/>
      </w:pPr>
      <w:r>
        <w:lastRenderedPageBreak/>
        <w:t>Poplatky za veškerá stavební povolení bude hradit příkazník.</w:t>
      </w:r>
    </w:p>
    <w:p w:rsidR="00782569" w:rsidRDefault="004F2E98">
      <w:pPr>
        <w:pStyle w:val="Nadpis1"/>
        <w:ind w:left="1253" w:right="259"/>
      </w:pPr>
      <w:r>
        <w:t>Platební podmínky</w:t>
      </w:r>
    </w:p>
    <w:p w:rsidR="00782569" w:rsidRDefault="004F2E98">
      <w:pPr>
        <w:spacing w:after="184"/>
        <w:ind w:left="1440"/>
      </w:pPr>
      <w:r>
        <w:t>l . Příkazce se zavazuje zaplatit příkazníkovi cenu za provedené činnosti na základě faktur vystavených příkazníkem.</w:t>
      </w:r>
    </w:p>
    <w:p w:rsidR="00782569" w:rsidRDefault="004F2E98">
      <w:pPr>
        <w:spacing w:after="833"/>
        <w:ind w:left="1359" w:right="115"/>
      </w:pPr>
      <w:r>
        <w:t>2. Smluvní strany se dohodly</w:t>
      </w:r>
      <w:r>
        <w:t xml:space="preserve"> na tom, že faktury jsou příkazcem splatné ve lhůtě splatnosti, která činí 30 kalendářních dnů ode dne doručení</w:t>
      </w:r>
      <w:r>
        <w:t xml:space="preserve"> faktury. Tento peněžitý závazek je splněn připsáním fakturované částky na účet příkazníka u jeho banky</w:t>
      </w:r>
      <w:r>
        <w:t>.</w:t>
      </w:r>
    </w:p>
    <w:p w:rsidR="00782569" w:rsidRDefault="004F2E98">
      <w:pPr>
        <w:spacing w:after="0" w:line="265" w:lineRule="auto"/>
        <w:ind w:left="1253" w:right="14" w:hanging="10"/>
        <w:jc w:val="center"/>
      </w:pPr>
      <w:r>
        <w:rPr>
          <w:sz w:val="26"/>
        </w:rPr>
        <w:t>VII.</w:t>
      </w:r>
    </w:p>
    <w:p w:rsidR="00782569" w:rsidRDefault="004F2E98">
      <w:pPr>
        <w:pStyle w:val="Nadpis1"/>
        <w:ind w:left="1253"/>
      </w:pPr>
      <w:r>
        <w:t>Smluvní pokuty</w:t>
      </w:r>
    </w:p>
    <w:p w:rsidR="00782569" w:rsidRDefault="004F2E98">
      <w:pPr>
        <w:ind w:left="1373" w:right="120"/>
      </w:pPr>
      <w:r>
        <w:t>l . V případě, že příkazník nedodrží dobu plnění předmětu smlouvy ve smluveném rozsahu, (příslušná pravomocná stavební povolení) za</w:t>
      </w:r>
      <w:r>
        <w:t xml:space="preserve">vazuje se zaplatit příkazci smluvní pokutu ve výši 0,05 % z ceny předmětu plnění (bez DPH) za každý den prodlení </w:t>
      </w:r>
      <w:r>
        <w:rPr>
          <w:noProof/>
        </w:rPr>
        <w:drawing>
          <wp:inline distT="0" distB="0" distL="0" distR="0">
            <wp:extent cx="21338" cy="36585"/>
            <wp:effectExtent l="0" t="0" r="0" b="0"/>
            <wp:docPr id="5015" name="Picture 5015"/>
            <wp:cNvGraphicFramePr/>
            <a:graphic xmlns:a="http://schemas.openxmlformats.org/drawingml/2006/main">
              <a:graphicData uri="http://schemas.openxmlformats.org/drawingml/2006/picture">
                <pic:pic xmlns:pic="http://schemas.openxmlformats.org/drawingml/2006/picture">
                  <pic:nvPicPr>
                    <pic:cNvPr id="5015" name="Picture 5015"/>
                    <pic:cNvPicPr/>
                  </pic:nvPicPr>
                  <pic:blipFill>
                    <a:blip r:embed="rId9"/>
                    <a:stretch>
                      <a:fillRect/>
                    </a:stretch>
                  </pic:blipFill>
                  <pic:spPr>
                    <a:xfrm>
                      <a:off x="0" y="0"/>
                      <a:ext cx="21338" cy="36585"/>
                    </a:xfrm>
                    <a:prstGeom prst="rect">
                      <a:avLst/>
                    </a:prstGeom>
                  </pic:spPr>
                </pic:pic>
              </a:graphicData>
            </a:graphic>
          </wp:inline>
        </w:drawing>
      </w:r>
      <w:r>
        <w:t>maximálně však 25 % z ceny.</w:t>
      </w:r>
    </w:p>
    <w:p w:rsidR="00782569" w:rsidRDefault="004F2E98">
      <w:pPr>
        <w:spacing w:after="850"/>
        <w:ind w:left="1349" w:right="120"/>
      </w:pPr>
      <w:r>
        <w:t>2. Při prodlení s úhradou peněžitého plnění dle této smlouvy je příkazce povinen zaplatit příkazníkovi smluvní pok</w:t>
      </w:r>
      <w:r>
        <w:t>utu ve výši 0,05 % z dlužné částky bez DPH od data splatnosti faktury za každý den prodlení do zaplacení. Zaplacením smluvní pokuty není dotčeno právo zhotovitele na náhradu škody.</w:t>
      </w:r>
    </w:p>
    <w:p w:rsidR="00782569" w:rsidRDefault="004F2E98">
      <w:pPr>
        <w:pStyle w:val="Nadpis1"/>
        <w:ind w:left="1253" w:right="317"/>
      </w:pPr>
      <w:r>
        <w:t>Další ujednání</w:t>
      </w:r>
    </w:p>
    <w:p w:rsidR="00782569" w:rsidRDefault="004F2E98">
      <w:pPr>
        <w:ind w:left="1354"/>
      </w:pPr>
      <w:r>
        <w:t>l . Příkazník bude při plnění této smlouvy postupovat s odbo</w:t>
      </w:r>
      <w:r>
        <w:t>rnou péčí. Zavazuje se dodržovat obecně závazné předpisy a technické normy, které se vztahují k výkonu činnosti.</w:t>
      </w:r>
    </w:p>
    <w:p w:rsidR="00782569" w:rsidRDefault="004F2E98">
      <w:pPr>
        <w:ind w:left="1330" w:right="139"/>
      </w:pPr>
      <w:r>
        <w:t>2, Příkazce je oprávněn použít předmět této smlouvy výlučně jen pro účely přípravy nebo realizace akce vyplývající z této smlouvy. Jeho jiné vy</w:t>
      </w:r>
      <w:r>
        <w:t>užití (zejména přenechání k využití třetím osobám nebo pro jiné účely) je možné pouze s výslovným písemným souhlasem příkazníka a za podmínek s ním dohodnutých.</w:t>
      </w:r>
    </w:p>
    <w:p w:rsidR="00782569" w:rsidRDefault="004F2E98">
      <w:pPr>
        <w:numPr>
          <w:ilvl w:val="0"/>
          <w:numId w:val="4"/>
        </w:numPr>
        <w:ind w:right="106"/>
      </w:pPr>
      <w:r>
        <w:t>Veškerá oznámení nebo sdělení (prováděná v souvislosti s touto smlouvou) musí mít písemnou form</w:t>
      </w:r>
      <w:r>
        <w:t>u. Oznámení nebo sdělení podle této smlouvy</w:t>
      </w:r>
      <w:r>
        <w:t xml:space="preserve"> jsou řádně doručena adresátovi, jsou-li předána osobně nebo zaslána doporučenou listovní zásilkou na adresy smluvních stran uvedené v záhlaví této smlouvy</w:t>
      </w:r>
      <w:r>
        <w:t>.</w:t>
      </w:r>
    </w:p>
    <w:p w:rsidR="00782569" w:rsidRDefault="004F2E98">
      <w:pPr>
        <w:numPr>
          <w:ilvl w:val="0"/>
          <w:numId w:val="4"/>
        </w:numPr>
        <w:spacing w:after="834"/>
        <w:ind w:right="106"/>
      </w:pPr>
      <w:r>
        <w:t xml:space="preserve">Předávají-li se oznámení nebo sdělení osobně, pokládají </w:t>
      </w:r>
      <w:r>
        <w:t>se tato za řádně doručená potvrzením kopie příjemcem doručiteli. Při doručování poštou pokládají se oznámení nebo sdělení za řádně doručená dnem předání listovní zásilky příjemci, nebo dnem, kdy příjemce při prvním pokusu o doručení zásilku z jakýchkoli důvodů nepřevzal,</w:t>
      </w:r>
      <w:r>
        <w:t xml:space="preserve"> či odmítl zásilku převzít.</w:t>
      </w:r>
    </w:p>
    <w:p w:rsidR="00782569" w:rsidRDefault="004F2E98">
      <w:pPr>
        <w:pStyle w:val="Nadpis1"/>
        <w:ind w:left="1253" w:right="158"/>
      </w:pPr>
      <w:r>
        <w:lastRenderedPageBreak/>
        <w:t>Závěrečná ustanovení</w:t>
      </w:r>
    </w:p>
    <w:p w:rsidR="00782569" w:rsidRDefault="004F2E98">
      <w:pPr>
        <w:ind w:left="1440"/>
      </w:pPr>
      <w:r>
        <w:t>l . Smluvní strany se dohodly, že případné spory vzniklé ze závazků sjednaných touto smlouvou budou řešit vzájemným jednáním.</w:t>
      </w:r>
    </w:p>
    <w:p w:rsidR="00782569" w:rsidRDefault="004F2E98">
      <w:pPr>
        <w:numPr>
          <w:ilvl w:val="0"/>
          <w:numId w:val="5"/>
        </w:numPr>
        <w:spacing w:after="268"/>
        <w:ind w:hanging="278"/>
      </w:pPr>
      <w:r>
        <w:t xml:space="preserve">Ve věcech touto smlouvou neupravených se smluvní vztah řídí občanským </w:t>
      </w:r>
      <w:r>
        <w:rPr>
          <w:noProof/>
        </w:rPr>
        <w:drawing>
          <wp:inline distT="0" distB="0" distL="0" distR="0">
            <wp:extent cx="3049" cy="6098"/>
            <wp:effectExtent l="0" t="0" r="0" b="0"/>
            <wp:docPr id="6533" name="Picture 6533"/>
            <wp:cNvGraphicFramePr/>
            <a:graphic xmlns:a="http://schemas.openxmlformats.org/drawingml/2006/main">
              <a:graphicData uri="http://schemas.openxmlformats.org/drawingml/2006/picture">
                <pic:pic xmlns:pic="http://schemas.openxmlformats.org/drawingml/2006/picture">
                  <pic:nvPicPr>
                    <pic:cNvPr id="6533" name="Picture 6533"/>
                    <pic:cNvPicPr/>
                  </pic:nvPicPr>
                  <pic:blipFill>
                    <a:blip r:embed="rId10"/>
                    <a:stretch>
                      <a:fillRect/>
                    </a:stretch>
                  </pic:blipFill>
                  <pic:spPr>
                    <a:xfrm>
                      <a:off x="0" y="0"/>
                      <a:ext cx="3049" cy="6098"/>
                    </a:xfrm>
                    <a:prstGeom prst="rect">
                      <a:avLst/>
                    </a:prstGeom>
                  </pic:spPr>
                </pic:pic>
              </a:graphicData>
            </a:graphic>
          </wp:inline>
        </w:drawing>
      </w:r>
      <w:r>
        <w:t>zákoníkem.</w:t>
      </w:r>
    </w:p>
    <w:p w:rsidR="00782569" w:rsidRDefault="004F2E98">
      <w:pPr>
        <w:numPr>
          <w:ilvl w:val="0"/>
          <w:numId w:val="5"/>
        </w:numPr>
        <w:spacing w:after="265"/>
        <w:ind w:hanging="278"/>
      </w:pPr>
      <w:r>
        <w:t>'Tuto smlouvu lze měnit jen vzájemnou dohodou smluvních stran, a to pouze písemnou formou.</w:t>
      </w:r>
    </w:p>
    <w:p w:rsidR="00782569" w:rsidRDefault="004F2E98">
      <w:pPr>
        <w:numPr>
          <w:ilvl w:val="0"/>
          <w:numId w:val="5"/>
        </w:numPr>
        <w:ind w:hanging="278"/>
      </w:pPr>
      <w:r>
        <w:t>Tato smlouva se sepisuje ve čty</w:t>
      </w:r>
      <w:r>
        <w:t>řech vyhotoveních, z nichž každá smluvní strana obdr</w:t>
      </w:r>
      <w:r>
        <w:t>ží dva výtisky.</w:t>
      </w:r>
    </w:p>
    <w:p w:rsidR="00782569" w:rsidRDefault="004F2E98">
      <w:pPr>
        <w:numPr>
          <w:ilvl w:val="0"/>
          <w:numId w:val="5"/>
        </w:numPr>
        <w:ind w:hanging="278"/>
      </w:pPr>
      <w:r>
        <w:t>Smluvní strany prohlašují, že toto je jejich svobodná, pravá a vážně míněná vůle uzavřít smlouvu s výše uvedeným obsahem. Na důkaz toho připojují oprávnění zástupci smluvních stran své podpisy.</w:t>
      </w:r>
    </w:p>
    <w:p w:rsidR="00782569" w:rsidRDefault="004F2E98">
      <w:pPr>
        <w:numPr>
          <w:ilvl w:val="0"/>
          <w:numId w:val="5"/>
        </w:numPr>
        <w:ind w:hanging="278"/>
      </w:pPr>
      <w:r>
        <w:t xml:space="preserve">Tato smlouva vstupuje v platnost dnem podpisu </w:t>
      </w:r>
      <w:r>
        <w:t>oběma stranami.</w:t>
      </w:r>
    </w:p>
    <w:p w:rsidR="00782569" w:rsidRDefault="004F2E98">
      <w:pPr>
        <w:numPr>
          <w:ilvl w:val="0"/>
          <w:numId w:val="5"/>
        </w:numPr>
        <w:spacing w:after="382"/>
        <w:ind w:hanging="278"/>
      </w:pPr>
      <w:r>
        <w:t>Tato smlouva má 4 strany a 1</w:t>
      </w:r>
      <w:r>
        <w:t xml:space="preserve"> přílohu (soupis prací).</w:t>
      </w:r>
    </w:p>
    <w:p w:rsidR="004F2E98" w:rsidRDefault="004F2E98" w:rsidP="004F2E98">
      <w:pPr>
        <w:spacing w:after="382"/>
        <w:ind w:left="1444" w:firstLine="0"/>
      </w:pPr>
    </w:p>
    <w:p w:rsidR="004F2E98" w:rsidRDefault="004F2E98" w:rsidP="004F2E98">
      <w:pPr>
        <w:spacing w:after="382"/>
        <w:ind w:left="1444" w:firstLine="0"/>
      </w:pPr>
      <w:r>
        <w:t>V Plzni dne 27.05.2016</w:t>
      </w:r>
    </w:p>
    <w:p w:rsidR="00782569" w:rsidRDefault="004F2E98" w:rsidP="004F2E98">
      <w:pPr>
        <w:tabs>
          <w:tab w:val="center" w:pos="1299"/>
          <w:tab w:val="right" w:pos="10254"/>
        </w:tabs>
        <w:spacing w:after="125"/>
        <w:ind w:left="0" w:firstLine="0"/>
        <w:jc w:val="left"/>
      </w:pPr>
      <w:r>
        <w:tab/>
      </w:r>
    </w:p>
    <w:p w:rsidR="00782569" w:rsidRDefault="00782569">
      <w:pPr>
        <w:spacing w:after="653" w:line="259" w:lineRule="auto"/>
        <w:ind w:left="1143" w:firstLine="0"/>
        <w:jc w:val="left"/>
      </w:pPr>
    </w:p>
    <w:p w:rsidR="004F2E98" w:rsidRDefault="004F2E98">
      <w:pPr>
        <w:spacing w:after="653" w:line="259" w:lineRule="auto"/>
        <w:ind w:left="1143" w:firstLine="0"/>
        <w:jc w:val="left"/>
      </w:pPr>
    </w:p>
    <w:p w:rsidR="004F2E98" w:rsidRDefault="004F2E98">
      <w:pPr>
        <w:spacing w:after="653" w:line="259" w:lineRule="auto"/>
        <w:ind w:left="1143" w:firstLine="0"/>
        <w:jc w:val="left"/>
      </w:pPr>
    </w:p>
    <w:p w:rsidR="004F2E98" w:rsidRDefault="004F2E98">
      <w:pPr>
        <w:spacing w:after="653" w:line="259" w:lineRule="auto"/>
        <w:ind w:left="1143" w:firstLine="0"/>
        <w:jc w:val="left"/>
      </w:pPr>
    </w:p>
    <w:p w:rsidR="004F2E98" w:rsidRDefault="004F2E98">
      <w:pPr>
        <w:spacing w:after="653" w:line="259" w:lineRule="auto"/>
        <w:ind w:left="1143" w:firstLine="0"/>
        <w:jc w:val="left"/>
      </w:pPr>
    </w:p>
    <w:p w:rsidR="004F2E98" w:rsidRDefault="004F2E98">
      <w:pPr>
        <w:spacing w:after="653" w:line="259" w:lineRule="auto"/>
        <w:ind w:left="1143" w:firstLine="0"/>
        <w:jc w:val="left"/>
      </w:pPr>
    </w:p>
    <w:p w:rsidR="004F2E98" w:rsidRDefault="004F2E98">
      <w:pPr>
        <w:spacing w:after="653" w:line="259" w:lineRule="auto"/>
        <w:ind w:left="1143" w:firstLine="0"/>
        <w:jc w:val="left"/>
      </w:pPr>
    </w:p>
    <w:p w:rsidR="004F2E98" w:rsidRDefault="004F2E98">
      <w:pPr>
        <w:spacing w:after="653" w:line="259" w:lineRule="auto"/>
        <w:ind w:left="1143" w:firstLine="0"/>
        <w:jc w:val="left"/>
      </w:pPr>
    </w:p>
    <w:sectPr w:rsidR="004F2E98" w:rsidSect="004F2E98">
      <w:pgSz w:w="11906" w:h="16838"/>
      <w:pgMar w:top="860" w:right="1455" w:bottom="845" w:left="1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3024"/>
    <w:multiLevelType w:val="hybridMultilevel"/>
    <w:tmpl w:val="0CFA40B4"/>
    <w:lvl w:ilvl="0" w:tplc="BD08693A">
      <w:start w:val="2"/>
      <w:numFmt w:val="decimal"/>
      <w:lvlText w:val="%1."/>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ECE6C">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24ADC">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268EE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0663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022F6C">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AD5A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2D09E">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30304A">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D80CFF"/>
    <w:multiLevelType w:val="hybridMultilevel"/>
    <w:tmpl w:val="789EADBE"/>
    <w:lvl w:ilvl="0" w:tplc="C7F49252">
      <w:start w:val="3"/>
      <w:numFmt w:val="decimal"/>
      <w:lvlText w:val="%1."/>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3A8B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FA04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A91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EC5C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9E87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E446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26D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24C1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A365C4"/>
    <w:multiLevelType w:val="hybridMultilevel"/>
    <w:tmpl w:val="ACC81356"/>
    <w:lvl w:ilvl="0" w:tplc="2DEAC97C">
      <w:start w:val="2"/>
      <w:numFmt w:val="decimal"/>
      <w:lvlText w:val="%1."/>
      <w:lvlJc w:val="left"/>
      <w:pPr>
        <w:ind w:left="1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5058D8">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9A5E80">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C5F1E">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665150">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654C6">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08B4E2">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847FAA">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D697F6">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6C02D8C"/>
    <w:multiLevelType w:val="hybridMultilevel"/>
    <w:tmpl w:val="36DC27DC"/>
    <w:lvl w:ilvl="0" w:tplc="6C7428B0">
      <w:start w:val="2"/>
      <w:numFmt w:val="decimal"/>
      <w:lvlText w:val="%1."/>
      <w:lvlJc w:val="left"/>
      <w:pPr>
        <w:ind w:left="1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7A67A6">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896B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0206A2">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967200">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ECCDBA">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20718">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FAD190">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25AB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15710E"/>
    <w:multiLevelType w:val="hybridMultilevel"/>
    <w:tmpl w:val="EA28AB66"/>
    <w:lvl w:ilvl="0" w:tplc="E53E146E">
      <w:start w:val="21"/>
      <w:numFmt w:val="decimal"/>
      <w:lvlText w:val="%1"/>
      <w:lvlJc w:val="left"/>
      <w:pPr>
        <w:ind w:left="763"/>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1" w:tplc="47482B0A">
      <w:start w:val="1"/>
      <w:numFmt w:val="lowerLetter"/>
      <w:lvlText w:val="%2"/>
      <w:lvlJc w:val="left"/>
      <w:pPr>
        <w:ind w:left="118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2" w:tplc="A24816EC">
      <w:start w:val="1"/>
      <w:numFmt w:val="lowerRoman"/>
      <w:lvlText w:val="%3"/>
      <w:lvlJc w:val="left"/>
      <w:pPr>
        <w:ind w:left="190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3" w:tplc="CCCC488A">
      <w:start w:val="1"/>
      <w:numFmt w:val="decimal"/>
      <w:lvlText w:val="%4"/>
      <w:lvlJc w:val="left"/>
      <w:pPr>
        <w:ind w:left="262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4" w:tplc="473EA608">
      <w:start w:val="1"/>
      <w:numFmt w:val="lowerLetter"/>
      <w:lvlText w:val="%5"/>
      <w:lvlJc w:val="left"/>
      <w:pPr>
        <w:ind w:left="334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5" w:tplc="215E8C8E">
      <w:start w:val="1"/>
      <w:numFmt w:val="lowerRoman"/>
      <w:lvlText w:val="%6"/>
      <w:lvlJc w:val="left"/>
      <w:pPr>
        <w:ind w:left="406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6" w:tplc="C4F8FDA8">
      <w:start w:val="1"/>
      <w:numFmt w:val="decimal"/>
      <w:lvlText w:val="%7"/>
      <w:lvlJc w:val="left"/>
      <w:pPr>
        <w:ind w:left="478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7" w:tplc="C89ED66C">
      <w:start w:val="1"/>
      <w:numFmt w:val="lowerLetter"/>
      <w:lvlText w:val="%8"/>
      <w:lvlJc w:val="left"/>
      <w:pPr>
        <w:ind w:left="550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lvl w:ilvl="8" w:tplc="90242DEE">
      <w:start w:val="1"/>
      <w:numFmt w:val="lowerRoman"/>
      <w:lvlText w:val="%9"/>
      <w:lvlJc w:val="left"/>
      <w:pPr>
        <w:ind w:left="6225"/>
      </w:pPr>
      <w:rPr>
        <w:rFonts w:ascii="Times New Roman" w:eastAsia="Times New Roman" w:hAnsi="Times New Roman" w:cs="Times New Roman"/>
        <w:b w:val="0"/>
        <w:i w:val="0"/>
        <w:strike w:val="0"/>
        <w:dstrike w:val="0"/>
        <w:color w:val="000000"/>
        <w:sz w:val="18"/>
        <w:szCs w:val="18"/>
        <w:u w:val="single" w:color="000000"/>
        <w:bdr w:val="none" w:sz="0" w:space="0" w:color="auto"/>
        <w:shd w:val="clear" w:color="auto" w:fill="auto"/>
        <w:vertAlign w:val="baseline"/>
      </w:rPr>
    </w:lvl>
  </w:abstractNum>
  <w:abstractNum w:abstractNumId="5" w15:restartNumberingAfterBreak="0">
    <w:nsid w:val="79D83186"/>
    <w:multiLevelType w:val="hybridMultilevel"/>
    <w:tmpl w:val="484638E8"/>
    <w:lvl w:ilvl="0" w:tplc="AC40C5A4">
      <w:start w:val="2"/>
      <w:numFmt w:val="decimal"/>
      <w:lvlText w:val="%1."/>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0B9EC">
      <w:start w:val="1"/>
      <w:numFmt w:val="lowerLetter"/>
      <w:lvlText w:val="%2"/>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A9B1C">
      <w:start w:val="1"/>
      <w:numFmt w:val="lowerRoman"/>
      <w:lvlText w:val="%3"/>
      <w:lvlJc w:val="left"/>
      <w:pPr>
        <w:ind w:left="1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265552">
      <w:start w:val="1"/>
      <w:numFmt w:val="decimal"/>
      <w:lvlText w:val="%4"/>
      <w:lvlJc w:val="left"/>
      <w:pPr>
        <w:ind w:left="2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4A558">
      <w:start w:val="1"/>
      <w:numFmt w:val="lowerLetter"/>
      <w:lvlText w:val="%5"/>
      <w:lvlJc w:val="left"/>
      <w:pPr>
        <w:ind w:left="3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4B740">
      <w:start w:val="1"/>
      <w:numFmt w:val="lowerRoman"/>
      <w:lvlText w:val="%6"/>
      <w:lvlJc w:val="left"/>
      <w:pPr>
        <w:ind w:left="3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E9190">
      <w:start w:val="1"/>
      <w:numFmt w:val="decimal"/>
      <w:lvlText w:val="%7"/>
      <w:lvlJc w:val="left"/>
      <w:pPr>
        <w:ind w:left="4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E79EE">
      <w:start w:val="1"/>
      <w:numFmt w:val="lowerLetter"/>
      <w:lvlText w:val="%8"/>
      <w:lvlJc w:val="left"/>
      <w:pPr>
        <w:ind w:left="5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E1A30">
      <w:start w:val="1"/>
      <w:numFmt w:val="lowerRoman"/>
      <w:lvlText w:val="%9"/>
      <w:lvlJc w:val="left"/>
      <w:pPr>
        <w:ind w:left="6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69"/>
    <w:rsid w:val="004F2E98"/>
    <w:rsid w:val="00782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F89E"/>
  <w15:docId w15:val="{862E13B0-5C85-4156-B0C0-8F420CBC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89" w:line="260" w:lineRule="auto"/>
      <w:ind w:left="1417" w:hanging="27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44" w:line="265" w:lineRule="auto"/>
      <w:ind w:left="1148"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585"/>
      <w:ind w:left="686"/>
      <w:jc w:val="center"/>
      <w:outlineLvl w:val="1"/>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2"/>
    </w:rPr>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921</Words>
  <Characters>5435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2</cp:revision>
  <dcterms:created xsi:type="dcterms:W3CDTF">2017-11-20T13:27:00Z</dcterms:created>
  <dcterms:modified xsi:type="dcterms:W3CDTF">2017-11-20T13:27:00Z</dcterms:modified>
</cp:coreProperties>
</file>