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497F20">
      <w:pPr>
        <w:pStyle w:val="Nzev"/>
      </w:pPr>
      <w:r w:rsidRPr="00DD0942">
        <w:t xml:space="preserve">Smlouva </w:t>
      </w:r>
      <w:r w:rsidR="00DC1F19" w:rsidRPr="00DD0942">
        <w:t xml:space="preserve">o poskytnutí </w:t>
      </w:r>
      <w:r w:rsidR="00DC1F19">
        <w:t>dotace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466659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410CA1">
        <w:rPr>
          <w:rFonts w:ascii="Arial" w:hAnsi="Arial" w:cs="Arial"/>
          <w:b/>
          <w:sz w:val="36"/>
        </w:rPr>
        <w:t>MJ-SML/</w:t>
      </w:r>
      <w:r w:rsidR="001B45E3">
        <w:rPr>
          <w:rFonts w:ascii="Arial" w:hAnsi="Arial" w:cs="Arial"/>
          <w:b/>
          <w:sz w:val="36"/>
        </w:rPr>
        <w:t>0666</w:t>
      </w:r>
      <w:r w:rsidR="00410CA1">
        <w:rPr>
          <w:rFonts w:ascii="Arial" w:hAnsi="Arial" w:cs="Arial"/>
          <w:b/>
          <w:sz w:val="36"/>
        </w:rPr>
        <w:t>/2017</w:t>
      </w:r>
    </w:p>
    <w:p w:rsidR="005C35FB" w:rsidRDefault="005C35FB" w:rsidP="00B51FDD">
      <w:pPr>
        <w:rPr>
          <w:rFonts w:ascii="Arial" w:hAnsi="Arial" w:cs="Arial"/>
          <w:b/>
          <w:sz w:val="28"/>
        </w:rPr>
      </w:pP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7C4E51">
        <w:rPr>
          <w:rFonts w:ascii="Arial" w:hAnsi="Arial" w:cs="Arial"/>
          <w:sz w:val="22"/>
          <w:szCs w:val="22"/>
        </w:rPr>
        <w:t>xxxxxxxxxxxx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549D" w:rsidRPr="005C35FB" w:rsidRDefault="0097549D" w:rsidP="0097549D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FK </w:t>
      </w:r>
      <w:proofErr w:type="gramStart"/>
      <w:r>
        <w:rPr>
          <w:rFonts w:cs="Arial"/>
          <w:sz w:val="22"/>
          <w:szCs w:val="22"/>
        </w:rPr>
        <w:t>Jeseník, z.s.</w:t>
      </w:r>
      <w:proofErr w:type="gramEnd"/>
    </w:p>
    <w:p w:rsidR="0097549D" w:rsidRPr="0042503F" w:rsidRDefault="0097549D" w:rsidP="0097549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Dukelská 498/19, 790 01 Jeseník</w:t>
      </w:r>
    </w:p>
    <w:p w:rsidR="0097549D" w:rsidRDefault="0097549D" w:rsidP="0097549D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F1295">
        <w:rPr>
          <w:rFonts w:ascii="Arial" w:hAnsi="Arial" w:cs="Arial"/>
          <w:sz w:val="22"/>
          <w:szCs w:val="22"/>
        </w:rPr>
        <w:t>Tomášem Břízou</w:t>
      </w:r>
      <w:r w:rsidRPr="005C35FB">
        <w:rPr>
          <w:rFonts w:ascii="Arial" w:hAnsi="Arial" w:cs="Arial"/>
          <w:sz w:val="22"/>
          <w:szCs w:val="22"/>
        </w:rPr>
        <w:tab/>
      </w:r>
    </w:p>
    <w:p w:rsidR="0097549D" w:rsidRPr="005C35FB" w:rsidRDefault="0097549D" w:rsidP="0097549D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26570831</w:t>
      </w:r>
    </w:p>
    <w:p w:rsidR="0097549D" w:rsidRPr="005C35FB" w:rsidRDefault="0097549D" w:rsidP="0097549D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C4E51">
        <w:rPr>
          <w:rFonts w:ascii="Arial" w:hAnsi="Arial" w:cs="Arial"/>
          <w:sz w:val="22"/>
          <w:szCs w:val="22"/>
        </w:rPr>
        <w:t>xxxxxxxxxxxxx</w:t>
      </w:r>
      <w:proofErr w:type="spellEnd"/>
    </w:p>
    <w:p w:rsidR="0097549D" w:rsidRPr="005C35FB" w:rsidRDefault="0097549D" w:rsidP="0097549D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(dále jen „příjemce“)</w:t>
      </w: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497F20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410CA1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B51FDD" w:rsidRDefault="00B51FDD" w:rsidP="00410CA1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="0097549D">
        <w:rPr>
          <w:rFonts w:ascii="Arial" w:hAnsi="Arial" w:cs="Arial"/>
          <w:sz w:val="22"/>
          <w:szCs w:val="22"/>
        </w:rPr>
        <w:t xml:space="preserve">ve výši </w:t>
      </w:r>
      <w:r w:rsidR="006F1295" w:rsidRPr="00107510">
        <w:rPr>
          <w:rFonts w:ascii="Arial" w:hAnsi="Arial" w:cs="Arial"/>
          <w:b/>
          <w:sz w:val="22"/>
          <w:szCs w:val="22"/>
        </w:rPr>
        <w:t>250</w:t>
      </w:r>
      <w:r w:rsidR="0097549D" w:rsidRPr="00107510">
        <w:rPr>
          <w:rFonts w:ascii="Arial" w:hAnsi="Arial" w:cs="Arial"/>
          <w:b/>
          <w:sz w:val="22"/>
          <w:szCs w:val="22"/>
        </w:rPr>
        <w:t>. 000,-</w:t>
      </w:r>
      <w:r w:rsidR="0097549D" w:rsidRPr="00107510">
        <w:rPr>
          <w:rFonts w:ascii="Arial" w:hAnsi="Arial" w:cs="Arial"/>
          <w:sz w:val="22"/>
          <w:szCs w:val="22"/>
        </w:rPr>
        <w:t xml:space="preserve"> </w:t>
      </w:r>
      <w:r w:rsidR="0097549D" w:rsidRPr="00107510">
        <w:rPr>
          <w:rFonts w:ascii="Arial" w:hAnsi="Arial" w:cs="Arial"/>
          <w:b/>
          <w:sz w:val="22"/>
          <w:szCs w:val="22"/>
        </w:rPr>
        <w:t>Kč,</w:t>
      </w:r>
      <w:r w:rsidR="0097549D" w:rsidRPr="00107510">
        <w:rPr>
          <w:rFonts w:ascii="Arial" w:hAnsi="Arial" w:cs="Arial"/>
          <w:sz w:val="22"/>
          <w:szCs w:val="22"/>
        </w:rPr>
        <w:t xml:space="preserve"> slovy: </w:t>
      </w:r>
      <w:r w:rsidR="006F1295" w:rsidRPr="00107510">
        <w:rPr>
          <w:rFonts w:ascii="Arial" w:hAnsi="Arial" w:cs="Arial"/>
          <w:sz w:val="22"/>
          <w:szCs w:val="22"/>
        </w:rPr>
        <w:t>Dvě</w:t>
      </w:r>
      <w:r w:rsidR="00107510" w:rsidRPr="00107510">
        <w:rPr>
          <w:rFonts w:ascii="Arial" w:hAnsi="Arial" w:cs="Arial"/>
          <w:sz w:val="22"/>
          <w:szCs w:val="22"/>
        </w:rPr>
        <w:t xml:space="preserve"> </w:t>
      </w:r>
      <w:r w:rsidR="006F1295" w:rsidRPr="00107510">
        <w:rPr>
          <w:rFonts w:ascii="Arial" w:hAnsi="Arial" w:cs="Arial"/>
          <w:sz w:val="22"/>
          <w:szCs w:val="22"/>
        </w:rPr>
        <w:t>stě</w:t>
      </w:r>
      <w:r w:rsidR="00107510" w:rsidRPr="00107510">
        <w:rPr>
          <w:rFonts w:ascii="Arial" w:hAnsi="Arial" w:cs="Arial"/>
          <w:sz w:val="22"/>
          <w:szCs w:val="22"/>
        </w:rPr>
        <w:t xml:space="preserve"> </w:t>
      </w:r>
      <w:r w:rsidR="006F1295" w:rsidRPr="00107510">
        <w:rPr>
          <w:rFonts w:ascii="Arial" w:hAnsi="Arial" w:cs="Arial"/>
          <w:sz w:val="22"/>
          <w:szCs w:val="22"/>
        </w:rPr>
        <w:t>padesát</w:t>
      </w:r>
      <w:r w:rsidR="00107510" w:rsidRPr="00107510">
        <w:rPr>
          <w:rFonts w:ascii="Arial" w:hAnsi="Arial" w:cs="Arial"/>
          <w:sz w:val="22"/>
          <w:szCs w:val="22"/>
        </w:rPr>
        <w:t xml:space="preserve"> </w:t>
      </w:r>
      <w:r w:rsidR="006F1295" w:rsidRPr="00107510">
        <w:rPr>
          <w:rFonts w:ascii="Arial" w:hAnsi="Arial" w:cs="Arial"/>
          <w:sz w:val="22"/>
          <w:szCs w:val="22"/>
        </w:rPr>
        <w:t>tisíc</w:t>
      </w:r>
      <w:r w:rsidR="0097549D" w:rsidRPr="00107510">
        <w:rPr>
          <w:rFonts w:ascii="Arial" w:hAnsi="Arial" w:cs="Arial"/>
          <w:sz w:val="22"/>
          <w:szCs w:val="22"/>
        </w:rPr>
        <w:t xml:space="preserve"> korun českých</w:t>
      </w:r>
      <w:r w:rsidR="0097549D" w:rsidRPr="00D322D7">
        <w:rPr>
          <w:rFonts w:ascii="Arial" w:hAnsi="Arial" w:cs="Arial"/>
          <w:sz w:val="22"/>
          <w:szCs w:val="22"/>
        </w:rPr>
        <w:t xml:space="preserve"> (dále jen "dotace").</w:t>
      </w:r>
      <w:r w:rsidR="00C12C3A" w:rsidRPr="00D322D7">
        <w:rPr>
          <w:rFonts w:ascii="Arial" w:hAnsi="Arial" w:cs="Arial"/>
          <w:sz w:val="22"/>
          <w:szCs w:val="22"/>
        </w:rPr>
        <w:t xml:space="preserve"> 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BD4EF7" w:rsidRPr="00410CA1" w:rsidRDefault="00BD4EF7" w:rsidP="00410CA1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10CA1">
        <w:rPr>
          <w:rFonts w:ascii="Arial" w:hAnsi="Arial" w:cs="Arial"/>
          <w:sz w:val="22"/>
          <w:szCs w:val="22"/>
        </w:rPr>
        <w:t xml:space="preserve">Účelem poskytnutí dotace je úhrada části nákladů souvisejících </w:t>
      </w:r>
      <w:r w:rsidR="00466659" w:rsidRPr="00107510">
        <w:rPr>
          <w:rFonts w:ascii="Arial" w:hAnsi="Arial" w:cs="Arial"/>
          <w:sz w:val="22"/>
          <w:szCs w:val="22"/>
        </w:rPr>
        <w:t>s</w:t>
      </w:r>
      <w:r w:rsidR="00466659" w:rsidRPr="00107510">
        <w:rPr>
          <w:rFonts w:ascii="Arial" w:hAnsi="Arial" w:cs="Arial"/>
          <w:bCs/>
          <w:sz w:val="22"/>
          <w:szCs w:val="22"/>
        </w:rPr>
        <w:t xml:space="preserve"> krytím nákladů podzimní části sezóny 2017/2018 divizi mužů</w:t>
      </w:r>
      <w:r w:rsidR="00410CA1" w:rsidRPr="00410CA1">
        <w:rPr>
          <w:rFonts w:ascii="Arial" w:hAnsi="Arial" w:cs="Arial"/>
          <w:bCs/>
          <w:sz w:val="22"/>
          <w:szCs w:val="22"/>
        </w:rPr>
        <w:t xml:space="preserve"> </w:t>
      </w:r>
      <w:r w:rsidRPr="00410CA1">
        <w:rPr>
          <w:rFonts w:ascii="Arial" w:hAnsi="Arial" w:cs="Arial"/>
          <w:sz w:val="22"/>
          <w:szCs w:val="22"/>
        </w:rPr>
        <w:t xml:space="preserve">v souladu se žádostí příjemce o dotaci a s Pravidly pro poskytování dotace z rozpočtu města (dále jen "Pravidla"). </w:t>
      </w:r>
    </w:p>
    <w:p w:rsidR="0097549D" w:rsidRPr="00376A0B" w:rsidRDefault="0097549D" w:rsidP="00BD4EF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C624F" w:rsidRDefault="00BD4EF7" w:rsidP="00DC624F">
      <w:pPr>
        <w:numPr>
          <w:ilvl w:val="0"/>
          <w:numId w:val="1"/>
        </w:numPr>
        <w:tabs>
          <w:tab w:val="clear" w:pos="1778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931C9">
        <w:rPr>
          <w:rFonts w:ascii="Arial" w:hAnsi="Arial" w:cs="Arial"/>
          <w:sz w:val="22"/>
          <w:szCs w:val="22"/>
        </w:rPr>
        <w:lastRenderedPageBreak/>
        <w:t xml:space="preserve">Dotace bude poskytnuta převodem na bankovní účet příjemce uvedený v záhlaví této </w:t>
      </w:r>
      <w:proofErr w:type="gramStart"/>
      <w:r w:rsidRPr="00A931C9">
        <w:rPr>
          <w:rFonts w:ascii="Arial" w:hAnsi="Arial" w:cs="Arial"/>
          <w:sz w:val="22"/>
          <w:szCs w:val="22"/>
        </w:rPr>
        <w:t>smlouvy</w:t>
      </w:r>
      <w:r w:rsidR="00DC624F" w:rsidRPr="00DC624F">
        <w:rPr>
          <w:rFonts w:ascii="Arial" w:hAnsi="Arial" w:cs="Arial"/>
          <w:sz w:val="22"/>
          <w:szCs w:val="22"/>
        </w:rPr>
        <w:t xml:space="preserve"> </w:t>
      </w:r>
      <w:r w:rsidR="00DC624F" w:rsidRPr="005C35FB">
        <w:rPr>
          <w:rFonts w:ascii="Arial" w:hAnsi="Arial" w:cs="Arial"/>
          <w:sz w:val="22"/>
          <w:szCs w:val="22"/>
        </w:rPr>
        <w:t xml:space="preserve"> do</w:t>
      </w:r>
      <w:proofErr w:type="gramEnd"/>
      <w:r w:rsidR="00DC624F" w:rsidRPr="005C35FB">
        <w:rPr>
          <w:rFonts w:ascii="Arial" w:hAnsi="Arial" w:cs="Arial"/>
          <w:sz w:val="22"/>
          <w:szCs w:val="22"/>
        </w:rPr>
        <w:t xml:space="preserve"> 14 dnů ode dne nabytí účinnosti této smlouvy. Dnem </w:t>
      </w:r>
      <w:r w:rsidR="00DC624F" w:rsidRPr="00D322D7">
        <w:rPr>
          <w:rFonts w:ascii="Arial" w:hAnsi="Arial" w:cs="Arial"/>
          <w:sz w:val="22"/>
          <w:szCs w:val="22"/>
        </w:rPr>
        <w:t>poskytnutí dotace</w:t>
      </w:r>
      <w:r w:rsidR="00DC624F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97549D" w:rsidRPr="00A931C9" w:rsidRDefault="00BD4EF7" w:rsidP="0097549D">
      <w:pPr>
        <w:numPr>
          <w:ilvl w:val="0"/>
          <w:numId w:val="1"/>
        </w:numPr>
        <w:tabs>
          <w:tab w:val="num" w:pos="360"/>
          <w:tab w:val="left" w:pos="108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A931C9">
        <w:rPr>
          <w:rFonts w:ascii="Arial" w:hAnsi="Arial" w:cs="Arial"/>
          <w:sz w:val="22"/>
          <w:szCs w:val="22"/>
        </w:rPr>
        <w:t xml:space="preserve">. </w:t>
      </w: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72743A" w:rsidRDefault="0072743A" w:rsidP="0072743A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97549D">
        <w:rPr>
          <w:rFonts w:ascii="Arial" w:hAnsi="Arial" w:cs="Arial"/>
          <w:sz w:val="22"/>
          <w:szCs w:val="22"/>
        </w:rPr>
        <w:t xml:space="preserve"> náklady uvedené v žádosti o dotaci.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72743A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72743A" w:rsidRDefault="0072743A" w:rsidP="0072743A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95026D" w:rsidRPr="00BD4EF7" w:rsidRDefault="0072743A" w:rsidP="0072743A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72743A" w:rsidRPr="005C35FB" w:rsidRDefault="0072743A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2C6387" w:rsidRPr="00313AB3" w:rsidRDefault="00EC4FFA" w:rsidP="00313AB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83618D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97549D">
        <w:rPr>
          <w:rFonts w:ascii="Arial" w:hAnsi="Arial" w:cs="Arial"/>
          <w:sz w:val="22"/>
          <w:szCs w:val="22"/>
        </w:rPr>
        <w:t>.</w:t>
      </w:r>
    </w:p>
    <w:p w:rsidR="0072743A" w:rsidRPr="00BD4EF7" w:rsidRDefault="0072743A" w:rsidP="00BD4EF7">
      <w:pPr>
        <w:rPr>
          <w:rFonts w:ascii="Arial" w:hAnsi="Arial" w:cs="Arial"/>
          <w:sz w:val="22"/>
          <w:szCs w:val="22"/>
        </w:rPr>
      </w:pPr>
    </w:p>
    <w:p w:rsidR="002C6387" w:rsidRPr="0072743A" w:rsidRDefault="0072743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743A">
        <w:rPr>
          <w:rFonts w:ascii="Arial" w:hAnsi="Arial" w:cs="Arial"/>
          <w:sz w:val="22"/>
          <w:szCs w:val="22"/>
        </w:rPr>
        <w:t xml:space="preserve">Příjemce je povinen </w:t>
      </w:r>
      <w:r w:rsidRPr="00107510">
        <w:rPr>
          <w:rFonts w:ascii="Arial" w:hAnsi="Arial" w:cs="Arial"/>
          <w:b/>
          <w:sz w:val="22"/>
          <w:szCs w:val="22"/>
        </w:rPr>
        <w:t xml:space="preserve">nejpozději do </w:t>
      </w:r>
      <w:r w:rsidRPr="00107510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31. 1. 2018</w:t>
      </w:r>
      <w:r w:rsidRPr="0072743A">
        <w:rPr>
          <w:rFonts w:ascii="Arial" w:hAnsi="Arial" w:cs="Arial"/>
          <w:b/>
          <w:sz w:val="22"/>
          <w:szCs w:val="22"/>
        </w:rPr>
        <w:t xml:space="preserve"> předložit vyúčtování dotace</w:t>
      </w:r>
      <w:r w:rsidR="00BD4EF7">
        <w:rPr>
          <w:rFonts w:ascii="Arial" w:hAnsi="Arial" w:cs="Arial"/>
          <w:b/>
          <w:sz w:val="22"/>
          <w:szCs w:val="22"/>
        </w:rPr>
        <w:t xml:space="preserve">. </w:t>
      </w:r>
      <w:r w:rsidR="002C6387" w:rsidRPr="0072743A">
        <w:rPr>
          <w:rFonts w:ascii="Arial" w:hAnsi="Arial" w:cs="Arial"/>
          <w:sz w:val="22"/>
          <w:szCs w:val="22"/>
        </w:rPr>
        <w:t xml:space="preserve">Při využití a vyúčtování </w:t>
      </w:r>
      <w:r w:rsidR="00EC4FFA" w:rsidRPr="0072743A">
        <w:rPr>
          <w:rFonts w:ascii="Arial" w:hAnsi="Arial" w:cs="Arial"/>
          <w:sz w:val="22"/>
          <w:szCs w:val="22"/>
        </w:rPr>
        <w:t>dotace</w:t>
      </w:r>
      <w:r w:rsidR="002C6387" w:rsidRPr="0072743A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BD4EF7" w:rsidRPr="00C91547" w:rsidRDefault="00BD4EF7" w:rsidP="00BD4EF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celoročního hospodaření v obdobném členění jako v žádosti.</w:t>
      </w:r>
    </w:p>
    <w:p w:rsidR="00BD4EF7" w:rsidRPr="00C91547" w:rsidRDefault="00BD4EF7" w:rsidP="00BD4EF7">
      <w:pPr>
        <w:pStyle w:val="Odstavecseseznamem"/>
        <w:rPr>
          <w:rFonts w:ascii="Arial" w:hAnsi="Arial" w:cs="Arial"/>
          <w:sz w:val="22"/>
          <w:szCs w:val="22"/>
        </w:rPr>
      </w:pPr>
    </w:p>
    <w:p w:rsidR="00BD4EF7" w:rsidRPr="00C91547" w:rsidRDefault="00BD4EF7" w:rsidP="00BD4EF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BD4EF7" w:rsidRPr="00C9154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BD4EF7" w:rsidRPr="00C9154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BD4EF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BD4EF7" w:rsidRPr="00C91547" w:rsidRDefault="00BD4EF7" w:rsidP="00BD4EF7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BD4EF7" w:rsidRPr="005C35FB" w:rsidRDefault="00BD4EF7" w:rsidP="00BD4EF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EA6E61">
      <w:pPr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AA4F43" w:rsidRPr="005C35FB" w:rsidRDefault="00B123A0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</w:t>
      </w:r>
      <w:r w:rsidR="0072743A">
        <w:rPr>
          <w:rFonts w:ascii="Arial" w:hAnsi="Arial" w:cs="Arial"/>
          <w:sz w:val="22"/>
          <w:szCs w:val="22"/>
        </w:rPr>
        <w:t xml:space="preserve">v projektu a </w:t>
      </w:r>
      <w:r w:rsidR="00AA4F43" w:rsidRPr="005C35FB">
        <w:rPr>
          <w:rFonts w:ascii="Arial" w:hAnsi="Arial" w:cs="Arial"/>
          <w:sz w:val="22"/>
          <w:szCs w:val="22"/>
        </w:rPr>
        <w:t>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2743A" w:rsidRPr="0072743A" w:rsidRDefault="0072743A" w:rsidP="0072743A">
      <w:pPr>
        <w:pStyle w:val="Odstavecseseznamem"/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2743A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</w:t>
      </w:r>
      <w:r w:rsidR="00EA6E61">
        <w:rPr>
          <w:rFonts w:ascii="Arial" w:hAnsi="Arial" w:cs="Arial"/>
          <w:bCs/>
          <w:color w:val="000000"/>
          <w:sz w:val="22"/>
          <w:szCs w:val="22"/>
        </w:rPr>
        <w:t>činnost</w:t>
      </w:r>
      <w:r w:rsidRPr="0072743A">
        <w:rPr>
          <w:rFonts w:ascii="Arial" w:hAnsi="Arial" w:cs="Arial"/>
          <w:bCs/>
          <w:color w:val="000000"/>
          <w:sz w:val="22"/>
          <w:szCs w:val="22"/>
        </w:rPr>
        <w:t xml:space="preserve"> je podporován</w:t>
      </w:r>
      <w:r w:rsidR="00EA6E61">
        <w:rPr>
          <w:rFonts w:ascii="Arial" w:hAnsi="Arial" w:cs="Arial"/>
          <w:bCs/>
          <w:color w:val="000000"/>
          <w:sz w:val="22"/>
          <w:szCs w:val="22"/>
        </w:rPr>
        <w:t>a</w:t>
      </w:r>
      <w:r w:rsidRPr="0072743A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72743A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72743A">
        <w:rPr>
          <w:sz w:val="22"/>
          <w:szCs w:val="22"/>
        </w:rPr>
        <w:t xml:space="preserve">. </w:t>
      </w:r>
      <w:r w:rsidRPr="0072743A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72743A" w:rsidRPr="00C91547" w:rsidRDefault="0072743A" w:rsidP="0072743A">
      <w:pPr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B36C3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B36C3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0F3A58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F3A58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B36C3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9B00D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5%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0F3A58">
        <w:rPr>
          <w:rFonts w:ascii="Arial" w:hAnsi="Arial" w:cs="Arial"/>
          <w:sz w:val="22"/>
          <w:szCs w:val="22"/>
          <w:lang w:eastAsia="ar-SA"/>
        </w:rPr>
        <w:t xml:space="preserve">9. a </w:t>
      </w:r>
      <w:r w:rsidR="00B36C3B">
        <w:rPr>
          <w:rFonts w:ascii="Arial" w:hAnsi="Arial" w:cs="Arial"/>
          <w:sz w:val="22"/>
          <w:szCs w:val="22"/>
          <w:lang w:eastAsia="ar-SA"/>
        </w:rPr>
        <w:t>10</w:t>
      </w:r>
      <w:r w:rsidR="000F3A58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ab/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8D1AE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061470" w:rsidRPr="005C35FB" w:rsidRDefault="00061470" w:rsidP="00EA6E61">
      <w:pPr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B36C3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B36C3B" w:rsidRDefault="00B36C3B" w:rsidP="00B36C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Default="00B36C3B" w:rsidP="00B36C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B36C3B" w:rsidRPr="00B36C3B" w:rsidRDefault="00B36C3B" w:rsidP="00B36C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7549D" w:rsidRPr="00107510" w:rsidRDefault="0097549D" w:rsidP="009754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07510">
        <w:rPr>
          <w:rFonts w:ascii="Arial" w:hAnsi="Arial" w:cs="Arial"/>
          <w:sz w:val="22"/>
          <w:szCs w:val="22"/>
        </w:rPr>
        <w:t xml:space="preserve">Schvalovací doložka dle </w:t>
      </w:r>
      <w:proofErr w:type="spellStart"/>
      <w:r w:rsidRPr="00107510">
        <w:rPr>
          <w:rFonts w:ascii="Arial" w:hAnsi="Arial" w:cs="Arial"/>
          <w:sz w:val="22"/>
          <w:szCs w:val="22"/>
        </w:rPr>
        <w:t>ust</w:t>
      </w:r>
      <w:proofErr w:type="spellEnd"/>
      <w:r w:rsidRPr="00107510">
        <w:rPr>
          <w:rFonts w:ascii="Arial" w:hAnsi="Arial" w:cs="Arial"/>
          <w:sz w:val="22"/>
          <w:szCs w:val="22"/>
        </w:rPr>
        <w:t>. § 41 odst. 1 zákona č. 128/2000 Sb., o obcích, ve znění pozdějších předpisů: Poskytnutí této dotace bylo schváleno usnesením na 1</w:t>
      </w:r>
      <w:r w:rsidR="00DC624F" w:rsidRPr="00107510">
        <w:rPr>
          <w:rFonts w:ascii="Arial" w:hAnsi="Arial" w:cs="Arial"/>
          <w:sz w:val="22"/>
          <w:szCs w:val="22"/>
        </w:rPr>
        <w:t>9</w:t>
      </w:r>
      <w:r w:rsidRPr="00107510">
        <w:rPr>
          <w:rFonts w:ascii="Arial" w:hAnsi="Arial" w:cs="Arial"/>
          <w:sz w:val="22"/>
          <w:szCs w:val="22"/>
        </w:rPr>
        <w:t xml:space="preserve">. zasedání Zastupitelstva města Jeseník č. </w:t>
      </w:r>
      <w:r w:rsidR="00107510" w:rsidRPr="00107510">
        <w:rPr>
          <w:rFonts w:ascii="Arial" w:hAnsi="Arial" w:cs="Arial"/>
          <w:sz w:val="22"/>
          <w:szCs w:val="22"/>
        </w:rPr>
        <w:t>908</w:t>
      </w:r>
      <w:r w:rsidRPr="00107510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DC624F" w:rsidRPr="00107510">
        <w:rPr>
          <w:rFonts w:ascii="Arial" w:hAnsi="Arial" w:cs="Arial"/>
          <w:sz w:val="22"/>
          <w:szCs w:val="22"/>
        </w:rPr>
        <w:t>2</w:t>
      </w:r>
      <w:r w:rsidRPr="00107510">
        <w:rPr>
          <w:rFonts w:ascii="Arial" w:hAnsi="Arial" w:cs="Arial"/>
          <w:sz w:val="22"/>
          <w:szCs w:val="22"/>
        </w:rPr>
        <w:t>.</w:t>
      </w:r>
      <w:r w:rsidR="00DC624F" w:rsidRPr="00107510">
        <w:rPr>
          <w:rFonts w:ascii="Arial" w:hAnsi="Arial" w:cs="Arial"/>
          <w:sz w:val="22"/>
          <w:szCs w:val="22"/>
        </w:rPr>
        <w:t>11</w:t>
      </w:r>
      <w:r w:rsidRPr="00107510">
        <w:rPr>
          <w:rFonts w:ascii="Arial" w:hAnsi="Arial" w:cs="Arial"/>
          <w:sz w:val="22"/>
          <w:szCs w:val="22"/>
        </w:rPr>
        <w:t>.2017</w:t>
      </w:r>
      <w:proofErr w:type="gramEnd"/>
      <w:r w:rsidRPr="00107510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Jeseníku dne </w:t>
      </w:r>
      <w:proofErr w:type="gramStart"/>
      <w:r w:rsidR="007C4E51">
        <w:rPr>
          <w:rFonts w:ascii="Arial" w:hAnsi="Arial" w:cs="Arial"/>
          <w:sz w:val="22"/>
          <w:szCs w:val="22"/>
        </w:rPr>
        <w:t>16.11.2017</w:t>
      </w:r>
      <w:proofErr w:type="gramEnd"/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 xml:space="preserve">V Jeseníku dne </w:t>
      </w:r>
      <w:r w:rsidR="007C4E51">
        <w:rPr>
          <w:rFonts w:ascii="Arial" w:hAnsi="Arial" w:cs="Arial"/>
          <w:sz w:val="22"/>
          <w:szCs w:val="22"/>
        </w:rPr>
        <w:t>20.11.2017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D11F0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EA6E61" w:rsidRPr="005C35FB" w:rsidRDefault="00EA6E61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1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F7" w:rsidRDefault="00BD4EF7" w:rsidP="004911D6">
      <w:r>
        <w:separator/>
      </w:r>
    </w:p>
  </w:endnote>
  <w:endnote w:type="continuationSeparator" w:id="0">
    <w:p w:rsidR="00BD4EF7" w:rsidRDefault="00BD4EF7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F7" w:rsidRDefault="00BD4EF7" w:rsidP="00125490">
    <w:pPr>
      <w:pStyle w:val="Zpat"/>
      <w:tabs>
        <w:tab w:val="clear" w:pos="9072"/>
        <w:tab w:val="right" w:pos="10064"/>
      </w:tabs>
    </w:pPr>
    <w:r>
      <w:t>Smlouva o poskytnutí dotace na individuální žádost</w:t>
    </w:r>
    <w:r>
      <w:tab/>
      <w:t xml:space="preserve">Stránka </w:t>
    </w:r>
    <w:r w:rsidR="00E2654D">
      <w:rPr>
        <w:b/>
      </w:rPr>
      <w:fldChar w:fldCharType="begin"/>
    </w:r>
    <w:r>
      <w:rPr>
        <w:b/>
      </w:rPr>
      <w:instrText>PAGE</w:instrText>
    </w:r>
    <w:r w:rsidR="00E2654D">
      <w:rPr>
        <w:b/>
      </w:rPr>
      <w:fldChar w:fldCharType="separate"/>
    </w:r>
    <w:r w:rsidR="007C4E51">
      <w:rPr>
        <w:b/>
        <w:noProof/>
      </w:rPr>
      <w:t>1</w:t>
    </w:r>
    <w:r w:rsidR="00E2654D">
      <w:rPr>
        <w:b/>
      </w:rPr>
      <w:fldChar w:fldCharType="end"/>
    </w:r>
    <w:r>
      <w:t xml:space="preserve"> z </w:t>
    </w:r>
    <w:r w:rsidR="00E2654D">
      <w:rPr>
        <w:b/>
      </w:rPr>
      <w:fldChar w:fldCharType="begin"/>
    </w:r>
    <w:r>
      <w:rPr>
        <w:b/>
      </w:rPr>
      <w:instrText>NUMPAGES</w:instrText>
    </w:r>
    <w:r w:rsidR="00E2654D">
      <w:rPr>
        <w:b/>
      </w:rPr>
      <w:fldChar w:fldCharType="separate"/>
    </w:r>
    <w:r w:rsidR="007C4E51">
      <w:rPr>
        <w:b/>
        <w:noProof/>
      </w:rPr>
      <w:t>4</w:t>
    </w:r>
    <w:r w:rsidR="00E2654D">
      <w:rPr>
        <w:b/>
      </w:rPr>
      <w:fldChar w:fldCharType="end"/>
    </w:r>
  </w:p>
  <w:p w:rsidR="00BD4EF7" w:rsidRDefault="00BD4E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F7" w:rsidRDefault="00BD4EF7" w:rsidP="004911D6">
      <w:r>
        <w:separator/>
      </w:r>
    </w:p>
  </w:footnote>
  <w:footnote w:type="continuationSeparator" w:id="0">
    <w:p w:rsidR="00BD4EF7" w:rsidRDefault="00BD4EF7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20D2599E"/>
    <w:lvl w:ilvl="0" w:tplc="245E77A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0F3A58"/>
    <w:rsid w:val="00101689"/>
    <w:rsid w:val="00107510"/>
    <w:rsid w:val="00125490"/>
    <w:rsid w:val="00126DCE"/>
    <w:rsid w:val="00171FAD"/>
    <w:rsid w:val="00194987"/>
    <w:rsid w:val="00194993"/>
    <w:rsid w:val="001A582C"/>
    <w:rsid w:val="001B45E3"/>
    <w:rsid w:val="001B4919"/>
    <w:rsid w:val="001C4878"/>
    <w:rsid w:val="001C4DD5"/>
    <w:rsid w:val="00215EA9"/>
    <w:rsid w:val="00236D70"/>
    <w:rsid w:val="00237EEA"/>
    <w:rsid w:val="00247EFD"/>
    <w:rsid w:val="002C4C56"/>
    <w:rsid w:val="002C5DC1"/>
    <w:rsid w:val="002C6387"/>
    <w:rsid w:val="002C6B2B"/>
    <w:rsid w:val="002D6CB1"/>
    <w:rsid w:val="002D7AD5"/>
    <w:rsid w:val="0030065D"/>
    <w:rsid w:val="00313AB3"/>
    <w:rsid w:val="0033241D"/>
    <w:rsid w:val="00354D22"/>
    <w:rsid w:val="003713A7"/>
    <w:rsid w:val="00382FC1"/>
    <w:rsid w:val="00385D46"/>
    <w:rsid w:val="003A42C0"/>
    <w:rsid w:val="003A4EDC"/>
    <w:rsid w:val="003C5B85"/>
    <w:rsid w:val="003E036D"/>
    <w:rsid w:val="003F33EB"/>
    <w:rsid w:val="0040231E"/>
    <w:rsid w:val="00410CA1"/>
    <w:rsid w:val="00425D47"/>
    <w:rsid w:val="004325C2"/>
    <w:rsid w:val="00443876"/>
    <w:rsid w:val="00466659"/>
    <w:rsid w:val="004766B0"/>
    <w:rsid w:val="00476989"/>
    <w:rsid w:val="00487A69"/>
    <w:rsid w:val="004911D6"/>
    <w:rsid w:val="00492ABB"/>
    <w:rsid w:val="00497F20"/>
    <w:rsid w:val="004B6140"/>
    <w:rsid w:val="00501510"/>
    <w:rsid w:val="005022A1"/>
    <w:rsid w:val="0052401A"/>
    <w:rsid w:val="005B6926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D11F0"/>
    <w:rsid w:val="006E4A84"/>
    <w:rsid w:val="006F1295"/>
    <w:rsid w:val="007170BD"/>
    <w:rsid w:val="00720065"/>
    <w:rsid w:val="0072174E"/>
    <w:rsid w:val="0072743A"/>
    <w:rsid w:val="007379DE"/>
    <w:rsid w:val="00741EFE"/>
    <w:rsid w:val="0074201B"/>
    <w:rsid w:val="00767A65"/>
    <w:rsid w:val="00774635"/>
    <w:rsid w:val="00774910"/>
    <w:rsid w:val="007979F4"/>
    <w:rsid w:val="007B1A70"/>
    <w:rsid w:val="007C4E51"/>
    <w:rsid w:val="007C623F"/>
    <w:rsid w:val="007F0805"/>
    <w:rsid w:val="0083618D"/>
    <w:rsid w:val="0084365C"/>
    <w:rsid w:val="0085246C"/>
    <w:rsid w:val="008814EC"/>
    <w:rsid w:val="008A1408"/>
    <w:rsid w:val="008B7962"/>
    <w:rsid w:val="008D06D8"/>
    <w:rsid w:val="008D1AEA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7549D"/>
    <w:rsid w:val="00992EBE"/>
    <w:rsid w:val="009A3C3F"/>
    <w:rsid w:val="009B00D9"/>
    <w:rsid w:val="009B50E1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31C9"/>
    <w:rsid w:val="00A97FC0"/>
    <w:rsid w:val="00AA396A"/>
    <w:rsid w:val="00AA4F43"/>
    <w:rsid w:val="00AB3E9E"/>
    <w:rsid w:val="00AC298B"/>
    <w:rsid w:val="00AC32D6"/>
    <w:rsid w:val="00AD04D9"/>
    <w:rsid w:val="00AD5A54"/>
    <w:rsid w:val="00AD7F99"/>
    <w:rsid w:val="00AE5BE9"/>
    <w:rsid w:val="00AF742A"/>
    <w:rsid w:val="00B056E2"/>
    <w:rsid w:val="00B123A0"/>
    <w:rsid w:val="00B1328F"/>
    <w:rsid w:val="00B134B1"/>
    <w:rsid w:val="00B13804"/>
    <w:rsid w:val="00B1794B"/>
    <w:rsid w:val="00B2098B"/>
    <w:rsid w:val="00B3465D"/>
    <w:rsid w:val="00B36C3B"/>
    <w:rsid w:val="00B41C3A"/>
    <w:rsid w:val="00B51FDD"/>
    <w:rsid w:val="00B6549D"/>
    <w:rsid w:val="00B70343"/>
    <w:rsid w:val="00B75D9A"/>
    <w:rsid w:val="00BD4EF7"/>
    <w:rsid w:val="00BD5A75"/>
    <w:rsid w:val="00C0121A"/>
    <w:rsid w:val="00C03402"/>
    <w:rsid w:val="00C12C3A"/>
    <w:rsid w:val="00C170A6"/>
    <w:rsid w:val="00C30320"/>
    <w:rsid w:val="00C40885"/>
    <w:rsid w:val="00C408DE"/>
    <w:rsid w:val="00C44E59"/>
    <w:rsid w:val="00C82D35"/>
    <w:rsid w:val="00CC425B"/>
    <w:rsid w:val="00D01610"/>
    <w:rsid w:val="00D12820"/>
    <w:rsid w:val="00D211C4"/>
    <w:rsid w:val="00D30242"/>
    <w:rsid w:val="00D322D7"/>
    <w:rsid w:val="00D37B61"/>
    <w:rsid w:val="00D37C5E"/>
    <w:rsid w:val="00D41E25"/>
    <w:rsid w:val="00D57EE1"/>
    <w:rsid w:val="00D6470D"/>
    <w:rsid w:val="00D75643"/>
    <w:rsid w:val="00D762BA"/>
    <w:rsid w:val="00D76F8E"/>
    <w:rsid w:val="00D828B3"/>
    <w:rsid w:val="00DA6B66"/>
    <w:rsid w:val="00DC1F19"/>
    <w:rsid w:val="00DC624F"/>
    <w:rsid w:val="00DD0942"/>
    <w:rsid w:val="00E16E6A"/>
    <w:rsid w:val="00E2654D"/>
    <w:rsid w:val="00E40D47"/>
    <w:rsid w:val="00E70C8A"/>
    <w:rsid w:val="00E71CFF"/>
    <w:rsid w:val="00EA6E61"/>
    <w:rsid w:val="00EC4FFA"/>
    <w:rsid w:val="00EE79F6"/>
    <w:rsid w:val="00F10B72"/>
    <w:rsid w:val="00F12327"/>
    <w:rsid w:val="00F1295B"/>
    <w:rsid w:val="00F41327"/>
    <w:rsid w:val="00F54540"/>
    <w:rsid w:val="00F603A7"/>
    <w:rsid w:val="00F7661C"/>
    <w:rsid w:val="00F92B12"/>
    <w:rsid w:val="00FA0ADF"/>
    <w:rsid w:val="00FA1493"/>
    <w:rsid w:val="00FA3CAD"/>
    <w:rsid w:val="00FD4F5B"/>
    <w:rsid w:val="00FD574B"/>
    <w:rsid w:val="00FE552F"/>
    <w:rsid w:val="00FE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97F20"/>
    <w:pPr>
      <w:jc w:val="center"/>
    </w:pPr>
    <w:rPr>
      <w:rFonts w:ascii="Arial" w:hAnsi="Arial" w:cs="Arial"/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497F20"/>
    <w:rPr>
      <w:rFonts w:ascii="Arial" w:eastAsia="Times New Roman" w:hAnsi="Arial" w:cs="Arial"/>
      <w:b/>
      <w:sz w:val="36"/>
      <w:szCs w:val="24"/>
    </w:rPr>
  </w:style>
  <w:style w:type="paragraph" w:styleId="Zkladntext3">
    <w:name w:val="Body Text 3"/>
    <w:basedOn w:val="Normln"/>
    <w:link w:val="Zkladntext3Char"/>
    <w:unhideWhenUsed/>
    <w:rsid w:val="0072743A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743A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97F20"/>
    <w:pPr>
      <w:jc w:val="center"/>
    </w:pPr>
    <w:rPr>
      <w:rFonts w:ascii="Arial" w:hAnsi="Arial" w:cs="Arial"/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497F20"/>
    <w:rPr>
      <w:rFonts w:ascii="Arial" w:eastAsia="Times New Roman" w:hAnsi="Arial" w:cs="Arial"/>
      <w:b/>
      <w:sz w:val="36"/>
      <w:szCs w:val="24"/>
    </w:rPr>
  </w:style>
  <w:style w:type="paragraph" w:styleId="Zkladntext3">
    <w:name w:val="Body Text 3"/>
    <w:basedOn w:val="Normln"/>
    <w:link w:val="Zkladntext3Char"/>
    <w:unhideWhenUsed/>
    <w:rsid w:val="0072743A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743A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D539-17FB-4308-AC5E-9727F064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8452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2017-11-13T06:22:00Z</cp:lastPrinted>
  <dcterms:created xsi:type="dcterms:W3CDTF">2017-11-20T07:55:00Z</dcterms:created>
  <dcterms:modified xsi:type="dcterms:W3CDTF">2017-11-20T07:55:00Z</dcterms:modified>
</cp:coreProperties>
</file>