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F4" w:rsidRPr="00185394" w:rsidRDefault="008574F4" w:rsidP="00933797">
      <w:pPr>
        <w:pStyle w:val="western"/>
        <w:spacing w:before="0" w:beforeAutospacing="0" w:after="0"/>
        <w:jc w:val="center"/>
        <w:outlineLvl w:val="0"/>
        <w:rPr>
          <w:rFonts w:ascii="Calibri" w:hAnsi="Calibri"/>
          <w:sz w:val="28"/>
          <w:szCs w:val="28"/>
        </w:rPr>
      </w:pPr>
      <w:r w:rsidRPr="00185394">
        <w:rPr>
          <w:rFonts w:ascii="Calibri" w:hAnsi="Calibri"/>
          <w:b/>
          <w:bCs/>
          <w:sz w:val="28"/>
          <w:szCs w:val="28"/>
        </w:rPr>
        <w:t>Licenční smlouva</w:t>
      </w:r>
    </w:p>
    <w:p w:rsidR="008574F4" w:rsidRPr="00374F49" w:rsidRDefault="008574F4" w:rsidP="00933797">
      <w:pPr>
        <w:pStyle w:val="NormalWeb"/>
        <w:spacing w:before="0" w:beforeAutospacing="0" w:after="0"/>
        <w:jc w:val="left"/>
        <w:outlineLvl w:val="0"/>
        <w:rPr>
          <w:rFonts w:ascii="Calibri" w:hAnsi="Calibri" w:cs="Arial"/>
          <w:sz w:val="22"/>
          <w:szCs w:val="22"/>
        </w:rPr>
      </w:pPr>
      <w:r w:rsidRPr="00374F49">
        <w:rPr>
          <w:rStyle w:val="Strong"/>
          <w:rFonts w:ascii="Calibri" w:hAnsi="Calibri" w:cs="Arial"/>
          <w:bCs/>
          <w:sz w:val="22"/>
          <w:szCs w:val="22"/>
        </w:rPr>
        <w:t xml:space="preserve">          </w:t>
      </w:r>
    </w:p>
    <w:p w:rsidR="008574F4" w:rsidRPr="00185394" w:rsidRDefault="008574F4" w:rsidP="00933797">
      <w:pPr>
        <w:pStyle w:val="Normln"/>
        <w:widowControl/>
        <w:rPr>
          <w:rFonts w:ascii="Calibri" w:hAnsi="Calibri" w:cs="Calibri"/>
          <w:b/>
          <w:sz w:val="22"/>
          <w:szCs w:val="22"/>
        </w:rPr>
      </w:pPr>
      <w:r w:rsidRPr="00185394">
        <w:rPr>
          <w:rFonts w:ascii="Calibri" w:hAnsi="Calibri" w:cs="Calibri"/>
          <w:b/>
          <w:sz w:val="22"/>
          <w:szCs w:val="22"/>
        </w:rPr>
        <w:t>Psychiatrická nemocnice Brno</w:t>
      </w:r>
    </w:p>
    <w:p w:rsidR="008574F4" w:rsidRPr="00EB0017" w:rsidRDefault="008574F4" w:rsidP="00933797">
      <w:pPr>
        <w:pStyle w:val="Normln"/>
        <w:widowControl/>
        <w:rPr>
          <w:rFonts w:ascii="Calibri" w:hAnsi="Calibri" w:cs="Calibri"/>
          <w:sz w:val="22"/>
          <w:szCs w:val="22"/>
        </w:rPr>
      </w:pPr>
      <w:r w:rsidRPr="00EB0017">
        <w:rPr>
          <w:rFonts w:ascii="Calibri" w:hAnsi="Calibri" w:cs="Calibri"/>
          <w:sz w:val="22"/>
          <w:szCs w:val="22"/>
        </w:rPr>
        <w:t xml:space="preserve">Húskova 2, Brno 618 </w:t>
      </w:r>
      <w:r>
        <w:rPr>
          <w:rFonts w:ascii="Calibri" w:hAnsi="Calibri" w:cs="Calibri"/>
          <w:sz w:val="22"/>
          <w:szCs w:val="22"/>
        </w:rPr>
        <w:t>32</w:t>
      </w:r>
    </w:p>
    <w:p w:rsidR="008574F4" w:rsidRPr="00EB0017" w:rsidRDefault="008574F4" w:rsidP="00933797">
      <w:pPr>
        <w:pStyle w:val="Normln"/>
        <w:widowControl/>
        <w:rPr>
          <w:rFonts w:ascii="Calibri" w:hAnsi="Calibri" w:cs="Calibri"/>
          <w:sz w:val="22"/>
          <w:szCs w:val="22"/>
        </w:rPr>
      </w:pPr>
      <w:r w:rsidRPr="00EB0017">
        <w:rPr>
          <w:rFonts w:ascii="Calibri" w:hAnsi="Calibri" w:cs="Calibri"/>
          <w:sz w:val="22"/>
          <w:szCs w:val="22"/>
        </w:rPr>
        <w:t>IČ: 00160105</w:t>
      </w:r>
    </w:p>
    <w:p w:rsidR="008574F4" w:rsidRPr="00EB0017" w:rsidRDefault="008574F4" w:rsidP="00933797">
      <w:pPr>
        <w:pStyle w:val="Normln"/>
        <w:widowControl/>
        <w:rPr>
          <w:rFonts w:ascii="Calibri" w:hAnsi="Calibri" w:cs="Calibri"/>
          <w:noProof w:val="0"/>
          <w:sz w:val="22"/>
          <w:szCs w:val="22"/>
        </w:rPr>
      </w:pPr>
      <w:r w:rsidRPr="00EB0017">
        <w:rPr>
          <w:rFonts w:ascii="Calibri" w:hAnsi="Calibri" w:cs="Calibri"/>
          <w:noProof w:val="0"/>
          <w:sz w:val="22"/>
          <w:szCs w:val="22"/>
        </w:rPr>
        <w:t>DIČ: CZ</w:t>
      </w:r>
      <w:r w:rsidRPr="00EB0017">
        <w:rPr>
          <w:rFonts w:ascii="Calibri" w:hAnsi="Calibri" w:cs="Calibri"/>
          <w:sz w:val="22"/>
          <w:szCs w:val="22"/>
        </w:rPr>
        <w:t>00160105</w:t>
      </w:r>
    </w:p>
    <w:p w:rsidR="008574F4" w:rsidRPr="00EB0017" w:rsidRDefault="008574F4" w:rsidP="00933797">
      <w:pPr>
        <w:pStyle w:val="Normln"/>
        <w:widowControl/>
        <w:rPr>
          <w:rFonts w:ascii="Calibri" w:hAnsi="Calibri" w:cs="Arial"/>
          <w:sz w:val="22"/>
          <w:szCs w:val="22"/>
        </w:rPr>
      </w:pPr>
      <w:r w:rsidRPr="00EB0017">
        <w:rPr>
          <w:rFonts w:ascii="Calibri" w:hAnsi="Calibri" w:cs="Calibri"/>
          <w:sz w:val="22"/>
          <w:szCs w:val="22"/>
        </w:rPr>
        <w:t>Jednající: MUDr. Markem Radimským, ředitelem</w:t>
      </w:r>
      <w:r w:rsidRPr="00EB0017">
        <w:rPr>
          <w:rStyle w:val="Strong"/>
          <w:rFonts w:ascii="Calibri" w:hAnsi="Calibri" w:cs="Arial"/>
          <w:bCs/>
          <w:sz w:val="22"/>
          <w:szCs w:val="22"/>
        </w:rPr>
        <w:t xml:space="preserve"> </w:t>
      </w:r>
    </w:p>
    <w:p w:rsidR="008574F4" w:rsidRPr="00EB0017" w:rsidRDefault="008574F4" w:rsidP="00933797">
      <w:pPr>
        <w:pStyle w:val="western"/>
        <w:spacing w:before="0" w:beforeAutospacing="0" w:after="0"/>
        <w:rPr>
          <w:rFonts w:ascii="Calibri" w:hAnsi="Calibri"/>
          <w:sz w:val="22"/>
          <w:szCs w:val="22"/>
        </w:rPr>
      </w:pPr>
      <w:r w:rsidRPr="00EB0017">
        <w:rPr>
          <w:rFonts w:ascii="Calibri" w:hAnsi="Calibri"/>
          <w:color w:val="000000"/>
          <w:sz w:val="22"/>
          <w:szCs w:val="22"/>
        </w:rPr>
        <w:t xml:space="preserve">(dále jen </w:t>
      </w:r>
      <w:r w:rsidRPr="00EB0017">
        <w:rPr>
          <w:rFonts w:ascii="Calibri" w:hAnsi="Calibri"/>
          <w:b/>
          <w:bCs/>
          <w:color w:val="000000"/>
          <w:sz w:val="22"/>
          <w:szCs w:val="22"/>
        </w:rPr>
        <w:t>„</w:t>
      </w:r>
      <w:r>
        <w:rPr>
          <w:rFonts w:ascii="Calibri" w:hAnsi="Calibri"/>
          <w:b/>
          <w:bCs/>
          <w:color w:val="000000"/>
          <w:sz w:val="22"/>
          <w:szCs w:val="22"/>
        </w:rPr>
        <w:t>nabyvatel</w:t>
      </w:r>
      <w:r w:rsidRPr="00EB0017">
        <w:rPr>
          <w:rFonts w:ascii="Calibri" w:hAnsi="Calibri"/>
          <w:b/>
          <w:bCs/>
          <w:color w:val="000000"/>
          <w:sz w:val="22"/>
          <w:szCs w:val="22"/>
        </w:rPr>
        <w:t>“</w:t>
      </w:r>
      <w:r w:rsidRPr="00EB0017">
        <w:rPr>
          <w:rFonts w:ascii="Calibri" w:hAnsi="Calibri"/>
          <w:color w:val="000000"/>
          <w:sz w:val="22"/>
          <w:szCs w:val="22"/>
        </w:rPr>
        <w:t>)</w:t>
      </w:r>
    </w:p>
    <w:p w:rsidR="008574F4" w:rsidRPr="00EB0017" w:rsidRDefault="008574F4" w:rsidP="00933797">
      <w:pPr>
        <w:pStyle w:val="western"/>
        <w:spacing w:before="0" w:beforeAutospacing="0" w:after="0"/>
        <w:rPr>
          <w:rFonts w:ascii="Calibri" w:hAnsi="Calibri"/>
          <w:bCs/>
          <w:color w:val="000000"/>
          <w:sz w:val="22"/>
          <w:szCs w:val="22"/>
        </w:rPr>
      </w:pPr>
    </w:p>
    <w:p w:rsidR="008574F4" w:rsidRPr="00EB0017" w:rsidRDefault="008574F4" w:rsidP="00933797">
      <w:pPr>
        <w:pStyle w:val="western"/>
        <w:spacing w:before="0" w:beforeAutospacing="0" w:after="0"/>
        <w:rPr>
          <w:rFonts w:ascii="Calibri" w:hAnsi="Calibri"/>
          <w:sz w:val="22"/>
          <w:szCs w:val="22"/>
        </w:rPr>
      </w:pPr>
      <w:r w:rsidRPr="00EB0017">
        <w:rPr>
          <w:rFonts w:ascii="Calibri" w:hAnsi="Calibri"/>
          <w:bCs/>
          <w:color w:val="000000"/>
          <w:sz w:val="22"/>
          <w:szCs w:val="22"/>
        </w:rPr>
        <w:t>a</w:t>
      </w:r>
    </w:p>
    <w:p w:rsidR="008574F4" w:rsidRDefault="008574F4" w:rsidP="00933797">
      <w:pPr>
        <w:pStyle w:val="western"/>
        <w:spacing w:before="0" w:beforeAutospacing="0" w:after="0"/>
        <w:rPr>
          <w:rFonts w:ascii="Calibri" w:hAnsi="Calibri"/>
          <w:sz w:val="22"/>
          <w:szCs w:val="22"/>
        </w:rPr>
      </w:pPr>
    </w:p>
    <w:p w:rsidR="008574F4" w:rsidRDefault="008574F4" w:rsidP="00933797">
      <w:pPr>
        <w:pStyle w:val="ListParagraph"/>
        <w:spacing w:after="0"/>
        <w:ind w:left="0"/>
        <w:rPr>
          <w:i/>
        </w:rPr>
      </w:pPr>
      <w:r>
        <w:rPr>
          <w:b/>
        </w:rPr>
        <w:t xml:space="preserve">BMS SERVIS, s.r.o. </w:t>
      </w:r>
    </w:p>
    <w:p w:rsidR="008574F4" w:rsidRPr="00011C35" w:rsidRDefault="008574F4" w:rsidP="00933797">
      <w:pPr>
        <w:pStyle w:val="ListParagraph"/>
        <w:spacing w:after="0"/>
        <w:ind w:left="0"/>
      </w:pPr>
      <w:r>
        <w:t xml:space="preserve">Příční 699, Brno 664 42 </w:t>
      </w:r>
    </w:p>
    <w:p w:rsidR="008574F4" w:rsidRPr="00011C35" w:rsidRDefault="008574F4" w:rsidP="00933797">
      <w:pPr>
        <w:pStyle w:val="ListParagraph"/>
        <w:spacing w:after="0"/>
        <w:ind w:left="0"/>
      </w:pPr>
      <w:r w:rsidRPr="00011C35">
        <w:t xml:space="preserve">IČ: </w:t>
      </w:r>
      <w:r>
        <w:t>277 23 364</w:t>
      </w:r>
    </w:p>
    <w:p w:rsidR="008574F4" w:rsidRPr="00011C35" w:rsidRDefault="008574F4" w:rsidP="00933797">
      <w:pPr>
        <w:pStyle w:val="ListParagraph"/>
        <w:spacing w:after="0"/>
        <w:ind w:left="0"/>
      </w:pPr>
      <w:r w:rsidRPr="00011C35">
        <w:t xml:space="preserve">DIČ: </w:t>
      </w:r>
      <w:r>
        <w:t>CZ27723364</w:t>
      </w:r>
    </w:p>
    <w:p w:rsidR="008574F4" w:rsidRPr="00011C35" w:rsidRDefault="008574F4" w:rsidP="00933797">
      <w:pPr>
        <w:pStyle w:val="ListParagraph"/>
        <w:spacing w:after="0"/>
        <w:ind w:left="0"/>
      </w:pPr>
      <w:r w:rsidRPr="00011C35">
        <w:t xml:space="preserve">Jednající: </w:t>
      </w:r>
      <w:r>
        <w:t>Ing. Josefem Musilem, jednatelem</w:t>
      </w:r>
    </w:p>
    <w:p w:rsidR="008574F4" w:rsidRPr="00011C35" w:rsidRDefault="008574F4" w:rsidP="00933797">
      <w:pPr>
        <w:pStyle w:val="ListParagraph"/>
        <w:spacing w:after="0"/>
        <w:ind w:left="0"/>
      </w:pPr>
      <w:r w:rsidRPr="00011C35">
        <w:t>Zapsán v obchodním rejstříku vedeném</w:t>
      </w:r>
      <w:r>
        <w:t xml:space="preserve"> Krajským </w:t>
      </w:r>
      <w:r w:rsidRPr="00011C35">
        <w:t>soudem v</w:t>
      </w:r>
      <w:r>
        <w:t xml:space="preserve"> Brně</w:t>
      </w:r>
      <w:r w:rsidRPr="00011C35">
        <w:t>, oddíl</w:t>
      </w:r>
      <w:r>
        <w:t xml:space="preserve"> C</w:t>
      </w:r>
      <w:r w:rsidRPr="00011C35">
        <w:t>, vložka</w:t>
      </w:r>
      <w:r>
        <w:t xml:space="preserve"> 62167</w:t>
      </w:r>
    </w:p>
    <w:p w:rsidR="008574F4" w:rsidRDefault="008574F4" w:rsidP="00933797">
      <w:pPr>
        <w:pStyle w:val="western"/>
        <w:spacing w:before="0" w:beforeAutospacing="0" w:after="0"/>
        <w:rPr>
          <w:rFonts w:ascii="Calibri" w:hAnsi="Calibri"/>
          <w:color w:val="000000"/>
          <w:sz w:val="22"/>
          <w:szCs w:val="22"/>
        </w:rPr>
      </w:pPr>
      <w:r w:rsidRPr="00374F49">
        <w:rPr>
          <w:rFonts w:ascii="Calibri" w:hAnsi="Calibri"/>
          <w:color w:val="000000"/>
          <w:sz w:val="22"/>
          <w:szCs w:val="22"/>
        </w:rPr>
        <w:t xml:space="preserve">(dále jen </w:t>
      </w:r>
      <w:r w:rsidRPr="00374F49">
        <w:rPr>
          <w:rFonts w:ascii="Calibri" w:hAnsi="Calibri"/>
          <w:b/>
          <w:bCs/>
          <w:color w:val="000000"/>
          <w:sz w:val="22"/>
          <w:szCs w:val="22"/>
        </w:rPr>
        <w:t>„poskytovatel“</w:t>
      </w:r>
      <w:r w:rsidRPr="00374F49">
        <w:rPr>
          <w:rFonts w:ascii="Calibri" w:hAnsi="Calibri"/>
          <w:color w:val="000000"/>
          <w:sz w:val="22"/>
          <w:szCs w:val="22"/>
        </w:rPr>
        <w:t>)</w:t>
      </w:r>
    </w:p>
    <w:p w:rsidR="008574F4" w:rsidRPr="00374F49" w:rsidRDefault="008574F4" w:rsidP="00933797">
      <w:pPr>
        <w:pStyle w:val="western"/>
        <w:spacing w:before="0" w:beforeAutospacing="0" w:after="0"/>
        <w:rPr>
          <w:rFonts w:ascii="Calibri" w:hAnsi="Calibri"/>
          <w:sz w:val="22"/>
          <w:szCs w:val="22"/>
        </w:rPr>
      </w:pPr>
    </w:p>
    <w:p w:rsidR="008574F4" w:rsidRPr="00374F49" w:rsidRDefault="008574F4" w:rsidP="00933797">
      <w:pPr>
        <w:pStyle w:val="western"/>
        <w:spacing w:before="0" w:beforeAutospacing="0" w:after="0"/>
        <w:rPr>
          <w:rFonts w:ascii="Calibri" w:hAnsi="Calibri"/>
          <w:sz w:val="22"/>
          <w:szCs w:val="22"/>
        </w:rPr>
      </w:pPr>
      <w:r w:rsidRPr="00374F49">
        <w:rPr>
          <w:rFonts w:ascii="Calibri" w:hAnsi="Calibri"/>
          <w:sz w:val="22"/>
          <w:szCs w:val="22"/>
        </w:rPr>
        <w:t xml:space="preserve">(nabyvatel a poskytovatel dále společně též jako </w:t>
      </w:r>
      <w:r w:rsidRPr="00374F49">
        <w:rPr>
          <w:rFonts w:ascii="Calibri" w:hAnsi="Calibri"/>
          <w:b/>
          <w:sz w:val="22"/>
          <w:szCs w:val="22"/>
        </w:rPr>
        <w:t>„smluvní strany“</w:t>
      </w:r>
      <w:r w:rsidRPr="00374F49">
        <w:rPr>
          <w:rFonts w:ascii="Calibri" w:hAnsi="Calibri"/>
          <w:sz w:val="22"/>
          <w:szCs w:val="22"/>
        </w:rPr>
        <w:t xml:space="preserve"> a každý z nich jednotlivě jako </w:t>
      </w:r>
      <w:r w:rsidRPr="00374F49">
        <w:rPr>
          <w:rFonts w:ascii="Calibri" w:hAnsi="Calibri"/>
          <w:b/>
          <w:sz w:val="22"/>
          <w:szCs w:val="22"/>
        </w:rPr>
        <w:t>„smluvní strana“</w:t>
      </w:r>
      <w:r w:rsidRPr="00374F49">
        <w:rPr>
          <w:rFonts w:ascii="Calibri" w:hAnsi="Calibri"/>
          <w:sz w:val="22"/>
          <w:szCs w:val="22"/>
        </w:rPr>
        <w:t>)</w:t>
      </w:r>
    </w:p>
    <w:p w:rsidR="008574F4" w:rsidRPr="00075D96" w:rsidRDefault="008574F4" w:rsidP="00933797">
      <w:pPr>
        <w:pStyle w:val="seznam-western"/>
        <w:spacing w:before="0" w:beforeAutospacing="0" w:after="0"/>
        <w:outlineLvl w:val="0"/>
        <w:rPr>
          <w:rFonts w:ascii="Calibri" w:hAnsi="Calibri" w:cs="Arial"/>
          <w:b/>
          <w:color w:val="000000"/>
          <w:sz w:val="22"/>
          <w:szCs w:val="22"/>
        </w:rPr>
      </w:pPr>
    </w:p>
    <w:p w:rsidR="008574F4" w:rsidRPr="00075D96" w:rsidRDefault="008574F4" w:rsidP="00933797">
      <w:pPr>
        <w:pStyle w:val="seznam-western"/>
        <w:numPr>
          <w:ilvl w:val="0"/>
          <w:numId w:val="1"/>
        </w:numPr>
        <w:spacing w:before="0" w:beforeAutospacing="0" w:after="0"/>
        <w:outlineLvl w:val="0"/>
        <w:rPr>
          <w:rFonts w:ascii="Calibri" w:hAnsi="Calibri" w:cs="Arial"/>
          <w:b/>
          <w:color w:val="000000"/>
          <w:sz w:val="22"/>
          <w:szCs w:val="22"/>
        </w:rPr>
      </w:pPr>
      <w:r w:rsidRPr="00075D96">
        <w:rPr>
          <w:rFonts w:ascii="Calibri" w:hAnsi="Calibri" w:cs="Arial"/>
          <w:b/>
          <w:color w:val="000000"/>
          <w:sz w:val="22"/>
          <w:szCs w:val="22"/>
        </w:rPr>
        <w:t>Předmět smlouvy</w:t>
      </w:r>
    </w:p>
    <w:p w:rsidR="008574F4" w:rsidRPr="00BB3F3B" w:rsidRDefault="008574F4" w:rsidP="00933797">
      <w:pPr>
        <w:pStyle w:val="ListParagraph"/>
        <w:numPr>
          <w:ilvl w:val="1"/>
          <w:numId w:val="2"/>
        </w:numPr>
        <w:spacing w:after="0" w:line="240" w:lineRule="auto"/>
        <w:ind w:left="0" w:firstLine="0"/>
        <w:jc w:val="both"/>
        <w:outlineLvl w:val="0"/>
        <w:rPr>
          <w:rFonts w:cs="Arial"/>
          <w:iCs/>
        </w:rPr>
      </w:pPr>
      <w:r w:rsidRPr="00EB2203">
        <w:rPr>
          <w:rFonts w:cs="Arial"/>
        </w:rPr>
        <w:t xml:space="preserve">Poskytovatel tímto opravňuje nabyvatele k užívání </w:t>
      </w:r>
      <w:r w:rsidRPr="00EB2203">
        <w:rPr>
          <w:rFonts w:cs="Arial"/>
          <w:color w:val="000000"/>
        </w:rPr>
        <w:t>díla</w:t>
      </w:r>
      <w:r w:rsidRPr="00EB2203">
        <w:rPr>
          <w:rFonts w:cs="Arial"/>
        </w:rPr>
        <w:t xml:space="preserve"> </w:t>
      </w:r>
      <w:r>
        <w:rPr>
          <w:rFonts w:cs="Arial"/>
        </w:rPr>
        <w:t>-</w:t>
      </w:r>
      <w:r w:rsidRPr="00EB2203">
        <w:rPr>
          <w:rFonts w:cs="Arial"/>
        </w:rPr>
        <w:t xml:space="preserve"> </w:t>
      </w:r>
      <w:r>
        <w:rPr>
          <w:rFonts w:cs="Arial"/>
          <w:b/>
        </w:rPr>
        <w:t>Dispečerské řízení zdrojů tepla</w:t>
      </w:r>
      <w:r w:rsidRPr="00EB2203">
        <w:rPr>
          <w:rFonts w:cs="Arial"/>
        </w:rPr>
        <w:t>, vyrobeného poskytovatelem na základě smlouvy o dílo, které smluvní strany uzavřely (dále jen „smlouva o dílo“) dne</w:t>
      </w:r>
      <w:r>
        <w:rPr>
          <w:rFonts w:cs="Arial"/>
        </w:rPr>
        <w:t xml:space="preserve"> 08.11.2017</w:t>
      </w:r>
      <w:r w:rsidRPr="00EB2203">
        <w:rPr>
          <w:rFonts w:cs="Arial"/>
        </w:rPr>
        <w:t xml:space="preserve"> </w:t>
      </w:r>
      <w:r w:rsidRPr="00EB2203">
        <w:rPr>
          <w:rFonts w:cs="Arial"/>
          <w:iCs/>
        </w:rPr>
        <w:t xml:space="preserve">(dále </w:t>
      </w:r>
      <w:r>
        <w:rPr>
          <w:rFonts w:cs="Arial"/>
          <w:iCs/>
        </w:rPr>
        <w:t>„</w:t>
      </w:r>
      <w:r w:rsidRPr="00AA1940">
        <w:rPr>
          <w:rFonts w:cs="Arial"/>
          <w:b/>
          <w:bCs/>
          <w:iCs/>
        </w:rPr>
        <w:t>dílo</w:t>
      </w:r>
      <w:r>
        <w:rPr>
          <w:rFonts w:cs="Arial"/>
          <w:iCs/>
        </w:rPr>
        <w:t>“ nebo</w:t>
      </w:r>
      <w:r w:rsidRPr="00EB2203">
        <w:rPr>
          <w:rFonts w:cs="Arial"/>
          <w:iCs/>
        </w:rPr>
        <w:t xml:space="preserve"> </w:t>
      </w:r>
      <w:r w:rsidRPr="00EB2203">
        <w:rPr>
          <w:rFonts w:cs="Arial"/>
          <w:b/>
          <w:iCs/>
        </w:rPr>
        <w:t>„</w:t>
      </w:r>
      <w:r w:rsidRPr="00BB3F3B">
        <w:rPr>
          <w:rFonts w:cs="Arial"/>
          <w:b/>
          <w:iCs/>
        </w:rPr>
        <w:t>předmět licence“</w:t>
      </w:r>
      <w:r w:rsidRPr="00BB3F3B">
        <w:rPr>
          <w:rFonts w:cs="Arial"/>
          <w:iCs/>
        </w:rPr>
        <w:t xml:space="preserve">). </w:t>
      </w:r>
    </w:p>
    <w:p w:rsidR="008574F4" w:rsidRPr="00BB3F3B" w:rsidRDefault="008574F4" w:rsidP="00933797">
      <w:pPr>
        <w:pStyle w:val="ListParagraph"/>
        <w:numPr>
          <w:ilvl w:val="1"/>
          <w:numId w:val="2"/>
        </w:numPr>
        <w:spacing w:after="0" w:line="240" w:lineRule="auto"/>
        <w:ind w:left="0" w:firstLine="0"/>
        <w:jc w:val="both"/>
        <w:outlineLvl w:val="0"/>
        <w:rPr>
          <w:rFonts w:cs="Arial"/>
          <w:color w:val="000000"/>
        </w:rPr>
      </w:pPr>
      <w:r w:rsidRPr="00BB3F3B">
        <w:rPr>
          <w:rFonts w:cs="Arial"/>
          <w:iCs/>
        </w:rPr>
        <w:t xml:space="preserve">Nabyvatel se zavazuje </w:t>
      </w:r>
      <w:r>
        <w:rPr>
          <w:rFonts w:cs="Arial"/>
          <w:iCs/>
        </w:rPr>
        <w:t xml:space="preserve">neomezeně </w:t>
      </w:r>
      <w:r w:rsidRPr="00BB3F3B">
        <w:rPr>
          <w:rFonts w:cs="Arial"/>
          <w:iCs/>
        </w:rPr>
        <w:t xml:space="preserve">užívat předmět licence pouze za účelem užívání </w:t>
      </w:r>
      <w:r w:rsidRPr="00BB3F3B">
        <w:rPr>
          <w:rFonts w:cs="Arial"/>
          <w:color w:val="000000"/>
        </w:rPr>
        <w:t xml:space="preserve">díla </w:t>
      </w:r>
      <w:r w:rsidRPr="00BB3F3B">
        <w:rPr>
          <w:rFonts w:cs="Arial"/>
          <w:iCs/>
        </w:rPr>
        <w:t xml:space="preserve">vytvořeného poskytovatelem pro nabyvatele na základě smlouvy o dílo.  </w:t>
      </w:r>
    </w:p>
    <w:p w:rsidR="008574F4" w:rsidRPr="00FF68C3" w:rsidRDefault="008574F4" w:rsidP="00933797">
      <w:pPr>
        <w:pStyle w:val="ListParagraph"/>
        <w:numPr>
          <w:ilvl w:val="1"/>
          <w:numId w:val="2"/>
        </w:numPr>
        <w:spacing w:after="0" w:line="240" w:lineRule="auto"/>
        <w:ind w:left="709" w:hanging="709"/>
        <w:jc w:val="both"/>
        <w:rPr>
          <w:rFonts w:cs="Arial"/>
          <w:iCs/>
        </w:rPr>
      </w:pPr>
      <w:r w:rsidRPr="00BB3F3B">
        <w:rPr>
          <w:rFonts w:cs="Arial"/>
          <w:iCs/>
        </w:rPr>
        <w:t>Nabyvatel se zavazuje užívat předmět licence pouze po dobu trvání</w:t>
      </w:r>
      <w:r w:rsidRPr="00FF68C3">
        <w:rPr>
          <w:rFonts w:cs="Arial"/>
          <w:iCs/>
        </w:rPr>
        <w:t xml:space="preserve"> této smlouvy. </w:t>
      </w:r>
    </w:p>
    <w:p w:rsidR="008574F4" w:rsidRPr="00075D96" w:rsidRDefault="008574F4" w:rsidP="00933797">
      <w:pPr>
        <w:numPr>
          <w:ilvl w:val="1"/>
          <w:numId w:val="2"/>
        </w:numPr>
        <w:spacing w:after="0" w:line="240" w:lineRule="auto"/>
        <w:ind w:left="0" w:firstLine="0"/>
        <w:jc w:val="both"/>
        <w:rPr>
          <w:rFonts w:cs="Arial"/>
        </w:rPr>
      </w:pPr>
      <w:r w:rsidRPr="00075D96">
        <w:rPr>
          <w:rFonts w:cs="Arial"/>
        </w:rPr>
        <w:t xml:space="preserve">Smluvní strany se dohodly, že touto smlouvou nepřechází z poskytovatele na nabyvatele vlastnické právo k předmětu licence. </w:t>
      </w:r>
    </w:p>
    <w:p w:rsidR="008574F4" w:rsidRPr="00075D96" w:rsidRDefault="008574F4" w:rsidP="00933797">
      <w:pPr>
        <w:pStyle w:val="seznam-western"/>
        <w:spacing w:before="0" w:beforeAutospacing="0" w:after="0"/>
        <w:outlineLvl w:val="0"/>
        <w:rPr>
          <w:rFonts w:ascii="Calibri" w:hAnsi="Calibri" w:cs="Arial"/>
          <w:color w:val="000000"/>
          <w:sz w:val="22"/>
          <w:szCs w:val="22"/>
        </w:rPr>
      </w:pPr>
    </w:p>
    <w:p w:rsidR="008574F4" w:rsidRPr="00075D96" w:rsidRDefault="008574F4" w:rsidP="00933797">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Práva a povinnosti poskytovatele</w:t>
      </w:r>
    </w:p>
    <w:p w:rsidR="008574F4" w:rsidRPr="0020715D" w:rsidRDefault="008574F4" w:rsidP="0020715D">
      <w:pPr>
        <w:pStyle w:val="ListParagraph"/>
        <w:numPr>
          <w:ilvl w:val="1"/>
          <w:numId w:val="2"/>
        </w:numPr>
        <w:spacing w:after="0" w:line="240" w:lineRule="auto"/>
        <w:ind w:left="0" w:firstLine="0"/>
        <w:jc w:val="both"/>
        <w:rPr>
          <w:rFonts w:cs="Arial"/>
        </w:rPr>
      </w:pPr>
      <w:r w:rsidRPr="0020715D">
        <w:rPr>
          <w:rFonts w:cs="Arial"/>
        </w:rPr>
        <w:t xml:space="preserve">Poskytovatel je povinen po dobu trvání této smlouvy </w:t>
      </w:r>
      <w:r w:rsidRPr="00250C3A">
        <w:t>udržovat svá práva</w:t>
      </w:r>
      <w:r w:rsidRPr="0020715D">
        <w:rPr>
          <w:rFonts w:cs="Arial"/>
        </w:rPr>
        <w:t xml:space="preserve"> k předmětu licence tak, aby bylo umožněno užívání předmětu licence nabyvatelem za podmínek stanovených touto smlouvou.  </w:t>
      </w:r>
    </w:p>
    <w:p w:rsidR="008574F4" w:rsidRPr="0020715D" w:rsidRDefault="008574F4" w:rsidP="0020715D">
      <w:pPr>
        <w:pStyle w:val="ListParagraph"/>
        <w:numPr>
          <w:ilvl w:val="1"/>
          <w:numId w:val="2"/>
        </w:numPr>
        <w:spacing w:after="0" w:line="240" w:lineRule="auto"/>
        <w:ind w:left="0" w:firstLine="0"/>
        <w:jc w:val="both"/>
        <w:rPr>
          <w:rFonts w:cs="Arial"/>
        </w:rPr>
      </w:pPr>
      <w:r w:rsidRPr="0020715D">
        <w:rPr>
          <w:rFonts w:cs="Arial"/>
        </w:rPr>
        <w:t xml:space="preserve">Poskytovatel není oprávněn po dobu trvání této smlouvy udělit právo užívání k předmětu licence třetím osobám bez jakéhokoliv omezení. </w:t>
      </w:r>
    </w:p>
    <w:p w:rsidR="008574F4" w:rsidRDefault="008574F4" w:rsidP="0020715D">
      <w:pPr>
        <w:pStyle w:val="Heading3"/>
        <w:numPr>
          <w:ilvl w:val="0"/>
          <w:numId w:val="0"/>
        </w:numPr>
        <w:spacing w:before="0" w:after="0"/>
      </w:pPr>
      <w:r>
        <w:t xml:space="preserve">2.3 </w:t>
      </w:r>
      <w:r>
        <w:tab/>
        <w:t>Provozovatel je povinen zajistit, aby výsledkem jeho plnění nebo jakékoliv jeho části nebyla porušena práva třetích osob. Pro případ, že užíváním předmětu plnění nebo jeho dílčí části nebo prostou existencí předmětu plnění nebo jeho dílčí části budou v důsledku porušení povinností poskytovatele dotčena práva třetích osob, nese poskytovatel vedle odpovědnosti za takovéto vady plnění i odpovědnost za veškeré škody, které tím nabyvateli vzniknou.</w:t>
      </w:r>
    </w:p>
    <w:p w:rsidR="008574F4" w:rsidRDefault="008574F4" w:rsidP="0020715D">
      <w:pPr>
        <w:pStyle w:val="ListParagraph"/>
        <w:spacing w:after="0" w:line="240" w:lineRule="auto"/>
        <w:ind w:left="0"/>
        <w:jc w:val="both"/>
        <w:rPr>
          <w:rFonts w:cs="Arial"/>
        </w:rPr>
      </w:pPr>
      <w:r>
        <w:rPr>
          <w:rFonts w:cs="Arial"/>
        </w:rPr>
        <w:t xml:space="preserve">2.4 </w:t>
      </w:r>
      <w:r>
        <w:rPr>
          <w:rFonts w:cs="Arial"/>
        </w:rPr>
        <w:tab/>
        <w:t xml:space="preserve">Poskytovatel předá </w:t>
      </w:r>
      <w:r w:rsidRPr="00AA1940">
        <w:rPr>
          <w:rFonts w:cs="Arial"/>
        </w:rPr>
        <w:t>nabyvateli</w:t>
      </w:r>
      <w:r>
        <w:rPr>
          <w:rFonts w:cs="Arial"/>
        </w:rPr>
        <w:t xml:space="preserve"> po uplynutí záruční doby podle smlouvy o dílo </w:t>
      </w:r>
      <w:r w:rsidRPr="00AA1940">
        <w:rPr>
          <w:rStyle w:val="Strong"/>
          <w:b w:val="0"/>
          <w:bCs/>
        </w:rPr>
        <w:t>zdrojové programy a přístupové kódy</w:t>
      </w:r>
      <w:r>
        <w:rPr>
          <w:rStyle w:val="Strong"/>
          <w:b w:val="0"/>
          <w:bCs/>
        </w:rPr>
        <w:t xml:space="preserve"> k dílu</w:t>
      </w:r>
      <w:r w:rsidRPr="00AA1940">
        <w:rPr>
          <w:rStyle w:val="Strong"/>
          <w:b w:val="0"/>
          <w:bCs/>
        </w:rPr>
        <w:t>.</w:t>
      </w:r>
      <w:r>
        <w:rPr>
          <w:rStyle w:val="Strong"/>
          <w:b w:val="0"/>
          <w:bCs/>
        </w:rPr>
        <w:t xml:space="preserve"> V případě, že je součástí předání i zdrojový kód pro PLC (řídící systém), záruka na program zaniká dnem předání programu.</w:t>
      </w:r>
    </w:p>
    <w:p w:rsidR="008574F4" w:rsidRPr="00824A52" w:rsidRDefault="008574F4" w:rsidP="00A10ABB">
      <w:pPr>
        <w:pStyle w:val="ListParagraph"/>
        <w:spacing w:after="0" w:line="240" w:lineRule="auto"/>
        <w:ind w:left="0"/>
        <w:jc w:val="both"/>
        <w:rPr>
          <w:rFonts w:cs="Arial"/>
        </w:rPr>
      </w:pPr>
      <w:r>
        <w:rPr>
          <w:rFonts w:cs="Arial"/>
        </w:rPr>
        <w:t xml:space="preserve">2.5 </w:t>
      </w:r>
      <w:r>
        <w:rPr>
          <w:rFonts w:cs="Arial"/>
        </w:rPr>
        <w:tab/>
      </w:r>
      <w:r w:rsidRPr="00824A52">
        <w:rPr>
          <w:rFonts w:cs="Arial"/>
        </w:rPr>
        <w:t xml:space="preserve">Poskytovatel je povinen bez zbytečného odkladu po uzavření této smlouvy poskytnout nabyvateli manuál k používání předmětu licence, přístupová data a případně též </w:t>
      </w:r>
      <w:r>
        <w:rPr>
          <w:rFonts w:cs="Arial"/>
        </w:rPr>
        <w:t>další</w:t>
      </w:r>
      <w:r w:rsidRPr="00824A52">
        <w:rPr>
          <w:rFonts w:cs="Arial"/>
        </w:rPr>
        <w:t xml:space="preserve"> věci, podklady a informace, které jsou potřebné k užívání předmětu licence a na kterých se smluvní strany písemně dohodnou. </w:t>
      </w:r>
    </w:p>
    <w:p w:rsidR="008574F4" w:rsidRPr="00075D96" w:rsidRDefault="008574F4" w:rsidP="0020715D">
      <w:pPr>
        <w:pStyle w:val="seznam-western"/>
        <w:numPr>
          <w:ilvl w:val="0"/>
          <w:numId w:val="2"/>
        </w:numPr>
        <w:spacing w:before="0" w:beforeAutospacing="0" w:after="0"/>
        <w:outlineLvl w:val="0"/>
        <w:rPr>
          <w:rFonts w:ascii="Calibri" w:hAnsi="Calibri" w:cs="Arial"/>
          <w:b/>
          <w:color w:val="000000"/>
          <w:sz w:val="22"/>
          <w:szCs w:val="22"/>
        </w:rPr>
      </w:pPr>
      <w:r w:rsidRPr="00075D96">
        <w:rPr>
          <w:rFonts w:ascii="Calibri" w:hAnsi="Calibri" w:cs="Arial"/>
          <w:b/>
          <w:color w:val="000000"/>
          <w:sz w:val="22"/>
          <w:szCs w:val="22"/>
        </w:rPr>
        <w:t>Práva a povinnosti nabyvatele</w:t>
      </w:r>
    </w:p>
    <w:p w:rsidR="008574F4" w:rsidRPr="0020715D" w:rsidRDefault="008574F4" w:rsidP="0020715D">
      <w:pPr>
        <w:pStyle w:val="ListParagraph"/>
        <w:numPr>
          <w:ilvl w:val="1"/>
          <w:numId w:val="2"/>
        </w:numPr>
        <w:spacing w:after="0" w:line="240" w:lineRule="auto"/>
        <w:ind w:left="0" w:firstLine="0"/>
        <w:jc w:val="both"/>
        <w:rPr>
          <w:rFonts w:cs="Arial"/>
        </w:rPr>
      </w:pPr>
      <w:r w:rsidRPr="0020715D">
        <w:rPr>
          <w:rFonts w:cs="Arial"/>
        </w:rPr>
        <w:t>Nabyvatel nesmí předmět licence upravovat, doplňovat či měnit, nesmí do něho žádným způsobem zasahovat. S výjimkou jedné záložní kopie nesmí nabyvatel předmět licence žádným způsobem kopírovat či jinak reprodukovat. Správce IT u objednatele může v rámci správy vstupovat do konfigurace a uživatelských dat.</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 xml:space="preserve">Zjistí-li nabyvatel, že je omezován ve výkonu svého práva užívat předmět licence podle této smlouvy třetími osobami, nebo zjistí-li, že jiné osoby toto právo porušují, je povinen bez zbytečného odkladu podat o tom zprávu poskytovateli. </w:t>
      </w:r>
    </w:p>
    <w:p w:rsidR="008574F4" w:rsidRPr="00075D96" w:rsidRDefault="008574F4" w:rsidP="00933797">
      <w:pPr>
        <w:spacing w:after="0" w:line="240" w:lineRule="auto"/>
        <w:jc w:val="both"/>
        <w:rPr>
          <w:rFonts w:cs="Arial"/>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 xml:space="preserve">Úplata </w:t>
      </w:r>
    </w:p>
    <w:p w:rsidR="008574F4" w:rsidRPr="006E6570" w:rsidRDefault="008574F4" w:rsidP="0020715D">
      <w:pPr>
        <w:pStyle w:val="ListParagraph"/>
        <w:numPr>
          <w:ilvl w:val="1"/>
          <w:numId w:val="2"/>
        </w:numPr>
        <w:spacing w:after="0" w:line="240" w:lineRule="auto"/>
        <w:ind w:left="0" w:firstLine="0"/>
        <w:jc w:val="both"/>
        <w:rPr>
          <w:rFonts w:cs="Arial"/>
        </w:rPr>
      </w:pPr>
      <w:r w:rsidRPr="006E6570">
        <w:rPr>
          <w:rFonts w:cs="Arial"/>
        </w:rPr>
        <w:t>Úplata za licenci byla smluvními stranami dohodnuta jako jednorázová paušální platba, která není závislá na době trvání licence a je zahrnuta v ceně díla, která je uvedena v odstavci 4.1. smlouvy o dílo.</w:t>
      </w:r>
    </w:p>
    <w:p w:rsidR="008574F4" w:rsidRPr="00075D96" w:rsidRDefault="008574F4" w:rsidP="00933797">
      <w:pPr>
        <w:spacing w:after="0" w:line="240" w:lineRule="auto"/>
        <w:jc w:val="both"/>
        <w:rPr>
          <w:rFonts w:cs="Arial"/>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Důvěrnost</w:t>
      </w:r>
    </w:p>
    <w:p w:rsidR="008574F4" w:rsidRPr="00075D96" w:rsidRDefault="008574F4" w:rsidP="0020715D">
      <w:pPr>
        <w:pStyle w:val="BodyText"/>
        <w:numPr>
          <w:ilvl w:val="1"/>
          <w:numId w:val="2"/>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jc w:val="both"/>
        <w:rPr>
          <w:lang w:eastAsia="cs-CZ"/>
        </w:rPr>
      </w:pPr>
      <w:r w:rsidRPr="00075D96">
        <w:t>Veškeré informace získané některou z</w:t>
      </w:r>
      <w:r>
        <w:t>e smluvních stran při uzavření s</w:t>
      </w:r>
      <w:r w:rsidRPr="00075D96">
        <w:t>mlouvy a v průběhu jejího plnění jsou důvěrné ve smyslu § 1730 odst. 2 zákona č. 89/2012 Sb., občanský zákoník. Smluvní strany se zavazují, že tyto informace nesdělí třetí osobě a ani je nepoužijí v rozporu s jejich účelem pro svoje potřeby či jinak nezneužijí. Tento závazek trvá i po ukončení tohoto smluvního vztahu, nedohodnou-li se strany jinak. Uvedené neplatí pro případy, kdy údaje jsou, nebo mají být určeny třetím osobám ze zákonných důvodů.</w:t>
      </w:r>
    </w:p>
    <w:p w:rsidR="008574F4" w:rsidRPr="00075D96" w:rsidRDefault="008574F4" w:rsidP="00933797">
      <w:pPr>
        <w:spacing w:after="0" w:line="240" w:lineRule="auto"/>
        <w:rPr>
          <w:rFonts w:cs="Arial"/>
          <w:color w:val="000000"/>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Smluvní sankce</w:t>
      </w:r>
    </w:p>
    <w:p w:rsidR="008574F4" w:rsidRPr="00075D96" w:rsidRDefault="008574F4" w:rsidP="0020715D">
      <w:pPr>
        <w:numPr>
          <w:ilvl w:val="1"/>
          <w:numId w:val="2"/>
        </w:numPr>
        <w:spacing w:after="0" w:line="240" w:lineRule="auto"/>
        <w:ind w:left="0" w:firstLine="0"/>
        <w:jc w:val="both"/>
        <w:rPr>
          <w:rFonts w:cs="Arial"/>
        </w:rPr>
      </w:pPr>
      <w:r w:rsidRPr="00BD54DF">
        <w:rPr>
          <w:rFonts w:cs="Arial"/>
        </w:rPr>
        <w:t xml:space="preserve">Jestliže poskytovatel poruší povinnost důvěrnosti podle článku 5 této smlouvy, </w:t>
      </w:r>
      <w:r>
        <w:rPr>
          <w:rFonts w:cs="Arial"/>
        </w:rPr>
        <w:t xml:space="preserve">nabyvatel </w:t>
      </w:r>
      <w:r w:rsidRPr="00BD54DF">
        <w:rPr>
          <w:rFonts w:cs="Arial"/>
        </w:rPr>
        <w:t xml:space="preserve">je oprávněn účtovat </w:t>
      </w:r>
      <w:r>
        <w:rPr>
          <w:rFonts w:cs="Arial"/>
        </w:rPr>
        <w:t>poskytovateli</w:t>
      </w:r>
      <w:r w:rsidRPr="00BD54DF">
        <w:rPr>
          <w:rFonts w:cs="Arial"/>
        </w:rPr>
        <w:t xml:space="preserve"> za každý jednotlivý případ porušení smluvní pokutu</w:t>
      </w:r>
      <w:r w:rsidRPr="00075D96">
        <w:rPr>
          <w:rFonts w:cs="Arial"/>
        </w:rPr>
        <w:t xml:space="preserve"> ve výši 100 000 Kč (slovy: jedno sto tisíc korun českých).</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 xml:space="preserve">Jestliže poskytovatel poruší kteroukoliv z povinností uvedených v této smlouvě, </w:t>
      </w:r>
      <w:r>
        <w:rPr>
          <w:rFonts w:cs="Arial"/>
        </w:rPr>
        <w:t xml:space="preserve">nabyvatel </w:t>
      </w:r>
      <w:r w:rsidRPr="00BD54DF">
        <w:rPr>
          <w:rFonts w:cs="Arial"/>
        </w:rPr>
        <w:t xml:space="preserve">je oprávněn účtovat </w:t>
      </w:r>
      <w:r>
        <w:rPr>
          <w:rFonts w:cs="Arial"/>
        </w:rPr>
        <w:t>poskytovateli</w:t>
      </w:r>
      <w:r w:rsidRPr="00BD54DF">
        <w:rPr>
          <w:rFonts w:cs="Arial"/>
        </w:rPr>
        <w:t xml:space="preserve"> </w:t>
      </w:r>
      <w:r w:rsidRPr="00075D96">
        <w:rPr>
          <w:rFonts w:cs="Arial"/>
        </w:rPr>
        <w:t xml:space="preserve">smluvní pokutu ve výši </w:t>
      </w:r>
      <w:r w:rsidRPr="00075D96">
        <w:rPr>
          <w:rFonts w:cs="Arial"/>
          <w:iCs/>
        </w:rPr>
        <w:t xml:space="preserve">10 000 Kč </w:t>
      </w:r>
      <w:r w:rsidRPr="00075D96">
        <w:rPr>
          <w:rFonts w:cs="Arial"/>
        </w:rPr>
        <w:t xml:space="preserve">(slovy: desettisíc korun českých) </w:t>
      </w:r>
      <w:r w:rsidRPr="00075D96">
        <w:rPr>
          <w:rFonts w:cs="Arial"/>
          <w:iCs/>
        </w:rPr>
        <w:t>za každé jednotlivé porušení.</w:t>
      </w:r>
    </w:p>
    <w:p w:rsidR="008574F4" w:rsidRPr="00075D96" w:rsidRDefault="008574F4" w:rsidP="0020715D">
      <w:pPr>
        <w:numPr>
          <w:ilvl w:val="1"/>
          <w:numId w:val="2"/>
        </w:numPr>
        <w:spacing w:after="0" w:line="240" w:lineRule="auto"/>
        <w:ind w:left="0" w:firstLine="0"/>
        <w:jc w:val="both"/>
        <w:rPr>
          <w:rFonts w:cs="Arial"/>
        </w:rPr>
      </w:pPr>
      <w:r w:rsidRPr="00075D96">
        <w:rPr>
          <w:rFonts w:cs="Arial"/>
          <w:iCs/>
        </w:rPr>
        <w:t xml:space="preserve">Zaplacení smluvní pokuty nemá vliv na právo poškozené smluvní strany žádat náhradu škody v plném rozsahu. </w:t>
      </w:r>
    </w:p>
    <w:p w:rsidR="008574F4" w:rsidRPr="00075D96" w:rsidRDefault="008574F4" w:rsidP="00933797">
      <w:pPr>
        <w:spacing w:after="0" w:line="240" w:lineRule="auto"/>
        <w:rPr>
          <w:rFonts w:cs="Arial"/>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Odpovědnost za škodu</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Odpovědnost za škodu podle této smlouvy se řídí příslušnými ustanoveními zákona č. 89/2012 Sb., občanský zákoník.</w:t>
      </w:r>
    </w:p>
    <w:p w:rsidR="008574F4" w:rsidRPr="00075D96" w:rsidRDefault="008574F4" w:rsidP="00933797">
      <w:pPr>
        <w:spacing w:after="0" w:line="240" w:lineRule="auto"/>
        <w:jc w:val="both"/>
        <w:rPr>
          <w:rFonts w:cs="Arial"/>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Vyšší moc</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w:t>
      </w:r>
      <w:r>
        <w:rPr>
          <w:rFonts w:cs="Arial"/>
        </w:rPr>
        <w:t>jména přírodní katastrofa, silná</w:t>
      </w:r>
      <w:r w:rsidRPr="00075D96">
        <w:rPr>
          <w:rFonts w:cs="Arial"/>
        </w:rPr>
        <w:t xml:space="preserve"> vichřice, zemětřesení, záplavy, válka nebo jiné události, které jsou mimo jakoukoliv kontrolu smluvních stran. </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 xml:space="preserve">Po dobu trvání vyšší moci se plnění závazků dle této smlouvy pozastavuje do doby ukončení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 </w:t>
      </w:r>
    </w:p>
    <w:p w:rsidR="008574F4" w:rsidRPr="00075D96" w:rsidRDefault="008574F4" w:rsidP="00933797">
      <w:pPr>
        <w:pStyle w:val="seznam-western"/>
        <w:spacing w:before="0" w:beforeAutospacing="0" w:after="0"/>
        <w:outlineLvl w:val="0"/>
        <w:rPr>
          <w:rFonts w:ascii="Calibri" w:hAnsi="Calibri" w:cs="Arial"/>
          <w:color w:val="000000"/>
          <w:sz w:val="22"/>
          <w:szCs w:val="22"/>
        </w:rPr>
      </w:pPr>
    </w:p>
    <w:p w:rsidR="008574F4" w:rsidRPr="00075D96" w:rsidRDefault="008574F4" w:rsidP="0020715D">
      <w:pPr>
        <w:pStyle w:val="seznam-western"/>
        <w:numPr>
          <w:ilvl w:val="0"/>
          <w:numId w:val="2"/>
        </w:numPr>
        <w:spacing w:before="0" w:beforeAutospacing="0" w:after="0"/>
        <w:ind w:left="0" w:firstLine="0"/>
        <w:outlineLvl w:val="0"/>
        <w:rPr>
          <w:rFonts w:ascii="Calibri" w:hAnsi="Calibri" w:cs="Arial"/>
          <w:b/>
          <w:color w:val="000000"/>
          <w:sz w:val="22"/>
          <w:szCs w:val="22"/>
        </w:rPr>
      </w:pPr>
      <w:r w:rsidRPr="00075D96">
        <w:rPr>
          <w:rFonts w:ascii="Calibri" w:hAnsi="Calibri" w:cs="Arial"/>
          <w:b/>
          <w:color w:val="000000"/>
          <w:sz w:val="22"/>
          <w:szCs w:val="22"/>
        </w:rPr>
        <w:t>Závěrečná ustanovení</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 xml:space="preserve">Tato smlouva se řídí právním řádem České republiky, zejména příslušnými ustanoveními občanského zákoníku. </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Tato smlouva představuje úplnou dohodu smluvních stran ohledně předmětu této smlouvy.</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Tato smlouva může být měněna nebo doplňována pouze na základě písemných dodatků podepsaných oběma smluvními stranami.</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 xml:space="preserve">V případě, že se kterékoli ustanovení této smlouvy stane neplatným, neúčinným, nebo nevynutitelným, zůstávají ostatní ustanovení této smlouvy platná, účinná, resp. vynutitelná, pokud z povahy této smlouvy nebo z jejího obsahu anebo z okolností, za nichž byla uzavřena, nevyplývá, že takové neplatné, neúčinné, resp. nevynutitelné ustanovení nelze oddělit od ostatního obsahu této smlouvy.  </w:t>
      </w:r>
    </w:p>
    <w:p w:rsidR="008574F4" w:rsidRPr="00075D96" w:rsidRDefault="008574F4" w:rsidP="0020715D">
      <w:pPr>
        <w:numPr>
          <w:ilvl w:val="1"/>
          <w:numId w:val="2"/>
        </w:numPr>
        <w:spacing w:after="0" w:line="240" w:lineRule="auto"/>
        <w:ind w:left="0" w:firstLine="0"/>
        <w:jc w:val="both"/>
        <w:rPr>
          <w:rFonts w:cs="Arial"/>
        </w:rPr>
      </w:pPr>
      <w:r w:rsidRPr="00075D96">
        <w:rPr>
          <w:rFonts w:cs="Arial"/>
          <w:color w:val="000000"/>
        </w:rPr>
        <w:t>Tato smlouva je uzavřena na dobu neurčitou. Každá ze smluvních stran má právo tuto smlouvu vypovědět písemným oznámením doručeným druhé smluvní straně. Výpovědní lhůta činí šest (6) měsíců a počíná běžet první den měsíce následujícího po měsíci, ve kterém byla výpověď doručena druhé smluvní straně.</w:t>
      </w:r>
      <w:r w:rsidRPr="00075D96">
        <w:rPr>
          <w:rFonts w:cs="Arial"/>
        </w:rPr>
        <w:t xml:space="preserve"> </w:t>
      </w:r>
    </w:p>
    <w:p w:rsidR="008574F4" w:rsidRPr="00075D96" w:rsidRDefault="008574F4" w:rsidP="0020715D">
      <w:pPr>
        <w:numPr>
          <w:ilvl w:val="1"/>
          <w:numId w:val="2"/>
        </w:numPr>
        <w:spacing w:after="0" w:line="240" w:lineRule="auto"/>
        <w:ind w:left="0" w:firstLine="0"/>
        <w:jc w:val="both"/>
        <w:rPr>
          <w:rFonts w:cs="Arial"/>
        </w:rPr>
      </w:pPr>
      <w:r w:rsidRPr="00075D96">
        <w:rPr>
          <w:rFonts w:cs="Arial"/>
        </w:rPr>
        <w:t>Tato smlouva je vyhotovena ve dvou stejnopisech. Každá ze smluvních stran obdrží po jednom řádně podepsaném stejnopisu.</w:t>
      </w:r>
    </w:p>
    <w:p w:rsidR="008574F4" w:rsidRDefault="008574F4" w:rsidP="0020715D">
      <w:pPr>
        <w:numPr>
          <w:ilvl w:val="1"/>
          <w:numId w:val="2"/>
        </w:numPr>
        <w:spacing w:after="0" w:line="240" w:lineRule="auto"/>
        <w:ind w:left="0" w:firstLine="0"/>
        <w:jc w:val="both"/>
        <w:rPr>
          <w:rFonts w:cs="Arial"/>
        </w:rPr>
      </w:pPr>
      <w:r w:rsidRPr="00075D96">
        <w:rPr>
          <w:rFonts w:cs="Arial"/>
        </w:rPr>
        <w:t xml:space="preserve">Tato smlouva nabývá účinnosti dnem </w:t>
      </w:r>
      <w:r>
        <w:rPr>
          <w:rFonts w:cs="Arial"/>
        </w:rPr>
        <w:t xml:space="preserve">akceptace díla po </w:t>
      </w:r>
      <w:r w:rsidRPr="00075D96">
        <w:rPr>
          <w:rFonts w:cs="Arial"/>
        </w:rPr>
        <w:t>podepsání předávacího protokolu podle odstavce</w:t>
      </w:r>
      <w:r>
        <w:rPr>
          <w:rFonts w:cs="Arial"/>
        </w:rPr>
        <w:t xml:space="preserve"> 7.3. </w:t>
      </w:r>
      <w:r w:rsidRPr="00075D96">
        <w:rPr>
          <w:rFonts w:cs="Arial"/>
        </w:rPr>
        <w:t>smlouvy o dílo uzavřené oběma smluvními stranami společně s touto smlouvou</w:t>
      </w:r>
      <w:r>
        <w:rPr>
          <w:rFonts w:cs="Arial"/>
        </w:rPr>
        <w:t>, a zároveň uveřejněním v registru smluv</w:t>
      </w:r>
      <w:r w:rsidRPr="00075D96">
        <w:rPr>
          <w:rFonts w:cs="Arial"/>
        </w:rPr>
        <w:t>.</w:t>
      </w:r>
    </w:p>
    <w:p w:rsidR="008574F4" w:rsidRPr="00141CD4" w:rsidRDefault="008574F4" w:rsidP="0020715D">
      <w:pPr>
        <w:pStyle w:val="ListParagraph"/>
        <w:keepNext/>
        <w:keepLines/>
        <w:numPr>
          <w:ilvl w:val="1"/>
          <w:numId w:val="2"/>
        </w:numPr>
        <w:spacing w:after="0" w:line="240" w:lineRule="auto"/>
        <w:ind w:left="0" w:firstLine="0"/>
        <w:jc w:val="both"/>
        <w:rPr>
          <w:rFonts w:cs="Arial"/>
        </w:rPr>
      </w:pPr>
      <w:r>
        <w:t>Smluvní strany prohlašují, že jsou si vědomy povinnosti Psychiatrické nemocnice Brno uveřejňovat uzavřené smlouvy v registru smluv, a to v souladu se zákonem č.340/2015 Sb., o registru smluv a dále pak předpisy o svobodném přístupu k informacím, a to nejpozději do třiceti dnů ode dne uzavření smlouvy. Smluvní strany souhlasí s uveřejněním jejich identifikačních nebo osobních údajů v registru smluv. Pokud mají obě strany povinnost uveřejnit smlouvu v registru smluv, smluvní strany se dohodly, že tuto smlouvu vloží do registru smluv Psychiatrická nemocnice Brno. Smluvní strany souhlasně prohlašují, že platnost tohoto ujednání zůstává zachována i v případě zániku nebo neplatnosti smlouvy.</w:t>
      </w:r>
    </w:p>
    <w:p w:rsidR="008574F4" w:rsidRDefault="008574F4" w:rsidP="00933797">
      <w:pPr>
        <w:spacing w:after="0" w:line="240" w:lineRule="auto"/>
        <w:rPr>
          <w:rFonts w:cs="Arial"/>
        </w:rPr>
      </w:pPr>
    </w:p>
    <w:p w:rsidR="008574F4" w:rsidRPr="00075D96" w:rsidRDefault="008574F4" w:rsidP="00933797">
      <w:pPr>
        <w:spacing w:after="0" w:line="240" w:lineRule="auto"/>
        <w:rPr>
          <w:rFonts w:cs="Arial"/>
        </w:rPr>
      </w:pPr>
    </w:p>
    <w:p w:rsidR="008574F4" w:rsidRDefault="008574F4" w:rsidP="00933797">
      <w:pPr>
        <w:spacing w:after="0" w:line="240" w:lineRule="auto"/>
        <w:jc w:val="both"/>
        <w:rPr>
          <w:rFonts w:cs="Calibri"/>
        </w:rPr>
      </w:pPr>
      <w:r w:rsidRPr="00075D96">
        <w:rPr>
          <w:rFonts w:cs="Calibri"/>
        </w:rPr>
        <w:t xml:space="preserve">V Brně dne </w:t>
      </w:r>
      <w:r>
        <w:rPr>
          <w:rFonts w:cs="Calibri"/>
        </w:rPr>
        <w:t>06.11.2017</w:t>
      </w:r>
      <w:r>
        <w:rPr>
          <w:rFonts w:cs="Calibri"/>
        </w:rPr>
        <w:tab/>
      </w:r>
      <w:r>
        <w:rPr>
          <w:rFonts w:cs="Calibri"/>
        </w:rPr>
        <w:tab/>
      </w:r>
      <w:r>
        <w:rPr>
          <w:rFonts w:cs="Calibri"/>
        </w:rPr>
        <w:tab/>
      </w:r>
      <w:r>
        <w:rPr>
          <w:rFonts w:cs="Calibri"/>
        </w:rPr>
        <w:tab/>
        <w:t xml:space="preserve">            </w:t>
      </w:r>
      <w:bookmarkStart w:id="0" w:name="_GoBack"/>
      <w:bookmarkEnd w:id="0"/>
      <w:r>
        <w:rPr>
          <w:rFonts w:cs="Calibri"/>
        </w:rPr>
        <w:t>V Modřicích dne  08.11.2017</w:t>
      </w:r>
    </w:p>
    <w:p w:rsidR="008574F4" w:rsidRPr="00374F49" w:rsidRDefault="008574F4" w:rsidP="00933797">
      <w:pPr>
        <w:spacing w:after="0" w:line="240" w:lineRule="auto"/>
        <w:jc w:val="both"/>
        <w:rPr>
          <w:rFonts w:cs="Calibri"/>
        </w:rPr>
      </w:pPr>
    </w:p>
    <w:p w:rsidR="008574F4" w:rsidRPr="00374F49" w:rsidRDefault="008574F4" w:rsidP="00933797">
      <w:pPr>
        <w:spacing w:after="0" w:line="240" w:lineRule="auto"/>
        <w:jc w:val="both"/>
        <w:rPr>
          <w:rFonts w:cs="Calibri"/>
        </w:rPr>
      </w:pPr>
    </w:p>
    <w:p w:rsidR="008574F4" w:rsidRPr="00374F49" w:rsidRDefault="008574F4" w:rsidP="00933797">
      <w:pPr>
        <w:spacing w:after="0" w:line="240" w:lineRule="auto"/>
        <w:jc w:val="both"/>
        <w:rPr>
          <w:rFonts w:cs="Calibri"/>
        </w:rPr>
      </w:pPr>
    </w:p>
    <w:p w:rsidR="008574F4" w:rsidRPr="00374F49" w:rsidRDefault="008574F4" w:rsidP="00933797">
      <w:pPr>
        <w:spacing w:after="0" w:line="240" w:lineRule="auto"/>
        <w:jc w:val="both"/>
        <w:rPr>
          <w:rFonts w:cs="Calibri"/>
        </w:rPr>
      </w:pPr>
    </w:p>
    <w:p w:rsidR="008574F4" w:rsidRPr="00374F49" w:rsidRDefault="008574F4" w:rsidP="00933797">
      <w:pPr>
        <w:spacing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r>
      <w:r w:rsidRPr="00374F49">
        <w:rPr>
          <w:rFonts w:cs="Calibri"/>
        </w:rPr>
        <w:t>……………………………………………..</w:t>
      </w:r>
    </w:p>
    <w:p w:rsidR="008574F4" w:rsidRPr="00374F49" w:rsidRDefault="008574F4" w:rsidP="00933797">
      <w:pPr>
        <w:spacing w:after="0" w:line="240" w:lineRule="auto"/>
        <w:jc w:val="both"/>
        <w:rPr>
          <w:rFonts w:cs="Calibri"/>
        </w:rPr>
      </w:pPr>
      <w:r>
        <w:rPr>
          <w:rFonts w:cs="Calibri"/>
        </w:rPr>
        <w:t>nabyvatel</w:t>
      </w:r>
      <w:r>
        <w:rPr>
          <w:rFonts w:cs="Calibri"/>
        </w:rPr>
        <w:tab/>
      </w:r>
      <w:r>
        <w:rPr>
          <w:rFonts w:cs="Calibri"/>
        </w:rPr>
        <w:tab/>
      </w:r>
      <w:r>
        <w:rPr>
          <w:rFonts w:cs="Calibri"/>
        </w:rPr>
        <w:tab/>
      </w:r>
      <w:r>
        <w:rPr>
          <w:rFonts w:cs="Calibri"/>
        </w:rPr>
        <w:tab/>
      </w:r>
      <w:r>
        <w:rPr>
          <w:rFonts w:cs="Calibri"/>
        </w:rPr>
        <w:tab/>
      </w:r>
      <w:r>
        <w:rPr>
          <w:rFonts w:cs="Calibri"/>
        </w:rPr>
        <w:tab/>
      </w:r>
      <w:r w:rsidRPr="00374F49">
        <w:rPr>
          <w:rFonts w:cs="Calibri"/>
        </w:rPr>
        <w:tab/>
      </w:r>
      <w:r>
        <w:rPr>
          <w:rFonts w:cs="Calibri"/>
        </w:rPr>
        <w:t>poskytovatel</w:t>
      </w:r>
    </w:p>
    <w:p w:rsidR="008574F4" w:rsidRPr="00374F49" w:rsidRDefault="008574F4" w:rsidP="00933797">
      <w:pPr>
        <w:spacing w:after="0" w:line="240" w:lineRule="auto"/>
        <w:jc w:val="both"/>
        <w:rPr>
          <w:rFonts w:cs="Calibri"/>
        </w:rPr>
      </w:pPr>
      <w:r>
        <w:rPr>
          <w:rFonts w:cs="Calibri"/>
        </w:rPr>
        <w:t>MUDr. Marek Radimský</w:t>
      </w:r>
      <w:r>
        <w:rPr>
          <w:rFonts w:cs="Calibri"/>
        </w:rPr>
        <w:tab/>
      </w:r>
      <w:r>
        <w:rPr>
          <w:rFonts w:cs="Calibri"/>
        </w:rPr>
        <w:tab/>
      </w:r>
      <w:r>
        <w:rPr>
          <w:rFonts w:cs="Calibri"/>
        </w:rPr>
        <w:tab/>
      </w:r>
      <w:r w:rsidRPr="00374F49">
        <w:rPr>
          <w:rFonts w:cs="Calibri"/>
        </w:rPr>
        <w:tab/>
      </w:r>
      <w:r w:rsidRPr="00374F49">
        <w:rPr>
          <w:rFonts w:cs="Calibri"/>
        </w:rPr>
        <w:tab/>
      </w:r>
      <w:r>
        <w:rPr>
          <w:rFonts w:cs="Calibri"/>
        </w:rPr>
        <w:t>Ing. Josef Musil</w:t>
      </w:r>
      <w:r w:rsidRPr="00374F49">
        <w:rPr>
          <w:rFonts w:cs="Calibri"/>
        </w:rPr>
        <w:tab/>
      </w:r>
    </w:p>
    <w:p w:rsidR="008574F4" w:rsidRDefault="008574F4" w:rsidP="00933797">
      <w:pPr>
        <w:spacing w:after="0" w:line="240" w:lineRule="auto"/>
        <w:jc w:val="both"/>
        <w:rPr>
          <w:rFonts w:cs="Calibri"/>
        </w:rPr>
      </w:pPr>
      <w:r>
        <w:rPr>
          <w:rFonts w:cs="Calibri"/>
        </w:rPr>
        <w:t>ředitel Psychiatrické nemocnice Brno</w:t>
      </w:r>
      <w:r>
        <w:rPr>
          <w:rFonts w:cs="Calibri"/>
        </w:rPr>
        <w:tab/>
      </w:r>
      <w:r>
        <w:rPr>
          <w:rFonts w:cs="Calibri"/>
        </w:rPr>
        <w:tab/>
      </w:r>
      <w:r>
        <w:rPr>
          <w:rFonts w:cs="Calibri"/>
        </w:rPr>
        <w:tab/>
      </w:r>
      <w:r>
        <w:rPr>
          <w:rFonts w:cs="Calibri"/>
        </w:rPr>
        <w:tab/>
        <w:t xml:space="preserve">jednatel společnosti </w:t>
      </w:r>
    </w:p>
    <w:p w:rsidR="008574F4" w:rsidRPr="00374F49" w:rsidRDefault="008574F4" w:rsidP="00011C35">
      <w:pPr>
        <w:spacing w:after="0" w:line="240" w:lineRule="auto"/>
        <w:ind w:left="4956" w:firstLine="708"/>
        <w:jc w:val="both"/>
        <w:rPr>
          <w:rFonts w:cs="Calibri"/>
        </w:rPr>
      </w:pPr>
      <w:r>
        <w:rPr>
          <w:rFonts w:cs="Calibri"/>
        </w:rPr>
        <w:t>BMS SERVIS, s.r.o.</w:t>
      </w:r>
    </w:p>
    <w:p w:rsidR="008574F4" w:rsidRDefault="008574F4"/>
    <w:sectPr w:rsidR="008574F4" w:rsidSect="00362A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F4" w:rsidRDefault="008574F4" w:rsidP="00273D1F">
      <w:pPr>
        <w:spacing w:after="0" w:line="240" w:lineRule="auto"/>
      </w:pPr>
      <w:r>
        <w:separator/>
      </w:r>
    </w:p>
  </w:endnote>
  <w:endnote w:type="continuationSeparator" w:id="0">
    <w:p w:rsidR="008574F4" w:rsidRDefault="008574F4" w:rsidP="0027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4F4" w:rsidRDefault="008574F4">
    <w:pPr>
      <w:pStyle w:val="Footer"/>
      <w:jc w:val="right"/>
    </w:pPr>
    <w:fldSimple w:instr="PAGE   \* MERGEFORMAT">
      <w:r>
        <w:rPr>
          <w:noProof/>
        </w:rPr>
        <w:t>3</w:t>
      </w:r>
    </w:fldSimple>
  </w:p>
  <w:p w:rsidR="008574F4" w:rsidRDefault="00857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F4" w:rsidRDefault="008574F4" w:rsidP="00273D1F">
      <w:pPr>
        <w:spacing w:after="0" w:line="240" w:lineRule="auto"/>
      </w:pPr>
      <w:r>
        <w:separator/>
      </w:r>
    </w:p>
  </w:footnote>
  <w:footnote w:type="continuationSeparator" w:id="0">
    <w:p w:rsidR="008574F4" w:rsidRDefault="008574F4" w:rsidP="00273D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CAC"/>
    <w:multiLevelType w:val="multilevel"/>
    <w:tmpl w:val="A5509AAC"/>
    <w:lvl w:ilvl="0">
      <w:start w:val="1"/>
      <w:numFmt w:val="decimal"/>
      <w:pStyle w:val="Heading1"/>
      <w:lvlText w:val="Čl. %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b w:val="0"/>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2352ABE"/>
    <w:multiLevelType w:val="hybridMultilevel"/>
    <w:tmpl w:val="F6A4A3EA"/>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
    <w:nsid w:val="144000E6"/>
    <w:multiLevelType w:val="multilevel"/>
    <w:tmpl w:val="807A34C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6A31D99"/>
    <w:multiLevelType w:val="hybridMultilevel"/>
    <w:tmpl w:val="3EBC321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2B762F8"/>
    <w:multiLevelType w:val="multilevel"/>
    <w:tmpl w:val="112280F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73060E0F"/>
    <w:multiLevelType w:val="multilevel"/>
    <w:tmpl w:val="53A2FC0A"/>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6">
    <w:nsid w:val="75517D27"/>
    <w:multiLevelType w:val="multilevel"/>
    <w:tmpl w:val="AD948F52"/>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nsid w:val="75A04BD7"/>
    <w:multiLevelType w:val="hybridMultilevel"/>
    <w:tmpl w:val="598E07C2"/>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3"/>
  </w:num>
  <w:num w:numId="2">
    <w:abstractNumId w:val="6"/>
  </w:num>
  <w:num w:numId="3">
    <w:abstractNumId w:val="4"/>
  </w:num>
  <w:num w:numId="4">
    <w:abstractNumId w:val="1"/>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797"/>
    <w:rsid w:val="00011C35"/>
    <w:rsid w:val="00075D96"/>
    <w:rsid w:val="00141CD4"/>
    <w:rsid w:val="00185394"/>
    <w:rsid w:val="001D5BEA"/>
    <w:rsid w:val="00200DC7"/>
    <w:rsid w:val="0020715D"/>
    <w:rsid w:val="00250C3A"/>
    <w:rsid w:val="00273D1F"/>
    <w:rsid w:val="003516CA"/>
    <w:rsid w:val="0035675B"/>
    <w:rsid w:val="00362A12"/>
    <w:rsid w:val="00365F3D"/>
    <w:rsid w:val="00374F49"/>
    <w:rsid w:val="003F42B9"/>
    <w:rsid w:val="005039AF"/>
    <w:rsid w:val="00592018"/>
    <w:rsid w:val="006E6570"/>
    <w:rsid w:val="00824A52"/>
    <w:rsid w:val="008574F4"/>
    <w:rsid w:val="00933797"/>
    <w:rsid w:val="00A10ABB"/>
    <w:rsid w:val="00A24182"/>
    <w:rsid w:val="00AA1940"/>
    <w:rsid w:val="00AF2358"/>
    <w:rsid w:val="00BB3F3B"/>
    <w:rsid w:val="00BD54DF"/>
    <w:rsid w:val="00E97F98"/>
    <w:rsid w:val="00EB0017"/>
    <w:rsid w:val="00EB2203"/>
    <w:rsid w:val="00EE3E13"/>
    <w:rsid w:val="00FF68C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33797"/>
    <w:pPr>
      <w:spacing w:after="200" w:line="276" w:lineRule="auto"/>
    </w:pPr>
    <w:rPr>
      <w:rFonts w:cs="Times New Roman"/>
      <w:lang w:eastAsia="en-US"/>
    </w:rPr>
  </w:style>
  <w:style w:type="paragraph" w:styleId="Heading1">
    <w:name w:val="heading 1"/>
    <w:basedOn w:val="Normal"/>
    <w:next w:val="Normal"/>
    <w:link w:val="Heading1Char"/>
    <w:uiPriority w:val="99"/>
    <w:qFormat/>
    <w:rsid w:val="00AA1940"/>
    <w:pPr>
      <w:keepNext/>
      <w:numPr>
        <w:numId w:val="6"/>
      </w:numPr>
      <w:spacing w:before="240" w:after="60" w:line="240" w:lineRule="auto"/>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A1940"/>
    <w:pPr>
      <w:keepNext/>
      <w:numPr>
        <w:ilvl w:val="1"/>
        <w:numId w:val="6"/>
      </w:numPr>
      <w:spacing w:before="240" w:after="60" w:line="240" w:lineRule="auto"/>
      <w:jc w:val="both"/>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A1940"/>
    <w:pPr>
      <w:numPr>
        <w:ilvl w:val="2"/>
        <w:numId w:val="6"/>
      </w:numPr>
      <w:spacing w:before="240" w:after="60" w:line="240" w:lineRule="auto"/>
      <w:jc w:val="both"/>
      <w:outlineLvl w:val="2"/>
    </w:pPr>
    <w:rPr>
      <w:rFonts w:eastAsia="Times New Roman"/>
      <w:bCs/>
      <w:szCs w:val="26"/>
    </w:rPr>
  </w:style>
  <w:style w:type="paragraph" w:styleId="Heading4">
    <w:name w:val="heading 4"/>
    <w:basedOn w:val="Normal"/>
    <w:next w:val="Normal"/>
    <w:link w:val="Heading4Char"/>
    <w:uiPriority w:val="99"/>
    <w:qFormat/>
    <w:rsid w:val="00AA1940"/>
    <w:pPr>
      <w:keepNext/>
      <w:numPr>
        <w:ilvl w:val="3"/>
        <w:numId w:val="6"/>
      </w:numPr>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AA1940"/>
    <w:pPr>
      <w:numPr>
        <w:ilvl w:val="4"/>
        <w:numId w:val="6"/>
      </w:num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AA1940"/>
    <w:pPr>
      <w:numPr>
        <w:ilvl w:val="5"/>
        <w:numId w:val="6"/>
      </w:num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AA1940"/>
    <w:pPr>
      <w:numPr>
        <w:ilvl w:val="6"/>
        <w:numId w:val="6"/>
      </w:numPr>
      <w:spacing w:before="240" w:after="60" w:line="240" w:lineRule="auto"/>
      <w:jc w:val="both"/>
      <w:outlineLvl w:val="6"/>
    </w:pPr>
    <w:rPr>
      <w:rFonts w:eastAsia="Times New Roman"/>
      <w:sz w:val="24"/>
      <w:szCs w:val="24"/>
    </w:rPr>
  </w:style>
  <w:style w:type="paragraph" w:styleId="Heading8">
    <w:name w:val="heading 8"/>
    <w:basedOn w:val="Normal"/>
    <w:next w:val="Normal"/>
    <w:link w:val="Heading8Char"/>
    <w:uiPriority w:val="99"/>
    <w:qFormat/>
    <w:rsid w:val="00AA1940"/>
    <w:pPr>
      <w:numPr>
        <w:ilvl w:val="7"/>
        <w:numId w:val="6"/>
      </w:numPr>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9"/>
    <w:qFormat/>
    <w:rsid w:val="00AA1940"/>
    <w:pPr>
      <w:numPr>
        <w:ilvl w:val="8"/>
        <w:numId w:val="6"/>
      </w:numPr>
      <w:spacing w:before="240" w:after="60" w:line="240" w:lineRule="auto"/>
      <w:jc w:val="both"/>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940"/>
    <w:rPr>
      <w:rFonts w:ascii="Cambria" w:hAnsi="Cambria" w:cs="Times New Roman"/>
      <w:b/>
      <w:bCs/>
      <w:kern w:val="32"/>
      <w:sz w:val="32"/>
      <w:szCs w:val="32"/>
      <w:lang/>
    </w:rPr>
  </w:style>
  <w:style w:type="character" w:customStyle="1" w:styleId="Heading2Char">
    <w:name w:val="Heading 2 Char"/>
    <w:basedOn w:val="DefaultParagraphFont"/>
    <w:link w:val="Heading2"/>
    <w:uiPriority w:val="99"/>
    <w:semiHidden/>
    <w:locked/>
    <w:rsid w:val="00AA1940"/>
    <w:rPr>
      <w:rFonts w:ascii="Cambria" w:hAnsi="Cambria" w:cs="Times New Roman"/>
      <w:b/>
      <w:bCs/>
      <w:i/>
      <w:iCs/>
      <w:sz w:val="28"/>
      <w:szCs w:val="28"/>
      <w:lang/>
    </w:rPr>
  </w:style>
  <w:style w:type="character" w:customStyle="1" w:styleId="Heading3Char">
    <w:name w:val="Heading 3 Char"/>
    <w:basedOn w:val="DefaultParagraphFont"/>
    <w:link w:val="Heading3"/>
    <w:uiPriority w:val="99"/>
    <w:semiHidden/>
    <w:locked/>
    <w:rsid w:val="00AA1940"/>
    <w:rPr>
      <w:rFonts w:ascii="Calibri" w:hAnsi="Calibri" w:cs="Times New Roman"/>
      <w:bCs/>
      <w:sz w:val="26"/>
      <w:szCs w:val="26"/>
      <w:lang/>
    </w:rPr>
  </w:style>
  <w:style w:type="character" w:customStyle="1" w:styleId="Heading4Char">
    <w:name w:val="Heading 4 Char"/>
    <w:basedOn w:val="DefaultParagraphFont"/>
    <w:link w:val="Heading4"/>
    <w:uiPriority w:val="99"/>
    <w:semiHidden/>
    <w:locked/>
    <w:rsid w:val="00AA1940"/>
    <w:rPr>
      <w:rFonts w:ascii="Calibri" w:hAnsi="Calibri" w:cs="Times New Roman"/>
      <w:b/>
      <w:bCs/>
      <w:sz w:val="28"/>
      <w:szCs w:val="28"/>
      <w:lang/>
    </w:rPr>
  </w:style>
  <w:style w:type="character" w:customStyle="1" w:styleId="Heading5Char">
    <w:name w:val="Heading 5 Char"/>
    <w:basedOn w:val="DefaultParagraphFont"/>
    <w:link w:val="Heading5"/>
    <w:uiPriority w:val="99"/>
    <w:semiHidden/>
    <w:locked/>
    <w:rsid w:val="00AA1940"/>
    <w:rPr>
      <w:rFonts w:ascii="Calibri" w:hAnsi="Calibri" w:cs="Times New Roman"/>
      <w:b/>
      <w:bCs/>
      <w:i/>
      <w:iCs/>
      <w:sz w:val="26"/>
      <w:szCs w:val="26"/>
      <w:lang/>
    </w:rPr>
  </w:style>
  <w:style w:type="character" w:customStyle="1" w:styleId="Heading6Char">
    <w:name w:val="Heading 6 Char"/>
    <w:basedOn w:val="DefaultParagraphFont"/>
    <w:link w:val="Heading6"/>
    <w:uiPriority w:val="99"/>
    <w:semiHidden/>
    <w:locked/>
    <w:rsid w:val="00AA1940"/>
    <w:rPr>
      <w:rFonts w:ascii="Calibri" w:hAnsi="Calibri" w:cs="Times New Roman"/>
      <w:b/>
      <w:bCs/>
      <w:lang/>
    </w:rPr>
  </w:style>
  <w:style w:type="character" w:customStyle="1" w:styleId="Heading7Char">
    <w:name w:val="Heading 7 Char"/>
    <w:basedOn w:val="DefaultParagraphFont"/>
    <w:link w:val="Heading7"/>
    <w:uiPriority w:val="99"/>
    <w:semiHidden/>
    <w:locked/>
    <w:rsid w:val="00AA1940"/>
    <w:rPr>
      <w:rFonts w:ascii="Calibri" w:hAnsi="Calibri" w:cs="Times New Roman"/>
      <w:sz w:val="24"/>
      <w:szCs w:val="24"/>
      <w:lang/>
    </w:rPr>
  </w:style>
  <w:style w:type="character" w:customStyle="1" w:styleId="Heading8Char">
    <w:name w:val="Heading 8 Char"/>
    <w:basedOn w:val="DefaultParagraphFont"/>
    <w:link w:val="Heading8"/>
    <w:uiPriority w:val="99"/>
    <w:semiHidden/>
    <w:locked/>
    <w:rsid w:val="00AA1940"/>
    <w:rPr>
      <w:rFonts w:ascii="Calibri" w:hAnsi="Calibri" w:cs="Times New Roman"/>
      <w:i/>
      <w:iCs/>
      <w:sz w:val="24"/>
      <w:szCs w:val="24"/>
      <w:lang/>
    </w:rPr>
  </w:style>
  <w:style w:type="character" w:customStyle="1" w:styleId="Heading9Char">
    <w:name w:val="Heading 9 Char"/>
    <w:basedOn w:val="DefaultParagraphFont"/>
    <w:link w:val="Heading9"/>
    <w:uiPriority w:val="99"/>
    <w:semiHidden/>
    <w:locked/>
    <w:rsid w:val="00AA1940"/>
    <w:rPr>
      <w:rFonts w:ascii="Cambria" w:hAnsi="Cambria" w:cs="Times New Roman"/>
      <w:lang/>
    </w:rPr>
  </w:style>
  <w:style w:type="paragraph" w:styleId="NormalWeb">
    <w:name w:val="Normal (Web)"/>
    <w:basedOn w:val="Normal"/>
    <w:uiPriority w:val="99"/>
    <w:rsid w:val="00933797"/>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al"/>
    <w:uiPriority w:val="99"/>
    <w:rsid w:val="00933797"/>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al"/>
    <w:uiPriority w:val="99"/>
    <w:rsid w:val="00933797"/>
    <w:pPr>
      <w:spacing w:before="100" w:beforeAutospacing="1" w:after="119" w:line="240" w:lineRule="auto"/>
      <w:jc w:val="both"/>
    </w:pPr>
    <w:rPr>
      <w:rFonts w:ascii="Times New Roman" w:eastAsia="Times New Roman" w:hAnsi="Times New Roman"/>
      <w:sz w:val="24"/>
      <w:szCs w:val="24"/>
      <w:lang w:eastAsia="cs-CZ"/>
    </w:rPr>
  </w:style>
  <w:style w:type="character" w:styleId="Strong">
    <w:name w:val="Strong"/>
    <w:basedOn w:val="DefaultParagraphFont"/>
    <w:uiPriority w:val="99"/>
    <w:qFormat/>
    <w:rsid w:val="00933797"/>
    <w:rPr>
      <w:rFonts w:cs="Times New Roman"/>
      <w:b/>
    </w:rPr>
  </w:style>
  <w:style w:type="paragraph" w:customStyle="1" w:styleId="Normln">
    <w:name w:val="Normální~"/>
    <w:basedOn w:val="Normal"/>
    <w:uiPriority w:val="99"/>
    <w:rsid w:val="00933797"/>
    <w:pPr>
      <w:widowControl w:val="0"/>
      <w:spacing w:after="0" w:line="240" w:lineRule="auto"/>
    </w:pPr>
    <w:rPr>
      <w:rFonts w:ascii="Times New Roman" w:eastAsia="Times New Roman" w:hAnsi="Times New Roman"/>
      <w:noProof/>
      <w:sz w:val="24"/>
      <w:szCs w:val="20"/>
      <w:lang w:eastAsia="cs-CZ"/>
    </w:rPr>
  </w:style>
  <w:style w:type="paragraph" w:styleId="BodyText">
    <w:name w:val="Body Text"/>
    <w:basedOn w:val="Normal"/>
    <w:link w:val="BodyTextChar"/>
    <w:uiPriority w:val="99"/>
    <w:semiHidden/>
    <w:rsid w:val="00933797"/>
    <w:pPr>
      <w:spacing w:after="120"/>
    </w:pPr>
  </w:style>
  <w:style w:type="character" w:customStyle="1" w:styleId="BodyTextChar">
    <w:name w:val="Body Text Char"/>
    <w:basedOn w:val="DefaultParagraphFont"/>
    <w:link w:val="BodyText"/>
    <w:uiPriority w:val="99"/>
    <w:semiHidden/>
    <w:locked/>
    <w:rsid w:val="00933797"/>
    <w:rPr>
      <w:rFonts w:ascii="Calibri" w:eastAsia="Times New Roman" w:hAnsi="Calibri" w:cs="Times New Roman"/>
    </w:rPr>
  </w:style>
  <w:style w:type="paragraph" w:styleId="ListParagraph">
    <w:name w:val="List Paragraph"/>
    <w:basedOn w:val="Normal"/>
    <w:uiPriority w:val="99"/>
    <w:qFormat/>
    <w:rsid w:val="00933797"/>
    <w:pPr>
      <w:ind w:left="720"/>
      <w:contextualSpacing/>
    </w:pPr>
  </w:style>
  <w:style w:type="paragraph" w:styleId="Header">
    <w:name w:val="header"/>
    <w:basedOn w:val="Normal"/>
    <w:link w:val="HeaderChar"/>
    <w:uiPriority w:val="99"/>
    <w:rsid w:val="00273D1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73D1F"/>
    <w:rPr>
      <w:rFonts w:ascii="Calibri" w:eastAsia="Times New Roman" w:hAnsi="Calibri" w:cs="Times New Roman"/>
    </w:rPr>
  </w:style>
  <w:style w:type="paragraph" w:styleId="Footer">
    <w:name w:val="footer"/>
    <w:basedOn w:val="Normal"/>
    <w:link w:val="FooterChar"/>
    <w:uiPriority w:val="99"/>
    <w:rsid w:val="00273D1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73D1F"/>
    <w:rPr>
      <w:rFonts w:ascii="Calibri" w:eastAsia="Times New Roman" w:hAnsi="Calibri" w:cs="Times New Roman"/>
    </w:rPr>
  </w:style>
  <w:style w:type="paragraph" w:styleId="BalloonText">
    <w:name w:val="Balloon Text"/>
    <w:basedOn w:val="Normal"/>
    <w:link w:val="BalloonTextChar"/>
    <w:uiPriority w:val="99"/>
    <w:semiHidden/>
    <w:rsid w:val="00AA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9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88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1132</Words>
  <Characters>6682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Poremska</dc:creator>
  <cp:keywords/>
  <dc:description/>
  <cp:lastModifiedBy>horak</cp:lastModifiedBy>
  <cp:revision>5</cp:revision>
  <dcterms:created xsi:type="dcterms:W3CDTF">2017-10-26T06:56:00Z</dcterms:created>
  <dcterms:modified xsi:type="dcterms:W3CDTF">2017-11-16T19:44:00Z</dcterms:modified>
</cp:coreProperties>
</file>