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AB3" w:rsidRPr="007B0292" w:rsidRDefault="00B15AB3" w:rsidP="007B0292">
      <w:pPr>
        <w:tabs>
          <w:tab w:val="left" w:pos="5103"/>
          <w:tab w:val="left" w:pos="9639"/>
        </w:tabs>
        <w:jc w:val="both"/>
        <w:rPr>
          <w:rFonts w:ascii="Arial" w:hAnsi="Arial" w:cs="Arial"/>
          <w:sz w:val="22"/>
          <w:szCs w:val="22"/>
        </w:rPr>
      </w:pPr>
      <w:r w:rsidRPr="007B0292">
        <w:rPr>
          <w:rFonts w:ascii="Arial" w:hAnsi="Arial" w:cs="Arial"/>
          <w:b/>
          <w:bCs/>
          <w:sz w:val="22"/>
          <w:szCs w:val="22"/>
        </w:rPr>
        <w:t>Komerční banka, a.s.</w:t>
      </w:r>
      <w:r w:rsidRPr="007B0292">
        <w:rPr>
          <w:rFonts w:ascii="Arial" w:hAnsi="Arial" w:cs="Arial"/>
          <w:sz w:val="22"/>
          <w:szCs w:val="22"/>
        </w:rPr>
        <w:t xml:space="preserve">, se sídlem Praha 1, Na Příkopě 33, čp. 969, PSČ 114 07, IČO 45317054, zapsaná v obchodním rejstříku vedeném Městským soudem v Praze, oddíl B, vložka 1360, zastoupená </w:t>
      </w:r>
      <w:r w:rsidR="009C0792" w:rsidRPr="007B0292">
        <w:rPr>
          <w:rFonts w:ascii="Arial" w:hAnsi="Arial" w:cs="Arial"/>
          <w:sz w:val="22"/>
          <w:szCs w:val="22"/>
        </w:rPr>
        <w:t xml:space="preserve">zastoupená Mgr. Martinem Ščamborou, vedoucím </w:t>
      </w:r>
      <w:r w:rsidR="00B400D5">
        <w:rPr>
          <w:rFonts w:ascii="Arial" w:hAnsi="Arial" w:cs="Arial"/>
          <w:sz w:val="22"/>
          <w:szCs w:val="22"/>
        </w:rPr>
        <w:t>týmu pro podpůrné služby a Ing. </w:t>
      </w:r>
      <w:bookmarkStart w:id="0" w:name="_GoBack"/>
      <w:bookmarkEnd w:id="0"/>
      <w:r w:rsidR="009C0792" w:rsidRPr="007B0292">
        <w:rPr>
          <w:rFonts w:ascii="Arial" w:hAnsi="Arial" w:cs="Arial"/>
          <w:sz w:val="22"/>
          <w:szCs w:val="22"/>
        </w:rPr>
        <w:t>Janem Strakou, koordinátorem pro podpůrné služby</w:t>
      </w:r>
    </w:p>
    <w:p w:rsidR="00B15AB3" w:rsidRPr="007B0292" w:rsidRDefault="00B15AB3" w:rsidP="007B0292">
      <w:pPr>
        <w:spacing w:after="120"/>
        <w:ind w:left="426" w:hanging="426"/>
        <w:jc w:val="both"/>
        <w:rPr>
          <w:rFonts w:ascii="Arial" w:hAnsi="Arial" w:cs="Arial"/>
          <w:sz w:val="22"/>
          <w:szCs w:val="22"/>
        </w:rPr>
      </w:pPr>
      <w:r w:rsidRPr="007B0292">
        <w:rPr>
          <w:rFonts w:ascii="Arial" w:hAnsi="Arial" w:cs="Arial"/>
          <w:sz w:val="22"/>
          <w:szCs w:val="22"/>
        </w:rPr>
        <w:t>(dále jen „</w:t>
      </w:r>
      <w:r w:rsidRPr="007B0292">
        <w:rPr>
          <w:rFonts w:ascii="Arial" w:hAnsi="Arial" w:cs="Arial"/>
          <w:b/>
          <w:bCs/>
          <w:sz w:val="22"/>
          <w:szCs w:val="22"/>
        </w:rPr>
        <w:t>Banka</w:t>
      </w:r>
      <w:r w:rsidRPr="007B0292">
        <w:rPr>
          <w:rFonts w:ascii="Arial" w:hAnsi="Arial" w:cs="Arial"/>
          <w:sz w:val="22"/>
          <w:szCs w:val="22"/>
        </w:rPr>
        <w:t>“)</w:t>
      </w:r>
    </w:p>
    <w:p w:rsidR="00B15AB3" w:rsidRPr="007B0292" w:rsidRDefault="00B15AB3" w:rsidP="007B0292">
      <w:pPr>
        <w:spacing w:after="120"/>
        <w:ind w:left="426" w:hanging="426"/>
        <w:jc w:val="both"/>
        <w:rPr>
          <w:rFonts w:ascii="Arial" w:hAnsi="Arial" w:cs="Arial"/>
          <w:sz w:val="22"/>
          <w:szCs w:val="22"/>
        </w:rPr>
      </w:pPr>
      <w:r w:rsidRPr="007B0292">
        <w:rPr>
          <w:rFonts w:ascii="Arial" w:hAnsi="Arial" w:cs="Arial"/>
          <w:sz w:val="22"/>
          <w:szCs w:val="22"/>
        </w:rPr>
        <w:t>a</w:t>
      </w:r>
    </w:p>
    <w:p w:rsidR="007B0292" w:rsidRDefault="00B15AB3" w:rsidP="00673D5E">
      <w:pPr>
        <w:spacing w:before="120"/>
        <w:jc w:val="both"/>
        <w:rPr>
          <w:rFonts w:ascii="Arial" w:hAnsi="Arial" w:cs="Arial"/>
          <w:sz w:val="22"/>
          <w:szCs w:val="22"/>
        </w:rPr>
      </w:pPr>
      <w:r w:rsidRPr="007B0292">
        <w:rPr>
          <w:rFonts w:ascii="Arial" w:hAnsi="Arial" w:cs="Arial"/>
          <w:b/>
          <w:bCs/>
          <w:sz w:val="22"/>
          <w:szCs w:val="22"/>
        </w:rPr>
        <w:t>Město Kopřivnice</w:t>
      </w:r>
      <w:r w:rsidRPr="007B0292">
        <w:rPr>
          <w:rFonts w:ascii="Arial" w:hAnsi="Arial" w:cs="Arial"/>
          <w:sz w:val="22"/>
          <w:szCs w:val="22"/>
        </w:rPr>
        <w:t xml:space="preserve">, se sídlem Kopřivnice, Štefánikova 1163/12, PSČ 742 21, IČO: 00298077, zastoupené Ing. Miroslavem Kopečným, starostou města </w:t>
      </w:r>
    </w:p>
    <w:p w:rsidR="00B15AB3" w:rsidRPr="007B0292" w:rsidRDefault="00B15AB3" w:rsidP="007B0292">
      <w:pPr>
        <w:jc w:val="both"/>
        <w:rPr>
          <w:rFonts w:ascii="Arial" w:hAnsi="Arial" w:cs="Arial"/>
          <w:sz w:val="22"/>
          <w:szCs w:val="22"/>
        </w:rPr>
      </w:pPr>
      <w:r w:rsidRPr="007B0292">
        <w:rPr>
          <w:rFonts w:ascii="Arial" w:hAnsi="Arial" w:cs="Arial"/>
          <w:sz w:val="22"/>
          <w:szCs w:val="22"/>
        </w:rPr>
        <w:t>(dále jen „</w:t>
      </w:r>
      <w:r w:rsidRPr="007B0292">
        <w:rPr>
          <w:rFonts w:ascii="Arial" w:hAnsi="Arial" w:cs="Arial"/>
          <w:b/>
          <w:bCs/>
          <w:sz w:val="22"/>
          <w:szCs w:val="22"/>
        </w:rPr>
        <w:t>Město Kopřivnice</w:t>
      </w:r>
      <w:r w:rsidRPr="007B0292">
        <w:rPr>
          <w:rFonts w:ascii="Arial" w:hAnsi="Arial" w:cs="Arial"/>
          <w:sz w:val="22"/>
          <w:szCs w:val="22"/>
        </w:rPr>
        <w:t>“)</w:t>
      </w:r>
    </w:p>
    <w:p w:rsidR="00B15AB3" w:rsidRPr="007B0292" w:rsidRDefault="00B15AB3" w:rsidP="00950E5B">
      <w:pPr>
        <w:ind w:left="426" w:hanging="426"/>
        <w:jc w:val="both"/>
        <w:rPr>
          <w:rFonts w:ascii="Arial" w:hAnsi="Arial" w:cs="Arial"/>
          <w:sz w:val="22"/>
          <w:szCs w:val="22"/>
        </w:rPr>
      </w:pPr>
    </w:p>
    <w:p w:rsidR="00B15AB3" w:rsidRPr="007B0292" w:rsidRDefault="00B15AB3" w:rsidP="00950E5B">
      <w:pPr>
        <w:ind w:left="426" w:hanging="426"/>
        <w:jc w:val="both"/>
        <w:rPr>
          <w:rFonts w:ascii="Arial" w:hAnsi="Arial" w:cs="Arial"/>
          <w:sz w:val="22"/>
          <w:szCs w:val="22"/>
        </w:rPr>
      </w:pPr>
      <w:r w:rsidRPr="007B0292">
        <w:rPr>
          <w:rFonts w:ascii="Arial" w:hAnsi="Arial" w:cs="Arial"/>
          <w:sz w:val="22"/>
          <w:szCs w:val="22"/>
        </w:rPr>
        <w:t>(shora uvedené smluvní strany jsou dále označovány též jako „</w:t>
      </w:r>
      <w:r w:rsidRPr="007B0292">
        <w:rPr>
          <w:rFonts w:ascii="Arial" w:hAnsi="Arial" w:cs="Arial"/>
          <w:b/>
          <w:bCs/>
          <w:sz w:val="22"/>
          <w:szCs w:val="22"/>
        </w:rPr>
        <w:t>Strany</w:t>
      </w:r>
      <w:r w:rsidRPr="007B0292">
        <w:rPr>
          <w:rFonts w:ascii="Arial" w:hAnsi="Arial" w:cs="Arial"/>
          <w:sz w:val="22"/>
          <w:szCs w:val="22"/>
        </w:rPr>
        <w:t>“)</w:t>
      </w:r>
    </w:p>
    <w:p w:rsidR="00B15AB3" w:rsidRPr="007B0292" w:rsidRDefault="00B15AB3" w:rsidP="00950E5B">
      <w:pPr>
        <w:ind w:left="426" w:hanging="426"/>
        <w:jc w:val="both"/>
        <w:rPr>
          <w:rFonts w:ascii="Arial" w:hAnsi="Arial" w:cs="Arial"/>
          <w:sz w:val="22"/>
          <w:szCs w:val="22"/>
        </w:rPr>
      </w:pPr>
    </w:p>
    <w:p w:rsidR="00B15AB3" w:rsidRPr="007B0292" w:rsidRDefault="00B15AB3" w:rsidP="00463A2E">
      <w:pPr>
        <w:ind w:left="426" w:hanging="426"/>
        <w:rPr>
          <w:rFonts w:ascii="Arial" w:hAnsi="Arial" w:cs="Arial"/>
          <w:sz w:val="22"/>
          <w:szCs w:val="22"/>
        </w:rPr>
      </w:pPr>
      <w:r w:rsidRPr="007B0292">
        <w:rPr>
          <w:rFonts w:ascii="Arial" w:hAnsi="Arial" w:cs="Arial"/>
          <w:sz w:val="22"/>
          <w:szCs w:val="22"/>
        </w:rPr>
        <w:t>se dohodly na uzavření této:</w:t>
      </w:r>
    </w:p>
    <w:p w:rsidR="00B15AB3" w:rsidRPr="007B0292" w:rsidRDefault="00B15AB3" w:rsidP="00950E5B">
      <w:pPr>
        <w:ind w:left="426" w:hanging="426"/>
        <w:jc w:val="center"/>
        <w:rPr>
          <w:rFonts w:ascii="Arial" w:hAnsi="Arial" w:cs="Arial"/>
          <w:sz w:val="22"/>
          <w:szCs w:val="22"/>
        </w:rPr>
      </w:pPr>
    </w:p>
    <w:p w:rsidR="00B15AB3" w:rsidRPr="007B0292" w:rsidRDefault="00B15AB3" w:rsidP="00950E5B">
      <w:pPr>
        <w:ind w:left="426" w:hanging="426"/>
        <w:jc w:val="both"/>
        <w:rPr>
          <w:rFonts w:ascii="Arial" w:hAnsi="Arial" w:cs="Arial"/>
          <w:sz w:val="22"/>
          <w:szCs w:val="22"/>
        </w:rPr>
      </w:pPr>
    </w:p>
    <w:p w:rsidR="00B15AB3" w:rsidRPr="007B0292" w:rsidRDefault="00B15AB3" w:rsidP="00950E5B">
      <w:pPr>
        <w:ind w:left="426" w:hanging="426"/>
        <w:jc w:val="center"/>
        <w:rPr>
          <w:rFonts w:ascii="Arial" w:hAnsi="Arial" w:cs="Arial"/>
          <w:b/>
          <w:bCs/>
          <w:sz w:val="22"/>
          <w:szCs w:val="22"/>
        </w:rPr>
      </w:pPr>
      <w:r w:rsidRPr="007B0292">
        <w:rPr>
          <w:rFonts w:ascii="Arial" w:hAnsi="Arial" w:cs="Arial"/>
          <w:b/>
          <w:bCs/>
          <w:sz w:val="22"/>
          <w:szCs w:val="22"/>
        </w:rPr>
        <w:t>Smlouvy o bezúplatném převodu stavebního objektu 008 - komunikace a parkoviště a dalších ploch</w:t>
      </w:r>
    </w:p>
    <w:p w:rsidR="00B15AB3" w:rsidRPr="007B0292" w:rsidRDefault="00B15AB3" w:rsidP="00950E5B">
      <w:pPr>
        <w:ind w:left="426" w:hanging="426"/>
        <w:jc w:val="center"/>
        <w:rPr>
          <w:rFonts w:ascii="Arial" w:hAnsi="Arial" w:cs="Arial"/>
          <w:b/>
          <w:bCs/>
          <w:sz w:val="22"/>
          <w:szCs w:val="22"/>
        </w:rPr>
      </w:pPr>
      <w:r w:rsidRPr="007B0292">
        <w:rPr>
          <w:rFonts w:ascii="Arial" w:hAnsi="Arial" w:cs="Arial"/>
          <w:sz w:val="22"/>
          <w:szCs w:val="22"/>
        </w:rPr>
        <w:t>(dále jen „</w:t>
      </w:r>
      <w:r w:rsidRPr="007B0292">
        <w:rPr>
          <w:rFonts w:ascii="Arial" w:hAnsi="Arial" w:cs="Arial"/>
          <w:b/>
          <w:bCs/>
          <w:sz w:val="22"/>
          <w:szCs w:val="22"/>
        </w:rPr>
        <w:t>Smlouva</w:t>
      </w:r>
      <w:r w:rsidRPr="007B0292">
        <w:rPr>
          <w:rFonts w:ascii="Arial" w:hAnsi="Arial" w:cs="Arial"/>
          <w:sz w:val="22"/>
          <w:szCs w:val="22"/>
        </w:rPr>
        <w:t>“)</w:t>
      </w:r>
    </w:p>
    <w:p w:rsidR="00B15AB3" w:rsidRPr="007B0292" w:rsidRDefault="00B15AB3" w:rsidP="00950E5B">
      <w:pPr>
        <w:ind w:left="426" w:hanging="426"/>
        <w:jc w:val="both"/>
        <w:rPr>
          <w:rFonts w:ascii="Arial" w:hAnsi="Arial" w:cs="Arial"/>
          <w:b/>
          <w:bCs/>
          <w:sz w:val="22"/>
          <w:szCs w:val="22"/>
        </w:rPr>
      </w:pPr>
    </w:p>
    <w:p w:rsidR="00B15AB3" w:rsidRPr="007B0292" w:rsidRDefault="00B15AB3" w:rsidP="00950E5B">
      <w:pPr>
        <w:ind w:left="426" w:hanging="426"/>
        <w:jc w:val="both"/>
        <w:rPr>
          <w:rFonts w:ascii="Arial" w:hAnsi="Arial" w:cs="Arial"/>
          <w:b/>
          <w:bCs/>
          <w:sz w:val="22"/>
          <w:szCs w:val="22"/>
        </w:rPr>
      </w:pPr>
    </w:p>
    <w:p w:rsidR="00B15AB3" w:rsidRPr="007B0292" w:rsidRDefault="00B15AB3" w:rsidP="007B0292">
      <w:pPr>
        <w:spacing w:after="120"/>
        <w:ind w:left="426" w:right="-1" w:hanging="426"/>
        <w:jc w:val="both"/>
        <w:rPr>
          <w:rFonts w:ascii="Arial" w:hAnsi="Arial" w:cs="Arial"/>
          <w:b/>
          <w:bCs/>
          <w:sz w:val="22"/>
          <w:szCs w:val="22"/>
        </w:rPr>
      </w:pPr>
      <w:r w:rsidRPr="007B0292">
        <w:rPr>
          <w:rFonts w:ascii="Arial" w:hAnsi="Arial" w:cs="Arial"/>
          <w:b/>
          <w:bCs/>
          <w:sz w:val="22"/>
          <w:szCs w:val="22"/>
        </w:rPr>
        <w:t xml:space="preserve">1. </w:t>
      </w:r>
      <w:r w:rsidRPr="007B0292">
        <w:rPr>
          <w:rFonts w:ascii="Arial" w:hAnsi="Arial" w:cs="Arial"/>
          <w:b/>
          <w:bCs/>
          <w:sz w:val="22"/>
          <w:szCs w:val="22"/>
        </w:rPr>
        <w:tab/>
        <w:t>Úvodní ustanovení</w:t>
      </w: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 xml:space="preserve">1.1 </w:t>
      </w:r>
      <w:r w:rsidRPr="007B0292">
        <w:rPr>
          <w:rFonts w:ascii="Arial" w:hAnsi="Arial" w:cs="Arial"/>
          <w:sz w:val="22"/>
          <w:szCs w:val="22"/>
        </w:rPr>
        <w:tab/>
        <w:t>Město Kopřivnice je vlastníkem pozemků parc. č. 743, 744/1, 741 a 746, k.ú. Kopřivnice, zapsaných na LV č. 10001 v katastru nemovitostí vedeném Katastrálním úřadem pro Moravskoslezský kraj, katastrální pracoviště Nový Jičín, pro obec a k.ú. Kopřivnice (dále jen „</w:t>
      </w:r>
      <w:r w:rsidRPr="007B0292">
        <w:rPr>
          <w:rFonts w:ascii="Arial" w:hAnsi="Arial" w:cs="Arial"/>
          <w:b/>
          <w:bCs/>
          <w:sz w:val="22"/>
          <w:szCs w:val="22"/>
        </w:rPr>
        <w:t>Pozemky</w:t>
      </w:r>
      <w:r w:rsidRPr="007B0292">
        <w:rPr>
          <w:rFonts w:ascii="Arial" w:hAnsi="Arial" w:cs="Arial"/>
          <w:sz w:val="22"/>
          <w:szCs w:val="22"/>
        </w:rPr>
        <w:t>“).</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1.2</w:t>
      </w:r>
      <w:r w:rsidRPr="007B0292">
        <w:rPr>
          <w:rFonts w:ascii="Arial" w:hAnsi="Arial" w:cs="Arial"/>
          <w:sz w:val="22"/>
          <w:szCs w:val="22"/>
        </w:rPr>
        <w:tab/>
        <w:t>Banka vybudovala na části Pozemků stavební objekt 008 – komunikace a parkoviště, jak uvádí kolaudační rozhodnutí ze dne 8.7.1992, č.j. Výst.981/92/Fa (dále jen „</w:t>
      </w:r>
      <w:r w:rsidRPr="007B0292">
        <w:rPr>
          <w:rFonts w:ascii="Arial" w:hAnsi="Arial" w:cs="Arial"/>
          <w:b/>
          <w:bCs/>
          <w:sz w:val="22"/>
          <w:szCs w:val="22"/>
        </w:rPr>
        <w:t>Stavební objekt 008</w:t>
      </w:r>
      <w:r w:rsidRPr="007B0292">
        <w:rPr>
          <w:rFonts w:ascii="Arial" w:hAnsi="Arial" w:cs="Arial"/>
          <w:sz w:val="22"/>
          <w:szCs w:val="22"/>
        </w:rPr>
        <w:t xml:space="preserve">“), který  je v jejím majetku. Fotonáhled a zákres Stavebního objektu 008 je nedílnou součástí této Smlouvy jako Příloha č. 1. </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1.3</w:t>
      </w:r>
      <w:r w:rsidRPr="007B0292">
        <w:rPr>
          <w:rFonts w:ascii="Arial" w:hAnsi="Arial" w:cs="Arial"/>
          <w:sz w:val="22"/>
          <w:szCs w:val="22"/>
        </w:rPr>
        <w:tab/>
        <w:t>Banka má dále ve svém majetku a spravuje komunikaci pro pěší (chodník) na části pozemku parc. č. 744/1 a pozemku parc.č. 741 v k.ú. Kopřivnice a zpevněnou plochu z dlažby na pozemku parc. č. 744/1 a 746 v k.ú. Kopřivnice (dále jen „</w:t>
      </w:r>
      <w:r w:rsidRPr="007B0292">
        <w:rPr>
          <w:rFonts w:ascii="Arial" w:hAnsi="Arial" w:cs="Arial"/>
          <w:b/>
          <w:bCs/>
          <w:sz w:val="22"/>
          <w:szCs w:val="22"/>
        </w:rPr>
        <w:t>Plochy</w:t>
      </w:r>
      <w:r w:rsidRPr="007B0292">
        <w:rPr>
          <w:rFonts w:ascii="Arial" w:hAnsi="Arial" w:cs="Arial"/>
          <w:sz w:val="22"/>
          <w:szCs w:val="22"/>
        </w:rPr>
        <w:t>“). Fotonáhled a zákres Ploch je nedílnou součástí této Smlouvy jako Příloha č. 2.</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7B0292">
      <w:pPr>
        <w:ind w:left="426" w:right="-1" w:hanging="426"/>
        <w:jc w:val="both"/>
        <w:rPr>
          <w:rFonts w:ascii="Arial" w:hAnsi="Arial" w:cs="Arial"/>
          <w:sz w:val="22"/>
          <w:szCs w:val="22"/>
        </w:rPr>
      </w:pPr>
      <w:r w:rsidRPr="007B0292">
        <w:rPr>
          <w:rFonts w:ascii="Arial" w:hAnsi="Arial" w:cs="Arial"/>
          <w:sz w:val="22"/>
          <w:szCs w:val="22"/>
        </w:rPr>
        <w:t>1.4</w:t>
      </w:r>
      <w:r w:rsidRPr="007B0292">
        <w:rPr>
          <w:rFonts w:ascii="Arial" w:hAnsi="Arial" w:cs="Arial"/>
          <w:sz w:val="22"/>
          <w:szCs w:val="22"/>
        </w:rPr>
        <w:tab/>
        <w:t>Smluvní strany uzavřely dne 19. 3. 2008 Smlouvu o nájmu pozemků, ve znění dodatku č. 1 ze dne 20. 2. 2012, jejímž předmětem je část Pozemků, a to za účelem užívání části Pozemků Bankou jako parkoviště a komunikace (dále jen „</w:t>
      </w:r>
      <w:r w:rsidRPr="007B0292">
        <w:rPr>
          <w:rFonts w:ascii="Arial" w:hAnsi="Arial" w:cs="Arial"/>
          <w:b/>
          <w:bCs/>
          <w:sz w:val="22"/>
          <w:szCs w:val="22"/>
        </w:rPr>
        <w:t>Nájemní smlouva</w:t>
      </w:r>
      <w:r w:rsidRPr="007B0292">
        <w:rPr>
          <w:rFonts w:ascii="Arial" w:hAnsi="Arial" w:cs="Arial"/>
          <w:sz w:val="22"/>
          <w:szCs w:val="22"/>
        </w:rPr>
        <w:t>“). Strany se dohodly, že uzavřou novou nájemní smlouvu o nájmu části Pozemků za účelem užívání na části Pozemků umístěných parkovacích míst.</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7B0292">
      <w:pPr>
        <w:spacing w:after="120"/>
        <w:ind w:left="426" w:right="-1" w:hanging="426"/>
        <w:jc w:val="both"/>
        <w:rPr>
          <w:rFonts w:ascii="Arial" w:hAnsi="Arial" w:cs="Arial"/>
          <w:b/>
          <w:bCs/>
          <w:sz w:val="22"/>
          <w:szCs w:val="22"/>
        </w:rPr>
      </w:pPr>
      <w:r w:rsidRPr="007B0292">
        <w:rPr>
          <w:rFonts w:ascii="Arial" w:hAnsi="Arial" w:cs="Arial"/>
          <w:b/>
          <w:bCs/>
          <w:sz w:val="22"/>
          <w:szCs w:val="22"/>
        </w:rPr>
        <w:t xml:space="preserve">2. </w:t>
      </w:r>
      <w:r w:rsidRPr="007B0292">
        <w:rPr>
          <w:rFonts w:ascii="Arial" w:hAnsi="Arial" w:cs="Arial"/>
          <w:b/>
          <w:bCs/>
          <w:sz w:val="22"/>
          <w:szCs w:val="22"/>
        </w:rPr>
        <w:tab/>
        <w:t>Převod Stavebního objektu 008 a Ploch</w:t>
      </w:r>
    </w:p>
    <w:p w:rsidR="00B15AB3" w:rsidRPr="007B0292" w:rsidRDefault="00B15AB3" w:rsidP="00EC0ABD">
      <w:pPr>
        <w:ind w:left="426" w:right="-1" w:hanging="426"/>
        <w:jc w:val="both"/>
        <w:rPr>
          <w:rFonts w:ascii="Arial" w:hAnsi="Arial" w:cs="Arial"/>
          <w:sz w:val="22"/>
          <w:szCs w:val="22"/>
        </w:rPr>
      </w:pPr>
      <w:r w:rsidRPr="007B0292">
        <w:rPr>
          <w:rFonts w:ascii="Arial" w:hAnsi="Arial" w:cs="Arial"/>
          <w:sz w:val="22"/>
          <w:szCs w:val="22"/>
        </w:rPr>
        <w:t>2.1</w:t>
      </w:r>
      <w:r w:rsidRPr="007B0292">
        <w:rPr>
          <w:rFonts w:ascii="Arial" w:hAnsi="Arial" w:cs="Arial"/>
          <w:sz w:val="22"/>
          <w:szCs w:val="22"/>
        </w:rPr>
        <w:tab/>
        <w:t xml:space="preserve">Banka konstatuje, že účetní hodnota Stavebního objektu 008 převáděného touto Smlouvou činí 5.000 Kč včetně DPH. Banka konstatuje, že hodnota Ploch převáděných účetně touto Smlouvou činí 5.000 Kč včetně DPH. </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872424">
      <w:pPr>
        <w:ind w:left="426" w:right="-1" w:hanging="426"/>
        <w:jc w:val="both"/>
        <w:rPr>
          <w:rFonts w:ascii="Arial" w:hAnsi="Arial" w:cs="Arial"/>
          <w:sz w:val="22"/>
          <w:szCs w:val="22"/>
        </w:rPr>
      </w:pPr>
      <w:r w:rsidRPr="007B0292">
        <w:rPr>
          <w:rFonts w:ascii="Arial" w:hAnsi="Arial" w:cs="Arial"/>
          <w:sz w:val="22"/>
          <w:szCs w:val="22"/>
        </w:rPr>
        <w:t xml:space="preserve">2.2 </w:t>
      </w:r>
      <w:r w:rsidRPr="007B0292">
        <w:rPr>
          <w:rFonts w:ascii="Arial" w:hAnsi="Arial" w:cs="Arial"/>
          <w:sz w:val="22"/>
          <w:szCs w:val="22"/>
        </w:rPr>
        <w:tab/>
        <w:t>Banka touto Smlouvou převádí do vlastnictví Města Kopřivnice Stavební objekt 008 a Plochy a Město Kopřivnice Stavební objekt 008 a Plochy do svého vlastnictví přijímá a převezme je jak fakticky, tak účetně do svého majetku, a to bezúplatně.</w:t>
      </w:r>
      <w:r w:rsidRPr="007B0292">
        <w:rPr>
          <w:rFonts w:ascii="Arial" w:hAnsi="Arial" w:cs="Arial"/>
          <w:sz w:val="22"/>
          <w:szCs w:val="22"/>
          <w:highlight w:val="yellow"/>
        </w:rPr>
        <w:t xml:space="preserve"> </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5B60D7">
      <w:pPr>
        <w:ind w:left="426" w:hanging="426"/>
        <w:jc w:val="both"/>
        <w:rPr>
          <w:rFonts w:ascii="Arial" w:hAnsi="Arial" w:cs="Arial"/>
          <w:sz w:val="22"/>
          <w:szCs w:val="22"/>
        </w:rPr>
      </w:pPr>
      <w:r w:rsidRPr="007B0292">
        <w:rPr>
          <w:rFonts w:ascii="Arial" w:hAnsi="Arial" w:cs="Arial"/>
          <w:sz w:val="22"/>
          <w:szCs w:val="22"/>
        </w:rPr>
        <w:t>2.3</w:t>
      </w:r>
      <w:r w:rsidRPr="007B0292">
        <w:rPr>
          <w:rFonts w:ascii="Arial" w:hAnsi="Arial" w:cs="Arial"/>
          <w:sz w:val="22"/>
          <w:szCs w:val="22"/>
        </w:rPr>
        <w:tab/>
        <w:t>Strany shodně prohlašují, že si nejsou v souvislosti s převodem Stavebního objektu 008 a Ploch a jejich případnými úpravami provedenými Bankou nadále nic dlužny a jsou z tohoto pohledu zcela vyrovnány.</w:t>
      </w:r>
    </w:p>
    <w:p w:rsidR="00B15AB3" w:rsidRPr="007B0292" w:rsidRDefault="00B15AB3" w:rsidP="005B60D7">
      <w:pPr>
        <w:ind w:left="426" w:hanging="426"/>
        <w:jc w:val="both"/>
        <w:rPr>
          <w:rFonts w:ascii="Arial" w:hAnsi="Arial" w:cs="Arial"/>
          <w:sz w:val="22"/>
          <w:szCs w:val="22"/>
        </w:rPr>
      </w:pPr>
    </w:p>
    <w:p w:rsidR="00B15AB3" w:rsidRPr="007B0292" w:rsidRDefault="00B15AB3" w:rsidP="005B60D7">
      <w:pPr>
        <w:ind w:left="426" w:hanging="426"/>
        <w:jc w:val="both"/>
        <w:rPr>
          <w:rFonts w:ascii="Arial" w:hAnsi="Arial" w:cs="Arial"/>
          <w:sz w:val="22"/>
          <w:szCs w:val="22"/>
        </w:rPr>
      </w:pPr>
      <w:r w:rsidRPr="007B0292">
        <w:rPr>
          <w:rFonts w:ascii="Arial" w:hAnsi="Arial" w:cs="Arial"/>
          <w:sz w:val="22"/>
          <w:szCs w:val="22"/>
        </w:rPr>
        <w:t>2.4</w:t>
      </w:r>
      <w:r w:rsidRPr="007B0292">
        <w:rPr>
          <w:rFonts w:ascii="Arial" w:hAnsi="Arial" w:cs="Arial"/>
          <w:sz w:val="22"/>
          <w:szCs w:val="22"/>
        </w:rPr>
        <w:tab/>
        <w:t>Banka dále prohlašuje, že vyjma Stavebního objektu 008 a Ploch neeviduje ve svém majetku žádné další zpevněné plochy (chodníky, komunikace) na Pozemcích a na dalších pozemcích sousedících s Pozemky, vyjma zpevněné plochy na pozemku parc. č. 744/3, k.ú. Kopřivnice, který je ve vlastnictví Banky.</w:t>
      </w:r>
    </w:p>
    <w:p w:rsidR="00B15AB3" w:rsidRPr="007B0292" w:rsidRDefault="00B15AB3" w:rsidP="005B60D7">
      <w:pPr>
        <w:ind w:left="426" w:hanging="426"/>
        <w:jc w:val="both"/>
        <w:rPr>
          <w:rFonts w:ascii="Arial" w:hAnsi="Arial" w:cs="Arial"/>
          <w:sz w:val="22"/>
          <w:szCs w:val="22"/>
        </w:rPr>
      </w:pPr>
    </w:p>
    <w:p w:rsidR="00B15AB3" w:rsidRPr="007B0292" w:rsidRDefault="00B15AB3" w:rsidP="007B0292">
      <w:pPr>
        <w:spacing w:after="120"/>
        <w:ind w:left="426" w:right="-1" w:hanging="426"/>
        <w:jc w:val="both"/>
        <w:rPr>
          <w:rFonts w:ascii="Arial" w:hAnsi="Arial" w:cs="Arial"/>
          <w:b/>
          <w:bCs/>
          <w:sz w:val="22"/>
          <w:szCs w:val="22"/>
        </w:rPr>
      </w:pPr>
      <w:r w:rsidRPr="007B0292">
        <w:rPr>
          <w:rFonts w:ascii="Arial" w:hAnsi="Arial" w:cs="Arial"/>
          <w:b/>
          <w:bCs/>
          <w:sz w:val="22"/>
          <w:szCs w:val="22"/>
        </w:rPr>
        <w:t>3. Závěrečná ustanovení</w:t>
      </w: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3.1</w:t>
      </w:r>
      <w:r w:rsidRPr="007B0292">
        <w:rPr>
          <w:rFonts w:ascii="Arial" w:hAnsi="Arial" w:cs="Arial"/>
          <w:sz w:val="22"/>
          <w:szCs w:val="22"/>
        </w:rPr>
        <w:tab/>
        <w:t>Smluvní strany se dohodly, že touto smlouvou se ruší Nájemní smlouva. Vzhledem k tomu, že nájemce uhradil roční nájemné před účinností této Smlouvy, zavazuje se Město Kopřivnice jako pronajímatel vrátit Bance jako nájemci část nájemného ve výši odpovídající poměrné části za dobu od účinnosti Smlouvy do 31. 12. 2016 převodem na účet č.</w:t>
      </w:r>
      <w:r w:rsidR="00056B05" w:rsidRPr="007B0292">
        <w:rPr>
          <w:rFonts w:ascii="Arial" w:hAnsi="Arial" w:cs="Arial"/>
          <w:sz w:val="22"/>
          <w:szCs w:val="22"/>
        </w:rPr>
        <w:t>12020287/0100.</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 xml:space="preserve">3.2 </w:t>
      </w:r>
      <w:r w:rsidRPr="007B0292">
        <w:rPr>
          <w:rFonts w:ascii="Arial" w:hAnsi="Arial" w:cs="Arial"/>
          <w:sz w:val="22"/>
          <w:szCs w:val="22"/>
        </w:rPr>
        <w:tab/>
        <w:t>Veškeré změny a dodatky této Smlouvy lze činit jen vzájemnou písemnou dohodou Stran.</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 xml:space="preserve">3.3 </w:t>
      </w:r>
      <w:r w:rsidRPr="007B0292">
        <w:rPr>
          <w:rFonts w:ascii="Arial" w:hAnsi="Arial" w:cs="Arial"/>
          <w:sz w:val="22"/>
          <w:szCs w:val="22"/>
        </w:rPr>
        <w:tab/>
        <w:t xml:space="preserve">Strany prohlašují, že tato Smlouva v plném rozsahu odpovídá jejich svobodné vůli, že si její text v celém rozsahu přečetly a že s veškerými jejími ustanoveními souhlasí. </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 xml:space="preserve">3.4 </w:t>
      </w:r>
      <w:r w:rsidRPr="007B0292">
        <w:rPr>
          <w:rFonts w:ascii="Arial" w:hAnsi="Arial" w:cs="Arial"/>
          <w:sz w:val="22"/>
          <w:szCs w:val="22"/>
        </w:rPr>
        <w:tab/>
        <w:t>Tato Smlouva je sepsána ve dvou stejnopisech s platností originálu, přičemž každá Strana obdrží po jednom stejnopise.</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7078DC">
      <w:pPr>
        <w:ind w:left="426" w:right="-1" w:hanging="426"/>
        <w:jc w:val="both"/>
        <w:rPr>
          <w:rFonts w:ascii="Arial" w:hAnsi="Arial" w:cs="Arial"/>
          <w:sz w:val="22"/>
          <w:szCs w:val="22"/>
        </w:rPr>
      </w:pPr>
      <w:r w:rsidRPr="007B0292">
        <w:rPr>
          <w:rFonts w:ascii="Arial" w:hAnsi="Arial" w:cs="Arial"/>
          <w:sz w:val="22"/>
          <w:szCs w:val="22"/>
        </w:rPr>
        <w:t>3.5</w:t>
      </w:r>
      <w:r w:rsidRPr="007B0292">
        <w:rPr>
          <w:rFonts w:ascii="Arial" w:hAnsi="Arial" w:cs="Arial"/>
          <w:sz w:val="22"/>
          <w:szCs w:val="22"/>
        </w:rPr>
        <w:tab/>
        <w:t>Tato smlouva nabývá platnosti dnem jejího podpisu všemi smluvními stranami. Veškeré dodatky či změny této smlouvy je třeba činit výhradně písemně.</w:t>
      </w:r>
    </w:p>
    <w:p w:rsidR="00B15AB3" w:rsidRPr="007B0292" w:rsidRDefault="00B15AB3" w:rsidP="007078DC">
      <w:pPr>
        <w:ind w:left="426" w:right="-1" w:hanging="426"/>
        <w:jc w:val="both"/>
        <w:rPr>
          <w:rFonts w:ascii="Arial" w:hAnsi="Arial" w:cs="Arial"/>
          <w:sz w:val="22"/>
          <w:szCs w:val="22"/>
          <w:highlight w:val="yellow"/>
        </w:rPr>
      </w:pPr>
    </w:p>
    <w:p w:rsidR="00B15AB3" w:rsidRPr="007B0292" w:rsidRDefault="00B15AB3" w:rsidP="007078DC">
      <w:pPr>
        <w:ind w:left="426" w:right="-1" w:hanging="426"/>
        <w:jc w:val="both"/>
        <w:rPr>
          <w:rFonts w:ascii="Arial" w:hAnsi="Arial" w:cs="Arial"/>
          <w:sz w:val="22"/>
          <w:szCs w:val="22"/>
        </w:rPr>
      </w:pPr>
      <w:r w:rsidRPr="007B0292">
        <w:rPr>
          <w:rFonts w:ascii="Arial" w:hAnsi="Arial" w:cs="Arial"/>
          <w:sz w:val="22"/>
          <w:szCs w:val="22"/>
        </w:rPr>
        <w:t>3.6</w:t>
      </w:r>
      <w:r w:rsidRPr="007B0292">
        <w:rPr>
          <w:rFonts w:ascii="Arial" w:hAnsi="Arial" w:cs="Arial"/>
          <w:sz w:val="22"/>
          <w:szCs w:val="22"/>
        </w:rPr>
        <w:tab/>
        <w:t>Tato smlouva nabývá účinnosti dnem jejího uveřejnění v registru smluv dle zákona č. 340/2015 Sb. Smlouvu správci registru smluv zašle k uveřejnění Město Kopřivnice.</w:t>
      </w:r>
    </w:p>
    <w:p w:rsidR="00B15AB3" w:rsidRPr="007B0292" w:rsidRDefault="00B15AB3" w:rsidP="00CF5053">
      <w:pPr>
        <w:ind w:left="426" w:right="-1" w:hanging="426"/>
        <w:jc w:val="both"/>
        <w:rPr>
          <w:rFonts w:ascii="Arial" w:hAnsi="Arial" w:cs="Arial"/>
          <w:sz w:val="22"/>
          <w:szCs w:val="22"/>
        </w:rPr>
      </w:pPr>
    </w:p>
    <w:p w:rsidR="00B15AB3" w:rsidRPr="007B0292" w:rsidRDefault="00B15AB3" w:rsidP="00CF5053">
      <w:pPr>
        <w:ind w:left="426" w:right="-1" w:hanging="426"/>
        <w:jc w:val="both"/>
        <w:rPr>
          <w:rFonts w:ascii="Arial" w:hAnsi="Arial" w:cs="Arial"/>
          <w:sz w:val="22"/>
          <w:szCs w:val="22"/>
        </w:rPr>
      </w:pPr>
      <w:r w:rsidRPr="007B0292">
        <w:rPr>
          <w:rFonts w:ascii="Arial" w:hAnsi="Arial" w:cs="Arial"/>
          <w:sz w:val="22"/>
          <w:szCs w:val="22"/>
        </w:rPr>
        <w:t>3.7</w:t>
      </w:r>
      <w:r w:rsidRPr="007B0292">
        <w:rPr>
          <w:rFonts w:ascii="Arial" w:hAnsi="Arial" w:cs="Arial"/>
          <w:sz w:val="22"/>
          <w:szCs w:val="22"/>
        </w:rPr>
        <w:tab/>
        <w:t xml:space="preserve">Uzavření této smlouvy schválilo Zastupitelstvo města Kopřivnice na svém </w:t>
      </w:r>
      <w:r w:rsidR="00650247">
        <w:rPr>
          <w:rFonts w:ascii="Arial" w:hAnsi="Arial" w:cs="Arial"/>
          <w:sz w:val="22"/>
          <w:szCs w:val="22"/>
        </w:rPr>
        <w:t>13.</w:t>
      </w:r>
      <w:r w:rsidRPr="007B0292">
        <w:rPr>
          <w:rFonts w:ascii="Arial" w:hAnsi="Arial" w:cs="Arial"/>
          <w:sz w:val="22"/>
          <w:szCs w:val="22"/>
        </w:rPr>
        <w:t xml:space="preserve"> zasedání dne </w:t>
      </w:r>
      <w:r w:rsidR="009719E5">
        <w:rPr>
          <w:rFonts w:ascii="Arial" w:hAnsi="Arial" w:cs="Arial"/>
          <w:sz w:val="22"/>
          <w:szCs w:val="22"/>
        </w:rPr>
        <w:t>22. </w:t>
      </w:r>
      <w:r w:rsidR="00650247">
        <w:rPr>
          <w:rFonts w:ascii="Arial" w:hAnsi="Arial" w:cs="Arial"/>
          <w:sz w:val="22"/>
          <w:szCs w:val="22"/>
        </w:rPr>
        <w:t>9. 2016 usnesením číslo 335.</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r w:rsidRPr="007B0292">
        <w:rPr>
          <w:rFonts w:ascii="Arial" w:hAnsi="Arial" w:cs="Arial"/>
          <w:sz w:val="22"/>
          <w:szCs w:val="22"/>
        </w:rPr>
        <w:t xml:space="preserve">3.8 </w:t>
      </w:r>
      <w:r w:rsidRPr="007B0292">
        <w:rPr>
          <w:rFonts w:ascii="Arial" w:hAnsi="Arial" w:cs="Arial"/>
          <w:sz w:val="22"/>
          <w:szCs w:val="22"/>
        </w:rPr>
        <w:tab/>
        <w:t>Nedílnou součástí této Smlouvy jsou:</w:t>
      </w:r>
    </w:p>
    <w:p w:rsidR="00B15AB3" w:rsidRPr="007B0292" w:rsidRDefault="00B15AB3" w:rsidP="00CF5053">
      <w:pPr>
        <w:ind w:left="426" w:right="-1"/>
        <w:jc w:val="both"/>
        <w:rPr>
          <w:rFonts w:ascii="Arial" w:hAnsi="Arial" w:cs="Arial"/>
          <w:sz w:val="22"/>
          <w:szCs w:val="22"/>
        </w:rPr>
      </w:pPr>
      <w:r w:rsidRPr="007B0292">
        <w:rPr>
          <w:rFonts w:ascii="Arial" w:hAnsi="Arial" w:cs="Arial"/>
          <w:sz w:val="22"/>
          <w:szCs w:val="22"/>
        </w:rPr>
        <w:t xml:space="preserve">- Příloha č. 1 - Fotonáhled a zákres Stavebního objektu 008 </w:t>
      </w:r>
    </w:p>
    <w:p w:rsidR="00B15AB3" w:rsidRPr="007B0292" w:rsidRDefault="00B15AB3" w:rsidP="00CF5053">
      <w:pPr>
        <w:ind w:left="426" w:right="-1"/>
        <w:jc w:val="both"/>
        <w:rPr>
          <w:rFonts w:ascii="Arial" w:hAnsi="Arial" w:cs="Arial"/>
          <w:sz w:val="22"/>
          <w:szCs w:val="22"/>
        </w:rPr>
      </w:pPr>
      <w:r w:rsidRPr="007B0292">
        <w:rPr>
          <w:rFonts w:ascii="Arial" w:hAnsi="Arial" w:cs="Arial"/>
          <w:sz w:val="22"/>
          <w:szCs w:val="22"/>
        </w:rPr>
        <w:t>- Příloha č. 2 - Fotonáhled a zákres Ploch</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p>
    <w:p w:rsidR="00B15AB3" w:rsidRPr="007B0292" w:rsidRDefault="00B15AB3" w:rsidP="00673D5E">
      <w:pPr>
        <w:ind w:right="-1"/>
        <w:jc w:val="both"/>
        <w:rPr>
          <w:rFonts w:ascii="Arial" w:hAnsi="Arial" w:cs="Arial"/>
          <w:sz w:val="22"/>
          <w:szCs w:val="22"/>
        </w:rPr>
      </w:pPr>
      <w:r w:rsidRPr="007B0292">
        <w:rPr>
          <w:rFonts w:ascii="Arial" w:hAnsi="Arial" w:cs="Arial"/>
          <w:sz w:val="22"/>
          <w:szCs w:val="22"/>
        </w:rPr>
        <w:t xml:space="preserve">V Praze dne </w:t>
      </w:r>
      <w:r w:rsidR="00650247">
        <w:rPr>
          <w:rFonts w:ascii="Arial" w:hAnsi="Arial" w:cs="Arial"/>
          <w:sz w:val="22"/>
          <w:szCs w:val="22"/>
        </w:rPr>
        <w:t xml:space="preserve">………………. </w:t>
      </w:r>
      <w:r w:rsidR="00650247">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t>V Kopřivnici dne ……</w:t>
      </w:r>
      <w:r w:rsidR="00650247">
        <w:rPr>
          <w:rFonts w:ascii="Arial" w:hAnsi="Arial" w:cs="Arial"/>
          <w:sz w:val="22"/>
          <w:szCs w:val="22"/>
        </w:rPr>
        <w:t>……………….</w:t>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p>
    <w:p w:rsidR="00B15AB3" w:rsidRPr="007B0292" w:rsidRDefault="00B15AB3" w:rsidP="00673D5E">
      <w:pPr>
        <w:ind w:right="-1"/>
        <w:jc w:val="both"/>
        <w:rPr>
          <w:rFonts w:ascii="Arial" w:hAnsi="Arial" w:cs="Arial"/>
          <w:b/>
          <w:bCs/>
          <w:sz w:val="22"/>
          <w:szCs w:val="22"/>
        </w:rPr>
      </w:pPr>
      <w:r w:rsidRPr="007B0292">
        <w:rPr>
          <w:rFonts w:ascii="Arial" w:hAnsi="Arial" w:cs="Arial"/>
          <w:b/>
          <w:bCs/>
          <w:sz w:val="22"/>
          <w:szCs w:val="22"/>
        </w:rPr>
        <w:t>Komerční banka, a.s.</w:t>
      </w:r>
      <w:r w:rsidRPr="007B0292">
        <w:rPr>
          <w:rFonts w:ascii="Arial" w:hAnsi="Arial" w:cs="Arial"/>
          <w:b/>
          <w:bCs/>
          <w:sz w:val="22"/>
          <w:szCs w:val="22"/>
        </w:rPr>
        <w:tab/>
      </w:r>
      <w:r w:rsidRPr="007B0292">
        <w:rPr>
          <w:rFonts w:ascii="Arial" w:hAnsi="Arial" w:cs="Arial"/>
          <w:b/>
          <w:bCs/>
          <w:sz w:val="22"/>
          <w:szCs w:val="22"/>
        </w:rPr>
        <w:tab/>
      </w:r>
      <w:r w:rsidRPr="007B0292">
        <w:rPr>
          <w:rFonts w:ascii="Arial" w:hAnsi="Arial" w:cs="Arial"/>
          <w:b/>
          <w:bCs/>
          <w:sz w:val="22"/>
          <w:szCs w:val="22"/>
        </w:rPr>
        <w:tab/>
      </w:r>
      <w:r w:rsidRPr="007B0292">
        <w:rPr>
          <w:rFonts w:ascii="Arial" w:hAnsi="Arial" w:cs="Arial"/>
          <w:b/>
          <w:bCs/>
          <w:sz w:val="22"/>
          <w:szCs w:val="22"/>
        </w:rPr>
        <w:tab/>
        <w:t>Město Kopřivnice</w:t>
      </w:r>
    </w:p>
    <w:p w:rsidR="00B15AB3" w:rsidRPr="007B0292" w:rsidRDefault="00B15AB3" w:rsidP="0075636F">
      <w:pPr>
        <w:ind w:left="426" w:right="-1" w:hanging="426"/>
        <w:jc w:val="both"/>
        <w:rPr>
          <w:rFonts w:ascii="Arial" w:hAnsi="Arial" w:cs="Arial"/>
          <w:sz w:val="22"/>
          <w:szCs w:val="22"/>
        </w:rPr>
      </w:pPr>
      <w:r w:rsidRPr="007B0292">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r>
      <w:r w:rsidRPr="007B0292">
        <w:rPr>
          <w:rFonts w:ascii="Arial" w:hAnsi="Arial" w:cs="Arial"/>
          <w:sz w:val="22"/>
          <w:szCs w:val="22"/>
        </w:rPr>
        <w:tab/>
      </w:r>
    </w:p>
    <w:p w:rsidR="00B15AB3" w:rsidRPr="007B0292" w:rsidRDefault="00B15AB3" w:rsidP="00950E5B">
      <w:pPr>
        <w:ind w:left="426" w:right="-1" w:hanging="426"/>
        <w:jc w:val="both"/>
        <w:rPr>
          <w:rFonts w:ascii="Arial" w:hAnsi="Arial" w:cs="Arial"/>
          <w:sz w:val="22"/>
          <w:szCs w:val="22"/>
        </w:rPr>
      </w:pPr>
    </w:p>
    <w:p w:rsidR="00B15AB3" w:rsidRPr="007B0292" w:rsidRDefault="00B15AB3" w:rsidP="00950E5B">
      <w:pPr>
        <w:ind w:left="426" w:right="-1" w:hanging="426"/>
        <w:jc w:val="both"/>
        <w:rPr>
          <w:rFonts w:ascii="Arial" w:hAnsi="Arial" w:cs="Arial"/>
          <w:sz w:val="22"/>
          <w:szCs w:val="22"/>
        </w:rPr>
      </w:pPr>
    </w:p>
    <w:p w:rsidR="00B15AB3" w:rsidRPr="007B0292" w:rsidRDefault="00B15AB3" w:rsidP="00777F56">
      <w:pPr>
        <w:tabs>
          <w:tab w:val="left" w:pos="4820"/>
        </w:tabs>
        <w:rPr>
          <w:sz w:val="22"/>
          <w:szCs w:val="22"/>
        </w:rPr>
      </w:pPr>
    </w:p>
    <w:p w:rsidR="00B15AB3" w:rsidRPr="007B0292" w:rsidRDefault="00B15AB3" w:rsidP="00777F56">
      <w:pPr>
        <w:tabs>
          <w:tab w:val="left" w:leader="underscore" w:pos="4536"/>
          <w:tab w:val="left" w:pos="5103"/>
          <w:tab w:val="left" w:leader="underscore" w:pos="9639"/>
        </w:tabs>
        <w:spacing w:line="276" w:lineRule="auto"/>
        <w:rPr>
          <w:position w:val="12"/>
          <w:sz w:val="22"/>
          <w:szCs w:val="22"/>
        </w:rPr>
      </w:pPr>
      <w:r w:rsidRPr="007B0292">
        <w:rPr>
          <w:position w:val="12"/>
          <w:sz w:val="22"/>
          <w:szCs w:val="22"/>
        </w:rPr>
        <w:tab/>
      </w:r>
      <w:r w:rsidRPr="007B0292">
        <w:rPr>
          <w:position w:val="12"/>
          <w:sz w:val="22"/>
          <w:szCs w:val="22"/>
        </w:rPr>
        <w:tab/>
      </w:r>
      <w:r w:rsidRPr="007B0292">
        <w:rPr>
          <w:position w:val="12"/>
          <w:sz w:val="22"/>
          <w:szCs w:val="22"/>
        </w:rPr>
        <w:tab/>
      </w:r>
    </w:p>
    <w:p w:rsidR="00B15AB3" w:rsidRPr="007B0292" w:rsidRDefault="009C0792" w:rsidP="00777F56">
      <w:pPr>
        <w:tabs>
          <w:tab w:val="left" w:pos="5103"/>
          <w:tab w:val="left" w:pos="9639"/>
        </w:tabs>
        <w:spacing w:line="276" w:lineRule="auto"/>
        <w:rPr>
          <w:rFonts w:ascii="Arial" w:hAnsi="Arial" w:cs="Arial"/>
          <w:sz w:val="22"/>
          <w:szCs w:val="22"/>
        </w:rPr>
      </w:pPr>
      <w:r w:rsidRPr="007B0292">
        <w:rPr>
          <w:rFonts w:ascii="Arial" w:hAnsi="Arial" w:cs="Arial"/>
          <w:sz w:val="22"/>
          <w:szCs w:val="22"/>
        </w:rPr>
        <w:t>Mgr. Martin Ščambora</w:t>
      </w:r>
      <w:r w:rsidR="00B15AB3" w:rsidRPr="007B0292">
        <w:rPr>
          <w:rFonts w:ascii="Arial" w:hAnsi="Arial" w:cs="Arial"/>
          <w:sz w:val="22"/>
          <w:szCs w:val="22"/>
        </w:rPr>
        <w:tab/>
        <w:t>Ing. Miroslav Kopečný</w:t>
      </w:r>
    </w:p>
    <w:p w:rsidR="00B15AB3" w:rsidRPr="007B0292" w:rsidRDefault="009C0792" w:rsidP="00777F56">
      <w:pPr>
        <w:tabs>
          <w:tab w:val="left" w:pos="5103"/>
          <w:tab w:val="left" w:pos="9639"/>
        </w:tabs>
        <w:spacing w:line="276" w:lineRule="auto"/>
        <w:rPr>
          <w:rFonts w:ascii="Arial" w:hAnsi="Arial" w:cs="Arial"/>
          <w:sz w:val="22"/>
          <w:szCs w:val="22"/>
          <w:shd w:val="clear" w:color="auto" w:fill="C0C0C0"/>
        </w:rPr>
      </w:pPr>
      <w:r w:rsidRPr="007B0292">
        <w:rPr>
          <w:rFonts w:ascii="Arial" w:hAnsi="Arial" w:cs="Arial"/>
          <w:sz w:val="22"/>
          <w:szCs w:val="22"/>
        </w:rPr>
        <w:t>Vedoucí týmu pro podpůrné služby</w:t>
      </w:r>
      <w:r w:rsidR="00B15AB3" w:rsidRPr="007B0292">
        <w:rPr>
          <w:rFonts w:ascii="Arial" w:hAnsi="Arial" w:cs="Arial"/>
          <w:sz w:val="22"/>
          <w:szCs w:val="22"/>
        </w:rPr>
        <w:tab/>
        <w:t>starosta města</w:t>
      </w:r>
      <w:r w:rsidR="00B15AB3" w:rsidRPr="007B0292">
        <w:rPr>
          <w:rFonts w:ascii="Arial" w:hAnsi="Arial" w:cs="Arial"/>
          <w:sz w:val="22"/>
          <w:szCs w:val="22"/>
        </w:rPr>
        <w:tab/>
      </w:r>
    </w:p>
    <w:p w:rsidR="00B15AB3" w:rsidRPr="007B0292" w:rsidRDefault="00B15AB3" w:rsidP="00777F56">
      <w:pPr>
        <w:tabs>
          <w:tab w:val="left" w:pos="5103"/>
          <w:tab w:val="left" w:pos="9639"/>
        </w:tabs>
        <w:spacing w:line="276" w:lineRule="auto"/>
        <w:rPr>
          <w:rFonts w:ascii="Arial" w:hAnsi="Arial" w:cs="Arial"/>
          <w:sz w:val="22"/>
          <w:szCs w:val="22"/>
          <w:shd w:val="clear" w:color="auto" w:fill="C0C0C0"/>
        </w:rPr>
      </w:pPr>
    </w:p>
    <w:p w:rsidR="00B15AB3" w:rsidRPr="007B0292" w:rsidRDefault="00B15AB3" w:rsidP="00777F56">
      <w:pPr>
        <w:tabs>
          <w:tab w:val="left" w:pos="5103"/>
          <w:tab w:val="left" w:pos="9639"/>
        </w:tabs>
        <w:rPr>
          <w:rFonts w:ascii="Arial" w:hAnsi="Arial" w:cs="Arial"/>
          <w:sz w:val="22"/>
          <w:szCs w:val="22"/>
          <w:shd w:val="clear" w:color="auto" w:fill="C0C0C0"/>
        </w:rPr>
      </w:pPr>
    </w:p>
    <w:p w:rsidR="00B15AB3" w:rsidRDefault="00B15AB3" w:rsidP="00777F56">
      <w:pPr>
        <w:tabs>
          <w:tab w:val="left" w:pos="5103"/>
          <w:tab w:val="left" w:pos="9639"/>
        </w:tabs>
        <w:rPr>
          <w:rFonts w:ascii="Arial" w:hAnsi="Arial" w:cs="Arial"/>
          <w:sz w:val="22"/>
          <w:szCs w:val="22"/>
          <w:shd w:val="clear" w:color="auto" w:fill="C0C0C0"/>
        </w:rPr>
      </w:pPr>
    </w:p>
    <w:p w:rsidR="00650247" w:rsidRDefault="00650247" w:rsidP="00777F56">
      <w:pPr>
        <w:tabs>
          <w:tab w:val="left" w:pos="5103"/>
          <w:tab w:val="left" w:pos="9639"/>
        </w:tabs>
        <w:rPr>
          <w:rFonts w:ascii="Arial" w:hAnsi="Arial" w:cs="Arial"/>
          <w:sz w:val="22"/>
          <w:szCs w:val="22"/>
          <w:shd w:val="clear" w:color="auto" w:fill="C0C0C0"/>
        </w:rPr>
      </w:pPr>
    </w:p>
    <w:p w:rsidR="00650247" w:rsidRPr="007B0292" w:rsidRDefault="00650247" w:rsidP="00777F56">
      <w:pPr>
        <w:tabs>
          <w:tab w:val="left" w:pos="5103"/>
          <w:tab w:val="left" w:pos="9639"/>
        </w:tabs>
        <w:rPr>
          <w:rFonts w:ascii="Arial" w:hAnsi="Arial" w:cs="Arial"/>
          <w:sz w:val="22"/>
          <w:szCs w:val="22"/>
          <w:shd w:val="clear" w:color="auto" w:fill="C0C0C0"/>
        </w:rPr>
      </w:pPr>
    </w:p>
    <w:p w:rsidR="00B15AB3" w:rsidRPr="007B0292" w:rsidRDefault="00B15AB3" w:rsidP="00777F56">
      <w:pPr>
        <w:tabs>
          <w:tab w:val="left" w:leader="underscore" w:pos="4536"/>
          <w:tab w:val="left" w:pos="5103"/>
          <w:tab w:val="left" w:leader="underscore" w:pos="9639"/>
        </w:tabs>
        <w:rPr>
          <w:rFonts w:ascii="Arial" w:hAnsi="Arial" w:cs="Arial"/>
          <w:position w:val="12"/>
          <w:sz w:val="22"/>
          <w:szCs w:val="22"/>
        </w:rPr>
      </w:pPr>
      <w:r w:rsidRPr="007B0292">
        <w:rPr>
          <w:rFonts w:ascii="Arial" w:hAnsi="Arial" w:cs="Arial"/>
          <w:position w:val="12"/>
          <w:sz w:val="22"/>
          <w:szCs w:val="22"/>
        </w:rPr>
        <w:tab/>
      </w:r>
    </w:p>
    <w:p w:rsidR="009C0792" w:rsidRPr="007B0292" w:rsidRDefault="009C0792" w:rsidP="009C0792">
      <w:pPr>
        <w:tabs>
          <w:tab w:val="left" w:pos="5103"/>
          <w:tab w:val="left" w:pos="9639"/>
        </w:tabs>
        <w:rPr>
          <w:rFonts w:ascii="Arial" w:hAnsi="Arial" w:cs="Arial"/>
          <w:sz w:val="22"/>
          <w:szCs w:val="22"/>
        </w:rPr>
      </w:pPr>
      <w:r w:rsidRPr="007B0292">
        <w:rPr>
          <w:rFonts w:ascii="Arial" w:hAnsi="Arial" w:cs="Arial"/>
          <w:sz w:val="22"/>
          <w:szCs w:val="22"/>
        </w:rPr>
        <w:t>Ing. Jan Straka</w:t>
      </w:r>
    </w:p>
    <w:p w:rsidR="00B15AB3" w:rsidRPr="007B0292" w:rsidRDefault="009C0792" w:rsidP="007B0292">
      <w:pPr>
        <w:tabs>
          <w:tab w:val="left" w:pos="5103"/>
          <w:tab w:val="left" w:pos="9639"/>
        </w:tabs>
        <w:rPr>
          <w:rFonts w:ascii="Arial" w:hAnsi="Arial" w:cs="Arial"/>
          <w:sz w:val="22"/>
          <w:szCs w:val="22"/>
        </w:rPr>
      </w:pPr>
      <w:r w:rsidRPr="007B0292">
        <w:rPr>
          <w:rFonts w:ascii="Arial" w:hAnsi="Arial" w:cs="Arial"/>
          <w:sz w:val="22"/>
          <w:szCs w:val="22"/>
        </w:rPr>
        <w:t>Koordinátor pro podpůrné služby</w:t>
      </w:r>
    </w:p>
    <w:p w:rsidR="00B15AB3" w:rsidRPr="00950E5B" w:rsidRDefault="00B15AB3" w:rsidP="00650247">
      <w:pPr>
        <w:ind w:right="-1"/>
        <w:jc w:val="both"/>
        <w:rPr>
          <w:rFonts w:ascii="Arial" w:hAnsi="Arial" w:cs="Arial"/>
          <w:sz w:val="20"/>
          <w:szCs w:val="20"/>
        </w:rPr>
      </w:pPr>
    </w:p>
    <w:sectPr w:rsidR="00B15AB3" w:rsidRPr="00950E5B" w:rsidSect="00F56BC3">
      <w:headerReference w:type="default" r:id="rId7"/>
      <w:footerReference w:type="default" r:id="rId8"/>
      <w:headerReference w:type="first" r:id="rId9"/>
      <w:pgSz w:w="11906" w:h="16838"/>
      <w:pgMar w:top="1418" w:right="1133" w:bottom="1134" w:left="993"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85" w:rsidRDefault="00372585" w:rsidP="00065039">
      <w:r>
        <w:separator/>
      </w:r>
    </w:p>
  </w:endnote>
  <w:endnote w:type="continuationSeparator" w:id="0">
    <w:p w:rsidR="00372585" w:rsidRDefault="00372585" w:rsidP="000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B3" w:rsidRPr="00BE0BB5" w:rsidRDefault="00B15AB3">
    <w:pPr>
      <w:pStyle w:val="Zpat"/>
      <w:jc w:val="center"/>
      <w:rPr>
        <w:sz w:val="20"/>
        <w:szCs w:val="20"/>
      </w:rPr>
    </w:pPr>
    <w:r w:rsidRPr="00BE0BB5">
      <w:rPr>
        <w:sz w:val="20"/>
        <w:szCs w:val="20"/>
      </w:rPr>
      <w:fldChar w:fldCharType="begin"/>
    </w:r>
    <w:r w:rsidRPr="00BE0BB5">
      <w:rPr>
        <w:sz w:val="20"/>
        <w:szCs w:val="20"/>
      </w:rPr>
      <w:instrText>PAGE   \* MERGEFORMAT</w:instrText>
    </w:r>
    <w:r w:rsidRPr="00BE0BB5">
      <w:rPr>
        <w:sz w:val="20"/>
        <w:szCs w:val="20"/>
      </w:rPr>
      <w:fldChar w:fldCharType="separate"/>
    </w:r>
    <w:r w:rsidR="00B400D5">
      <w:rPr>
        <w:noProof/>
        <w:sz w:val="20"/>
        <w:szCs w:val="20"/>
      </w:rPr>
      <w:t>2</w:t>
    </w:r>
    <w:r w:rsidRPr="00BE0BB5">
      <w:rPr>
        <w:sz w:val="20"/>
        <w:szCs w:val="20"/>
      </w:rPr>
      <w:fldChar w:fldCharType="end"/>
    </w:r>
  </w:p>
  <w:p w:rsidR="00B15AB3" w:rsidRDefault="00B15A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85" w:rsidRDefault="00372585" w:rsidP="00065039">
      <w:r>
        <w:separator/>
      </w:r>
    </w:p>
  </w:footnote>
  <w:footnote w:type="continuationSeparator" w:id="0">
    <w:p w:rsidR="00372585" w:rsidRDefault="00372585" w:rsidP="000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AB3" w:rsidRPr="00D80B09" w:rsidRDefault="00B15AB3" w:rsidP="00673D5E">
    <w:pPr>
      <w:pStyle w:val="Zhlav"/>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3" w:rsidRPr="00F56BC3" w:rsidRDefault="00F56BC3" w:rsidP="00AD0000">
    <w:pPr>
      <w:pStyle w:val="Zhlav"/>
      <w:jc w:val="right"/>
      <w:rPr>
        <w:sz w:val="32"/>
        <w:szCs w:val="32"/>
      </w:rPr>
    </w:pPr>
  </w:p>
  <w:p w:rsidR="00B15AB3" w:rsidRPr="00D80B09" w:rsidRDefault="00B15AB3" w:rsidP="00AD0000">
    <w:pPr>
      <w:pStyle w:val="Zhlav"/>
      <w:jc w:val="right"/>
      <w:rPr>
        <w:sz w:val="22"/>
        <w:szCs w:val="22"/>
      </w:rPr>
    </w:pPr>
    <w:r w:rsidRPr="00D80B09">
      <w:rPr>
        <w:sz w:val="22"/>
        <w:szCs w:val="22"/>
      </w:rPr>
      <w:t>Evid. číslo 2016/0280</w:t>
    </w:r>
  </w:p>
  <w:p w:rsidR="00B15AB3" w:rsidRDefault="00B15A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767A"/>
    <w:multiLevelType w:val="multilevel"/>
    <w:tmpl w:val="DFF663AE"/>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A0B5679"/>
    <w:multiLevelType w:val="multilevel"/>
    <w:tmpl w:val="4D30AD0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3E3867"/>
    <w:multiLevelType w:val="multilevel"/>
    <w:tmpl w:val="51FE13B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794"/>
    <w:rsid w:val="00006784"/>
    <w:rsid w:val="000073B3"/>
    <w:rsid w:val="00011A25"/>
    <w:rsid w:val="00012E8B"/>
    <w:rsid w:val="0003584F"/>
    <w:rsid w:val="00050120"/>
    <w:rsid w:val="00056B05"/>
    <w:rsid w:val="00062A4D"/>
    <w:rsid w:val="00065039"/>
    <w:rsid w:val="00073C48"/>
    <w:rsid w:val="00081A22"/>
    <w:rsid w:val="000B4BC8"/>
    <w:rsid w:val="000C499C"/>
    <w:rsid w:val="000E272E"/>
    <w:rsid w:val="00105A40"/>
    <w:rsid w:val="001229B7"/>
    <w:rsid w:val="0014135E"/>
    <w:rsid w:val="00165EF9"/>
    <w:rsid w:val="00171F98"/>
    <w:rsid w:val="00172536"/>
    <w:rsid w:val="0019177E"/>
    <w:rsid w:val="001961C9"/>
    <w:rsid w:val="001974D9"/>
    <w:rsid w:val="001A2A27"/>
    <w:rsid w:val="001B1D94"/>
    <w:rsid w:val="001B7979"/>
    <w:rsid w:val="001C7D47"/>
    <w:rsid w:val="001E72F2"/>
    <w:rsid w:val="001F625D"/>
    <w:rsid w:val="002131A5"/>
    <w:rsid w:val="0022515C"/>
    <w:rsid w:val="00252D21"/>
    <w:rsid w:val="00295DF2"/>
    <w:rsid w:val="00296242"/>
    <w:rsid w:val="002971B6"/>
    <w:rsid w:val="002B0A17"/>
    <w:rsid w:val="002B4F50"/>
    <w:rsid w:val="002C73D5"/>
    <w:rsid w:val="002C7C5D"/>
    <w:rsid w:val="002D3AB2"/>
    <w:rsid w:val="002F00F8"/>
    <w:rsid w:val="0030415D"/>
    <w:rsid w:val="003125A5"/>
    <w:rsid w:val="003139F8"/>
    <w:rsid w:val="0031755C"/>
    <w:rsid w:val="003305CD"/>
    <w:rsid w:val="003312C4"/>
    <w:rsid w:val="00340D4C"/>
    <w:rsid w:val="00341B0A"/>
    <w:rsid w:val="00365C16"/>
    <w:rsid w:val="00370E15"/>
    <w:rsid w:val="00372585"/>
    <w:rsid w:val="00381428"/>
    <w:rsid w:val="00384BB8"/>
    <w:rsid w:val="00396883"/>
    <w:rsid w:val="003A677A"/>
    <w:rsid w:val="003B39DC"/>
    <w:rsid w:val="003F18C2"/>
    <w:rsid w:val="004104D5"/>
    <w:rsid w:val="00410582"/>
    <w:rsid w:val="00411AC2"/>
    <w:rsid w:val="0042654A"/>
    <w:rsid w:val="00455585"/>
    <w:rsid w:val="00456EED"/>
    <w:rsid w:val="00463A2E"/>
    <w:rsid w:val="0046778C"/>
    <w:rsid w:val="004742CD"/>
    <w:rsid w:val="00483FBB"/>
    <w:rsid w:val="00486082"/>
    <w:rsid w:val="00490539"/>
    <w:rsid w:val="004B70D8"/>
    <w:rsid w:val="004C6F19"/>
    <w:rsid w:val="004D1E0A"/>
    <w:rsid w:val="00505675"/>
    <w:rsid w:val="0050646C"/>
    <w:rsid w:val="00541B84"/>
    <w:rsid w:val="00580B6F"/>
    <w:rsid w:val="005A6BEB"/>
    <w:rsid w:val="005B01CB"/>
    <w:rsid w:val="005B3413"/>
    <w:rsid w:val="005B60D7"/>
    <w:rsid w:val="005C6EA4"/>
    <w:rsid w:val="005E110D"/>
    <w:rsid w:val="005E2E2D"/>
    <w:rsid w:val="005F13D6"/>
    <w:rsid w:val="005F42DF"/>
    <w:rsid w:val="00611476"/>
    <w:rsid w:val="006278E0"/>
    <w:rsid w:val="00641743"/>
    <w:rsid w:val="00647E5E"/>
    <w:rsid w:val="00650247"/>
    <w:rsid w:val="006516D5"/>
    <w:rsid w:val="00654002"/>
    <w:rsid w:val="00654B15"/>
    <w:rsid w:val="00667275"/>
    <w:rsid w:val="006727DF"/>
    <w:rsid w:val="00673D5E"/>
    <w:rsid w:val="00677C85"/>
    <w:rsid w:val="00685DCD"/>
    <w:rsid w:val="006860DD"/>
    <w:rsid w:val="006A49C3"/>
    <w:rsid w:val="006A6EA6"/>
    <w:rsid w:val="007004E7"/>
    <w:rsid w:val="007078DC"/>
    <w:rsid w:val="0072654D"/>
    <w:rsid w:val="00744338"/>
    <w:rsid w:val="0075636F"/>
    <w:rsid w:val="007656EC"/>
    <w:rsid w:val="00775F13"/>
    <w:rsid w:val="00777F56"/>
    <w:rsid w:val="007B0292"/>
    <w:rsid w:val="007C43E0"/>
    <w:rsid w:val="007D11ED"/>
    <w:rsid w:val="007D7196"/>
    <w:rsid w:val="007F6159"/>
    <w:rsid w:val="00803EF3"/>
    <w:rsid w:val="008129A6"/>
    <w:rsid w:val="008247FD"/>
    <w:rsid w:val="00872424"/>
    <w:rsid w:val="008755A7"/>
    <w:rsid w:val="008C7BAB"/>
    <w:rsid w:val="00910804"/>
    <w:rsid w:val="0091180E"/>
    <w:rsid w:val="00911C06"/>
    <w:rsid w:val="00921F0F"/>
    <w:rsid w:val="00926F5B"/>
    <w:rsid w:val="009407BF"/>
    <w:rsid w:val="00946ADE"/>
    <w:rsid w:val="00950D3D"/>
    <w:rsid w:val="00950E5B"/>
    <w:rsid w:val="00956858"/>
    <w:rsid w:val="009719E5"/>
    <w:rsid w:val="009B4779"/>
    <w:rsid w:val="009B4D48"/>
    <w:rsid w:val="009C0792"/>
    <w:rsid w:val="009D494B"/>
    <w:rsid w:val="009D6C6F"/>
    <w:rsid w:val="009E02C6"/>
    <w:rsid w:val="009E310D"/>
    <w:rsid w:val="009F0BDF"/>
    <w:rsid w:val="00A067A5"/>
    <w:rsid w:val="00A51ABF"/>
    <w:rsid w:val="00A71842"/>
    <w:rsid w:val="00A731D1"/>
    <w:rsid w:val="00A9445A"/>
    <w:rsid w:val="00AA1AA6"/>
    <w:rsid w:val="00AB10A1"/>
    <w:rsid w:val="00AB2D98"/>
    <w:rsid w:val="00AD0000"/>
    <w:rsid w:val="00AD2869"/>
    <w:rsid w:val="00AD7217"/>
    <w:rsid w:val="00AE45E5"/>
    <w:rsid w:val="00AF30E7"/>
    <w:rsid w:val="00AF3AE7"/>
    <w:rsid w:val="00B046C8"/>
    <w:rsid w:val="00B15AB3"/>
    <w:rsid w:val="00B20520"/>
    <w:rsid w:val="00B25F93"/>
    <w:rsid w:val="00B33AF2"/>
    <w:rsid w:val="00B36935"/>
    <w:rsid w:val="00B400D5"/>
    <w:rsid w:val="00B61321"/>
    <w:rsid w:val="00B75D49"/>
    <w:rsid w:val="00B90C8B"/>
    <w:rsid w:val="00BA300D"/>
    <w:rsid w:val="00BD2D76"/>
    <w:rsid w:val="00BD641C"/>
    <w:rsid w:val="00BE0BB5"/>
    <w:rsid w:val="00C12341"/>
    <w:rsid w:val="00C243ED"/>
    <w:rsid w:val="00C308BC"/>
    <w:rsid w:val="00C346F8"/>
    <w:rsid w:val="00C45C99"/>
    <w:rsid w:val="00C86E25"/>
    <w:rsid w:val="00C90AF3"/>
    <w:rsid w:val="00C94899"/>
    <w:rsid w:val="00CB51FA"/>
    <w:rsid w:val="00CF5053"/>
    <w:rsid w:val="00D4327B"/>
    <w:rsid w:val="00D43E2C"/>
    <w:rsid w:val="00D50558"/>
    <w:rsid w:val="00D51121"/>
    <w:rsid w:val="00D534C4"/>
    <w:rsid w:val="00D80B09"/>
    <w:rsid w:val="00D85057"/>
    <w:rsid w:val="00D97B20"/>
    <w:rsid w:val="00DE708D"/>
    <w:rsid w:val="00E01794"/>
    <w:rsid w:val="00E570F2"/>
    <w:rsid w:val="00E678EF"/>
    <w:rsid w:val="00E7361B"/>
    <w:rsid w:val="00E81F4D"/>
    <w:rsid w:val="00E83E38"/>
    <w:rsid w:val="00E8449F"/>
    <w:rsid w:val="00EA0B77"/>
    <w:rsid w:val="00EB42D7"/>
    <w:rsid w:val="00EC0ABD"/>
    <w:rsid w:val="00EC615C"/>
    <w:rsid w:val="00EF7DC1"/>
    <w:rsid w:val="00F12BAE"/>
    <w:rsid w:val="00F16166"/>
    <w:rsid w:val="00F24E66"/>
    <w:rsid w:val="00F55FE9"/>
    <w:rsid w:val="00F56BC3"/>
    <w:rsid w:val="00F832EE"/>
    <w:rsid w:val="00F96EA3"/>
    <w:rsid w:val="00FE3FF0"/>
    <w:rsid w:val="00FE4183"/>
    <w:rsid w:val="00FE5CB2"/>
    <w:rsid w:val="00FF3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AB16B6-041B-47C1-9E38-5ED094E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196"/>
    <w:rPr>
      <w:sz w:val="24"/>
      <w:szCs w:val="24"/>
    </w:rPr>
  </w:style>
  <w:style w:type="paragraph" w:styleId="Nadpis4">
    <w:name w:val="heading 4"/>
    <w:basedOn w:val="Normln"/>
    <w:next w:val="Normln"/>
    <w:link w:val="Nadpis4Char"/>
    <w:uiPriority w:val="99"/>
    <w:qFormat/>
    <w:rsid w:val="001961C9"/>
    <w:pPr>
      <w:keepNext/>
      <w:overflowPunct w:val="0"/>
      <w:autoSpaceDE w:val="0"/>
      <w:autoSpaceDN w:val="0"/>
      <w:adjustRightInd w:val="0"/>
      <w:spacing w:before="240" w:after="60"/>
      <w:jc w:val="both"/>
      <w:textAlignment w:val="baseline"/>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9"/>
    <w:locked/>
    <w:rsid w:val="001961C9"/>
    <w:rPr>
      <w:b/>
      <w:bCs/>
      <w:sz w:val="28"/>
      <w:szCs w:val="28"/>
    </w:rPr>
  </w:style>
  <w:style w:type="paragraph" w:styleId="Textbubliny">
    <w:name w:val="Balloon Text"/>
    <w:basedOn w:val="Normln"/>
    <w:link w:val="TextbublinyChar"/>
    <w:uiPriority w:val="99"/>
    <w:semiHidden/>
    <w:rsid w:val="004C6F19"/>
    <w:rPr>
      <w:rFonts w:ascii="Tahoma" w:hAnsi="Tahoma" w:cs="Tahoma"/>
      <w:sz w:val="16"/>
      <w:szCs w:val="16"/>
    </w:rPr>
  </w:style>
  <w:style w:type="character" w:customStyle="1" w:styleId="TextbublinyChar">
    <w:name w:val="Text bubliny Char"/>
    <w:link w:val="Textbubliny"/>
    <w:uiPriority w:val="99"/>
    <w:semiHidden/>
    <w:rsid w:val="002750C3"/>
    <w:rPr>
      <w:sz w:val="0"/>
      <w:szCs w:val="0"/>
    </w:rPr>
  </w:style>
  <w:style w:type="paragraph" w:styleId="Zhlav">
    <w:name w:val="header"/>
    <w:basedOn w:val="Normln"/>
    <w:link w:val="ZhlavChar"/>
    <w:uiPriority w:val="99"/>
    <w:rsid w:val="00065039"/>
    <w:pPr>
      <w:tabs>
        <w:tab w:val="center" w:pos="4536"/>
        <w:tab w:val="right" w:pos="9072"/>
      </w:tabs>
    </w:pPr>
  </w:style>
  <w:style w:type="character" w:customStyle="1" w:styleId="ZhlavChar">
    <w:name w:val="Záhlaví Char"/>
    <w:link w:val="Zhlav"/>
    <w:uiPriority w:val="99"/>
    <w:locked/>
    <w:rsid w:val="00065039"/>
    <w:rPr>
      <w:sz w:val="24"/>
      <w:szCs w:val="24"/>
    </w:rPr>
  </w:style>
  <w:style w:type="paragraph" w:styleId="Zpat">
    <w:name w:val="footer"/>
    <w:basedOn w:val="Normln"/>
    <w:link w:val="ZpatChar"/>
    <w:uiPriority w:val="99"/>
    <w:rsid w:val="00065039"/>
    <w:pPr>
      <w:tabs>
        <w:tab w:val="center" w:pos="4536"/>
        <w:tab w:val="right" w:pos="9072"/>
      </w:tabs>
    </w:pPr>
  </w:style>
  <w:style w:type="character" w:customStyle="1" w:styleId="ZpatChar">
    <w:name w:val="Zápatí Char"/>
    <w:link w:val="Zpat"/>
    <w:uiPriority w:val="99"/>
    <w:locked/>
    <w:rsid w:val="00065039"/>
    <w:rPr>
      <w:sz w:val="24"/>
      <w:szCs w:val="24"/>
    </w:rPr>
  </w:style>
  <w:style w:type="character" w:styleId="Odkaznakoment">
    <w:name w:val="annotation reference"/>
    <w:uiPriority w:val="99"/>
    <w:semiHidden/>
    <w:rsid w:val="00E570F2"/>
    <w:rPr>
      <w:sz w:val="16"/>
      <w:szCs w:val="16"/>
    </w:rPr>
  </w:style>
  <w:style w:type="paragraph" w:styleId="Textkomente">
    <w:name w:val="annotation text"/>
    <w:basedOn w:val="Normln"/>
    <w:link w:val="TextkomenteChar"/>
    <w:uiPriority w:val="99"/>
    <w:semiHidden/>
    <w:rsid w:val="00E570F2"/>
    <w:rPr>
      <w:sz w:val="20"/>
      <w:szCs w:val="20"/>
    </w:rPr>
  </w:style>
  <w:style w:type="character" w:customStyle="1" w:styleId="TextkomenteChar">
    <w:name w:val="Text komentáře Char"/>
    <w:basedOn w:val="Standardnpsmoodstavce"/>
    <w:link w:val="Textkomente"/>
    <w:uiPriority w:val="99"/>
    <w:locked/>
    <w:rsid w:val="00E570F2"/>
  </w:style>
  <w:style w:type="paragraph" w:styleId="Pedmtkomente">
    <w:name w:val="annotation subject"/>
    <w:basedOn w:val="Textkomente"/>
    <w:next w:val="Textkomente"/>
    <w:link w:val="PedmtkomenteChar"/>
    <w:uiPriority w:val="99"/>
    <w:semiHidden/>
    <w:rsid w:val="00E570F2"/>
    <w:rPr>
      <w:b/>
      <w:bCs/>
    </w:rPr>
  </w:style>
  <w:style w:type="character" w:customStyle="1" w:styleId="PedmtkomenteChar">
    <w:name w:val="Předmět komentáře Char"/>
    <w:link w:val="Pedmtkomente"/>
    <w:uiPriority w:val="99"/>
    <w:locked/>
    <w:rsid w:val="00E570F2"/>
    <w:rPr>
      <w:b/>
      <w:bCs/>
    </w:rPr>
  </w:style>
  <w:style w:type="paragraph" w:styleId="Odstavecseseznamem">
    <w:name w:val="List Paragraph"/>
    <w:basedOn w:val="Normln"/>
    <w:uiPriority w:val="99"/>
    <w:qFormat/>
    <w:rsid w:val="001961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8805">
      <w:marLeft w:val="0"/>
      <w:marRight w:val="0"/>
      <w:marTop w:val="0"/>
      <w:marBottom w:val="0"/>
      <w:divBdr>
        <w:top w:val="none" w:sz="0" w:space="0" w:color="auto"/>
        <w:left w:val="none" w:sz="0" w:space="0" w:color="auto"/>
        <w:bottom w:val="none" w:sz="0" w:space="0" w:color="auto"/>
        <w:right w:val="none" w:sz="0" w:space="0" w:color="auto"/>
      </w:divBdr>
      <w:divsChild>
        <w:div w:id="323168804">
          <w:marLeft w:val="0"/>
          <w:marRight w:val="0"/>
          <w:marTop w:val="0"/>
          <w:marBottom w:val="0"/>
          <w:divBdr>
            <w:top w:val="none" w:sz="0" w:space="0" w:color="auto"/>
            <w:left w:val="none" w:sz="0" w:space="0" w:color="auto"/>
            <w:bottom w:val="none" w:sz="0" w:space="0" w:color="auto"/>
            <w:right w:val="none" w:sz="0" w:space="0" w:color="auto"/>
          </w:divBdr>
          <w:divsChild>
            <w:div w:id="323168803">
              <w:marLeft w:val="-3000"/>
              <w:marRight w:val="0"/>
              <w:marTop w:val="0"/>
              <w:marBottom w:val="0"/>
              <w:divBdr>
                <w:top w:val="none" w:sz="0" w:space="0" w:color="auto"/>
                <w:left w:val="none" w:sz="0" w:space="0" w:color="auto"/>
                <w:bottom w:val="none" w:sz="0" w:space="0" w:color="auto"/>
                <w:right w:val="none" w:sz="0" w:space="0" w:color="auto"/>
              </w:divBdr>
              <w:divsChild>
                <w:div w:id="323168802">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679</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Dohoda o převodu na technického zhodnocení</vt:lpstr>
    </vt:vector>
  </TitlesOfParts>
  <Company>Komerční banka, a.s.</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převodu na technického zhodnocení</dc:title>
  <dc:subject/>
  <dc:creator>AK Kaiser</dc:creator>
  <cp:keywords/>
  <dc:description/>
  <cp:lastModifiedBy>Zdeňka Halatinová</cp:lastModifiedBy>
  <cp:revision>4</cp:revision>
  <cp:lastPrinted>2016-09-23T11:21:00Z</cp:lastPrinted>
  <dcterms:created xsi:type="dcterms:W3CDTF">2016-09-23T11:07:00Z</dcterms:created>
  <dcterms:modified xsi:type="dcterms:W3CDTF">2016-09-23T11:22:00Z</dcterms:modified>
</cp:coreProperties>
</file>