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1640" w:rsidRPr="003A020F" w:rsidRDefault="00E41640" w:rsidP="00253F0E">
      <w:pPr>
        <w:pStyle w:val="Pa0"/>
        <w:jc w:val="both"/>
        <w:rPr>
          <w:rFonts w:ascii="Times New Roman" w:hAnsi="Times New Roman"/>
          <w:b/>
        </w:rPr>
      </w:pPr>
      <w:bookmarkStart w:id="0" w:name="_GoBack"/>
      <w:bookmarkEnd w:id="0"/>
    </w:p>
    <w:p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
    <w:p w:rsidR="00FC51CE" w:rsidRPr="004D4B12" w:rsidRDefault="00FC51CE" w:rsidP="00FC51CE">
      <w:pPr>
        <w:rPr>
          <w:lang w:val="cs-CZ"/>
        </w:rPr>
      </w:pPr>
    </w:p>
    <w:p w:rsidR="00457198"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ontakt produkce</w:t>
      </w:r>
      <w:r w:rsidR="00457198">
        <w:rPr>
          <w:rFonts w:ascii="Times New Roman" w:hAnsi="Times New Roman"/>
        </w:rPr>
        <w:t>:</w:t>
      </w:r>
    </w:p>
    <w:p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
    <w:p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
    <w:p w:rsidR="00FC51CE" w:rsidRPr="003A020F" w:rsidRDefault="00FC51CE" w:rsidP="00FC51CE">
      <w:pPr>
        <w:pStyle w:val="Pa0"/>
        <w:jc w:val="both"/>
        <w:rPr>
          <w:rFonts w:ascii="Times New Roman" w:hAnsi="Times New Roman"/>
        </w:rPr>
      </w:pPr>
      <w:r w:rsidRPr="003A020F">
        <w:rPr>
          <w:rFonts w:ascii="Times New Roman" w:hAnsi="Times New Roman"/>
        </w:rPr>
        <w:t xml:space="preserve">kontakt jevištní technika: </w:t>
      </w:r>
    </w:p>
    <w:p w:rsidR="00253F0E" w:rsidRPr="003A020F" w:rsidRDefault="00253F0E" w:rsidP="00253F0E">
      <w:pPr>
        <w:pStyle w:val="Pa0"/>
        <w:jc w:val="both"/>
        <w:rPr>
          <w:rFonts w:ascii="Times New Roman" w:hAnsi="Times New Roman"/>
        </w:rPr>
      </w:pPr>
    </w:p>
    <w:p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rsidR="00253F0E" w:rsidRPr="003A020F" w:rsidRDefault="00253F0E" w:rsidP="00253F0E">
      <w:pPr>
        <w:rPr>
          <w:lang w:val="cs-CZ"/>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rsidR="00253F0E" w:rsidRPr="003A020F" w:rsidRDefault="00253F0E" w:rsidP="00253F0E">
      <w:pPr>
        <w:pStyle w:val="Pa0"/>
        <w:jc w:val="both"/>
        <w:rPr>
          <w:rFonts w:ascii="Times New Roman" w:hAnsi="Times New Roman"/>
          <w:color w:val="000000"/>
        </w:rPr>
      </w:pPr>
    </w:p>
    <w:p w:rsidR="00011B50" w:rsidRPr="00C21739" w:rsidRDefault="00011B50" w:rsidP="00011B50">
      <w:pPr>
        <w:pStyle w:val="Pa0"/>
        <w:jc w:val="both"/>
        <w:rPr>
          <w:rFonts w:ascii="Times New Roman" w:hAnsi="Times New Roman"/>
          <w:b/>
          <w:color w:val="000000"/>
        </w:rPr>
      </w:pPr>
      <w:r w:rsidRPr="00C21739">
        <w:rPr>
          <w:rFonts w:ascii="Times New Roman" w:hAnsi="Times New Roman"/>
          <w:b/>
          <w:color w:val="000000"/>
        </w:rPr>
        <w:t>Městské divadlo v Mostě</w:t>
      </w:r>
    </w:p>
    <w:p w:rsidR="00011B50" w:rsidRPr="00253F0E" w:rsidRDefault="00011B50" w:rsidP="00011B50">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Divadelní 15, 434 01  Most</w:t>
      </w:r>
    </w:p>
    <w:p w:rsidR="00011B50" w:rsidRPr="00253F0E" w:rsidRDefault="00011B50" w:rsidP="00011B50">
      <w:pPr>
        <w:pStyle w:val="Pa0"/>
        <w:tabs>
          <w:tab w:val="num" w:pos="0"/>
        </w:tabs>
        <w:jc w:val="both"/>
        <w:rPr>
          <w:rFonts w:ascii="Times New Roman" w:hAnsi="Times New Roman"/>
          <w:color w:val="000000"/>
        </w:rPr>
      </w:pPr>
      <w:r>
        <w:rPr>
          <w:rFonts w:ascii="Times New Roman" w:hAnsi="Times New Roman"/>
          <w:color w:val="000000"/>
        </w:rPr>
        <w:t>IČ: 27275701</w:t>
      </w:r>
    </w:p>
    <w:p w:rsidR="00011B50" w:rsidRPr="007E222B" w:rsidRDefault="00011B50" w:rsidP="00011B50">
      <w:pPr>
        <w:rPr>
          <w:sz w:val="24"/>
          <w:szCs w:val="24"/>
          <w:lang w:val="cs-CZ"/>
        </w:rPr>
      </w:pPr>
      <w:r w:rsidRPr="007E222B">
        <w:rPr>
          <w:sz w:val="24"/>
          <w:szCs w:val="24"/>
          <w:lang w:val="cs-CZ"/>
        </w:rPr>
        <w:t xml:space="preserve">DIČ: </w:t>
      </w:r>
      <w:r>
        <w:rPr>
          <w:sz w:val="24"/>
          <w:szCs w:val="24"/>
          <w:lang w:val="cs-CZ"/>
        </w:rPr>
        <w:t>CZ27275701</w:t>
      </w:r>
    </w:p>
    <w:p w:rsidR="00011B50" w:rsidRPr="00253F0E" w:rsidRDefault="00011B50" w:rsidP="00011B50">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Pr>
          <w:rFonts w:ascii="Times New Roman" w:hAnsi="Times New Roman"/>
          <w:color w:val="000000"/>
        </w:rPr>
        <w:t>Krajského soudu</w:t>
      </w:r>
      <w:r w:rsidRPr="00253F0E">
        <w:rPr>
          <w:rFonts w:ascii="Times New Roman" w:hAnsi="Times New Roman"/>
          <w:color w:val="000000"/>
        </w:rPr>
        <w:t xml:space="preserve"> v</w:t>
      </w:r>
      <w:r>
        <w:rPr>
          <w:rFonts w:ascii="Times New Roman" w:hAnsi="Times New Roman"/>
          <w:color w:val="000000"/>
        </w:rPr>
        <w:t> Ústí nad Labem</w:t>
      </w:r>
      <w:r w:rsidRPr="00253F0E">
        <w:rPr>
          <w:rFonts w:ascii="Times New Roman" w:hAnsi="Times New Roman"/>
          <w:color w:val="000000"/>
        </w:rPr>
        <w:t xml:space="preserve">, pod. </w:t>
      </w:r>
      <w:proofErr w:type="spellStart"/>
      <w:r w:rsidRPr="00253F0E">
        <w:rPr>
          <w:rFonts w:ascii="Times New Roman" w:hAnsi="Times New Roman"/>
          <w:color w:val="000000"/>
        </w:rPr>
        <w:t>sp</w:t>
      </w:r>
      <w:proofErr w:type="spellEnd"/>
      <w:r w:rsidRPr="00253F0E">
        <w:rPr>
          <w:rFonts w:ascii="Times New Roman" w:hAnsi="Times New Roman"/>
          <w:color w:val="000000"/>
        </w:rPr>
        <w:t xml:space="preserve">. zn.: </w:t>
      </w:r>
      <w:r>
        <w:rPr>
          <w:rFonts w:ascii="Times New Roman" w:hAnsi="Times New Roman"/>
          <w:color w:val="000000"/>
        </w:rPr>
        <w:t>oddíl C, vložka 22004</w:t>
      </w:r>
    </w:p>
    <w:p w:rsidR="00011B50" w:rsidRPr="00253F0E" w:rsidRDefault="00011B50" w:rsidP="00011B50">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PhDr. Václav Hofmann</w:t>
      </w:r>
      <w:r w:rsidRPr="00253F0E">
        <w:rPr>
          <w:rFonts w:ascii="Times New Roman" w:hAnsi="Times New Roman"/>
          <w:color w:val="000000"/>
        </w:rPr>
        <w:t xml:space="preserve">, </w:t>
      </w:r>
      <w:r>
        <w:rPr>
          <w:rFonts w:ascii="Times New Roman" w:hAnsi="Times New Roman"/>
          <w:color w:val="000000"/>
        </w:rPr>
        <w:t>jednatel společnosti</w:t>
      </w:r>
    </w:p>
    <w:p w:rsidR="00011B50" w:rsidRPr="00253F0E" w:rsidRDefault="00011B50" w:rsidP="00011B50">
      <w:pPr>
        <w:pStyle w:val="Pa0"/>
        <w:jc w:val="both"/>
        <w:rPr>
          <w:rFonts w:ascii="Times New Roman" w:hAnsi="Times New Roman"/>
          <w:color w:val="000000"/>
        </w:rPr>
      </w:pPr>
      <w:r w:rsidRPr="00253F0E">
        <w:rPr>
          <w:rFonts w:ascii="Times New Roman" w:hAnsi="Times New Roman"/>
          <w:color w:val="000000"/>
        </w:rPr>
        <w:t xml:space="preserve">číslo účtu: </w:t>
      </w:r>
    </w:p>
    <w:p w:rsidR="00011B50" w:rsidRDefault="00011B50" w:rsidP="00011B50">
      <w:pPr>
        <w:rPr>
          <w:sz w:val="24"/>
          <w:szCs w:val="24"/>
          <w:lang w:val="cs-CZ"/>
        </w:rPr>
      </w:pPr>
      <w:r>
        <w:rPr>
          <w:sz w:val="24"/>
          <w:szCs w:val="24"/>
          <w:lang w:val="cs-CZ"/>
        </w:rPr>
        <w:t>plátce DPH: ANO</w:t>
      </w:r>
    </w:p>
    <w:p w:rsidR="00011B50" w:rsidRDefault="00011B50" w:rsidP="00011B50">
      <w:pPr>
        <w:rPr>
          <w:sz w:val="24"/>
          <w:szCs w:val="24"/>
          <w:lang w:val="cs-CZ"/>
        </w:rPr>
      </w:pPr>
    </w:p>
    <w:p w:rsidR="00011B50" w:rsidRDefault="00011B50" w:rsidP="00011B50">
      <w:pPr>
        <w:rPr>
          <w:sz w:val="24"/>
          <w:szCs w:val="24"/>
          <w:lang w:val="cs-CZ"/>
        </w:rPr>
      </w:pPr>
      <w:r>
        <w:rPr>
          <w:sz w:val="24"/>
          <w:szCs w:val="24"/>
          <w:lang w:val="cs-CZ"/>
        </w:rPr>
        <w:t xml:space="preserve">kontaktní osoba:  </w:t>
      </w:r>
    </w:p>
    <w:p w:rsidR="00011B50" w:rsidRDefault="00011B50" w:rsidP="00011B50">
      <w:pPr>
        <w:rPr>
          <w:sz w:val="24"/>
          <w:szCs w:val="24"/>
          <w:lang w:val="cs-CZ"/>
        </w:rPr>
      </w:pPr>
      <w:r>
        <w:rPr>
          <w:sz w:val="24"/>
          <w:szCs w:val="24"/>
          <w:lang w:val="cs-CZ"/>
        </w:rPr>
        <w:t xml:space="preserve">kontakt světla, zvuk: </w:t>
      </w:r>
    </w:p>
    <w:p w:rsidR="00011B50" w:rsidRPr="007A4C5E" w:rsidRDefault="00011B50" w:rsidP="00011B50">
      <w:pPr>
        <w:rPr>
          <w:sz w:val="24"/>
          <w:szCs w:val="24"/>
          <w:lang w:val="cs-CZ"/>
        </w:rPr>
      </w:pPr>
      <w:r>
        <w:rPr>
          <w:sz w:val="24"/>
          <w:szCs w:val="24"/>
          <w:lang w:val="cs-CZ"/>
        </w:rPr>
        <w:t xml:space="preserve">kontakt jevištní technika: </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rsidR="00253F0E" w:rsidRPr="003A020F" w:rsidRDefault="00253F0E" w:rsidP="00253F0E">
      <w:pPr>
        <w:pStyle w:val="Pa0"/>
        <w:jc w:val="both"/>
        <w:rPr>
          <w:rFonts w:ascii="Times New Roman" w:hAnsi="Times New Roman"/>
          <w:color w:val="000000"/>
        </w:rPr>
      </w:pPr>
    </w:p>
    <w:p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rsidR="00BB0910" w:rsidRPr="00BB0910" w:rsidRDefault="00BB0910" w:rsidP="00BB0910">
      <w:pPr>
        <w:jc w:val="center"/>
        <w:rPr>
          <w:b/>
          <w:sz w:val="24"/>
          <w:szCs w:val="24"/>
          <w:lang w:val="cs-CZ"/>
        </w:rPr>
      </w:pPr>
      <w:r w:rsidRPr="00BB0910">
        <w:rPr>
          <w:b/>
          <w:sz w:val="24"/>
          <w:szCs w:val="24"/>
          <w:lang w:val="cs-CZ"/>
        </w:rPr>
        <w:t>VYSAVAČ</w:t>
      </w:r>
    </w:p>
    <w:p w:rsidR="00253F0E" w:rsidRPr="003E2984" w:rsidRDefault="00253F0E" w:rsidP="00253F0E">
      <w:pPr>
        <w:pStyle w:val="Pa0"/>
        <w:jc w:val="both"/>
        <w:rPr>
          <w:rFonts w:ascii="Times New Roman" w:hAnsi="Times New Roman"/>
          <w:color w:val="000000"/>
        </w:rPr>
      </w:pPr>
    </w:p>
    <w:p w:rsidR="00253F0E" w:rsidRPr="003A020F" w:rsidRDefault="00253F0E" w:rsidP="00253F0E">
      <w:pPr>
        <w:pStyle w:val="Pa0"/>
        <w:jc w:val="both"/>
        <w:rPr>
          <w:rFonts w:ascii="Times New Roman" w:hAnsi="Times New Roman"/>
          <w:color w:val="000000"/>
        </w:rPr>
      </w:pPr>
    </w:p>
    <w:p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rsidR="00253F0E" w:rsidRPr="003A020F" w:rsidRDefault="00253F0E" w:rsidP="00253F0E">
      <w:pPr>
        <w:pStyle w:val="Pa0"/>
        <w:jc w:val="both"/>
        <w:rPr>
          <w:rFonts w:ascii="Times New Roman" w:hAnsi="Times New Roman"/>
          <w:color w:val="000000"/>
        </w:rPr>
      </w:pPr>
    </w:p>
    <w:p w:rsidR="00011B50" w:rsidRDefault="00253F0E" w:rsidP="00011B50">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011B50" w:rsidRPr="00253F0E">
        <w:rPr>
          <w:rFonts w:ascii="Times New Roman" w:hAnsi="Times New Roman"/>
          <w:color w:val="000000"/>
        </w:rPr>
        <w:t>Divad</w:t>
      </w:r>
      <w:r w:rsidR="00011B50">
        <w:rPr>
          <w:rFonts w:ascii="Times New Roman" w:hAnsi="Times New Roman"/>
          <w:color w:val="000000"/>
        </w:rPr>
        <w:t xml:space="preserve">lo se touto smlouvou zavazuje vystoupit s divadelním představením </w:t>
      </w:r>
      <w:r w:rsidR="00011B50" w:rsidRPr="007E222B">
        <w:rPr>
          <w:rFonts w:ascii="Times New Roman" w:hAnsi="Times New Roman"/>
          <w:b/>
          <w:color w:val="000000"/>
        </w:rPr>
        <w:t>Vysavač,</w:t>
      </w:r>
      <w:r w:rsidR="00011B50">
        <w:rPr>
          <w:rFonts w:ascii="Times New Roman" w:hAnsi="Times New Roman"/>
          <w:color w:val="000000"/>
        </w:rPr>
        <w:t xml:space="preserve"> dne: </w:t>
      </w:r>
      <w:r w:rsidR="00011B50" w:rsidRPr="00C21739">
        <w:rPr>
          <w:rFonts w:ascii="Times New Roman" w:hAnsi="Times New Roman"/>
          <w:b/>
          <w:color w:val="000000"/>
        </w:rPr>
        <w:t>9. prosince 2016</w:t>
      </w:r>
      <w:r w:rsidR="00011B50">
        <w:rPr>
          <w:rFonts w:ascii="Times New Roman" w:hAnsi="Times New Roman"/>
          <w:color w:val="000000"/>
        </w:rPr>
        <w:t xml:space="preserve"> od: </w:t>
      </w:r>
      <w:r w:rsidR="00011B50" w:rsidRPr="00C21739">
        <w:rPr>
          <w:rFonts w:ascii="Times New Roman" w:hAnsi="Times New Roman"/>
          <w:b/>
          <w:color w:val="000000"/>
        </w:rPr>
        <w:t>19 hodin</w:t>
      </w:r>
      <w:r w:rsidR="00011B50">
        <w:rPr>
          <w:rFonts w:ascii="Times New Roman" w:hAnsi="Times New Roman"/>
          <w:color w:val="000000"/>
        </w:rPr>
        <w:t xml:space="preserve"> na scéně zajištěné Pořadatelem tj. </w:t>
      </w:r>
      <w:r w:rsidR="00011B50" w:rsidRPr="00C21739">
        <w:rPr>
          <w:rFonts w:ascii="Times New Roman" w:hAnsi="Times New Roman"/>
          <w:b/>
          <w:color w:val="000000"/>
        </w:rPr>
        <w:t>Městské divadlo v Mostě</w:t>
      </w:r>
      <w:r w:rsidR="00011B50">
        <w:rPr>
          <w:rFonts w:ascii="Times New Roman" w:hAnsi="Times New Roman"/>
          <w:color w:val="000000"/>
        </w:rPr>
        <w:t xml:space="preserve">, ulice: </w:t>
      </w:r>
      <w:r w:rsidR="00011B50" w:rsidRPr="00C21739">
        <w:rPr>
          <w:rFonts w:ascii="Times New Roman" w:hAnsi="Times New Roman"/>
          <w:b/>
          <w:color w:val="000000"/>
        </w:rPr>
        <w:t>Divadelní 15</w:t>
      </w:r>
      <w:r w:rsidR="00011B50">
        <w:rPr>
          <w:rFonts w:ascii="Times New Roman" w:hAnsi="Times New Roman"/>
          <w:color w:val="000000"/>
        </w:rPr>
        <w:t xml:space="preserve">, město: </w:t>
      </w:r>
      <w:r w:rsidR="00011B50" w:rsidRPr="00C21739">
        <w:rPr>
          <w:rFonts w:ascii="Times New Roman" w:hAnsi="Times New Roman"/>
          <w:b/>
          <w:color w:val="000000"/>
        </w:rPr>
        <w:t>Most</w:t>
      </w:r>
      <w:r w:rsidR="00011B50">
        <w:rPr>
          <w:rFonts w:ascii="Times New Roman" w:hAnsi="Times New Roman"/>
          <w:color w:val="000000"/>
        </w:rPr>
        <w:t>, PSČ: 434 01 (dále jen „</w:t>
      </w:r>
      <w:r w:rsidR="00011B50" w:rsidRPr="00253F0E">
        <w:rPr>
          <w:rFonts w:ascii="Times New Roman" w:hAnsi="Times New Roman"/>
          <w:b/>
          <w:color w:val="000000"/>
        </w:rPr>
        <w:t>představení</w:t>
      </w:r>
      <w:r w:rsidR="00011B50">
        <w:rPr>
          <w:rFonts w:ascii="Times New Roman" w:hAnsi="Times New Roman"/>
          <w:color w:val="000000"/>
        </w:rPr>
        <w:t>“).</w:t>
      </w:r>
    </w:p>
    <w:p w:rsidR="00253F0E" w:rsidRPr="004D4B12" w:rsidRDefault="00253F0E" w:rsidP="00011B50">
      <w:pPr>
        <w:pStyle w:val="Pa0"/>
        <w:ind w:left="360" w:hanging="360"/>
        <w:jc w:val="both"/>
      </w:pPr>
    </w:p>
    <w:p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rsidR="00253F0E" w:rsidRPr="003A020F" w:rsidRDefault="00253F0E" w:rsidP="00253F0E">
      <w:pPr>
        <w:pStyle w:val="Pa0"/>
        <w:ind w:left="360" w:hanging="360"/>
        <w:jc w:val="both"/>
        <w:rPr>
          <w:rFonts w:ascii="Times New Roman" w:hAnsi="Times New Roman"/>
          <w:color w:val="000000"/>
        </w:rPr>
      </w:pPr>
    </w:p>
    <w:p w:rsidR="004A2449" w:rsidRDefault="004A2449" w:rsidP="00694D20">
      <w:pPr>
        <w:pStyle w:val="Pa0"/>
        <w:ind w:left="360" w:hanging="360"/>
        <w:jc w:val="center"/>
        <w:rPr>
          <w:rFonts w:ascii="Times New Roman" w:hAnsi="Times New Roman"/>
          <w:color w:val="000000"/>
        </w:rPr>
      </w:pPr>
    </w:p>
    <w:p w:rsidR="0032501F" w:rsidRDefault="0032501F" w:rsidP="0032501F">
      <w:pPr>
        <w:rPr>
          <w:lang w:val="cs-CZ"/>
        </w:rPr>
      </w:pPr>
    </w:p>
    <w:p w:rsidR="0032501F" w:rsidRDefault="0032501F" w:rsidP="0032501F">
      <w:pPr>
        <w:rPr>
          <w:lang w:val="cs-CZ"/>
        </w:rPr>
      </w:pPr>
    </w:p>
    <w:p w:rsidR="0032501F" w:rsidRPr="0032501F" w:rsidRDefault="0032501F" w:rsidP="0032501F">
      <w:pPr>
        <w:rPr>
          <w:lang w:val="cs-CZ"/>
        </w:rPr>
      </w:pPr>
    </w:p>
    <w:p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rsidR="00253F0E" w:rsidRPr="003A020F" w:rsidRDefault="00253F0E" w:rsidP="00694D20">
      <w:pPr>
        <w:pStyle w:val="Pa0"/>
        <w:ind w:left="360" w:hanging="360"/>
        <w:jc w:val="both"/>
        <w:rPr>
          <w:rFonts w:ascii="Times New Roman" w:hAnsi="Times New Roman"/>
          <w:color w:val="000000"/>
        </w:rPr>
      </w:pPr>
    </w:p>
    <w:p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rsidR="00694D20" w:rsidRPr="003A020F" w:rsidRDefault="00694D20" w:rsidP="00694D20">
      <w:pPr>
        <w:pStyle w:val="Pa0"/>
        <w:ind w:left="360" w:hanging="360"/>
        <w:jc w:val="both"/>
        <w:rPr>
          <w:rFonts w:ascii="Times New Roman" w:hAnsi="Times New Roman"/>
          <w:color w:val="000000"/>
        </w:rPr>
      </w:pPr>
    </w:p>
    <w:p w:rsidR="00BB0910" w:rsidRPr="00694D20" w:rsidRDefault="00BB0910" w:rsidP="00BB0910">
      <w:pPr>
        <w:pStyle w:val="Pa0"/>
        <w:ind w:left="360"/>
        <w:jc w:val="both"/>
        <w:rPr>
          <w:rFonts w:ascii="Times New Roman" w:hAnsi="Times New Roman"/>
          <w:color w:val="000000"/>
        </w:rPr>
      </w:pPr>
      <w:r w:rsidRPr="00046FE3">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rsidR="00BB0910" w:rsidRDefault="00BB0910" w:rsidP="00BB0910">
      <w:pPr>
        <w:pStyle w:val="Pa0"/>
        <w:ind w:left="360" w:hanging="360"/>
        <w:jc w:val="both"/>
        <w:rPr>
          <w:rFonts w:ascii="Times New Roman" w:hAnsi="Times New Roman"/>
          <w:color w:val="000000"/>
        </w:rPr>
      </w:pP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rozměry</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r w:rsidRPr="00394114">
        <w:rPr>
          <w:color w:val="222222"/>
          <w:sz w:val="24"/>
          <w:szCs w:val="24"/>
          <w:lang w:eastAsia="cs-CZ"/>
        </w:rPr>
        <w:t xml:space="preserve"> – </w:t>
      </w:r>
      <w:proofErr w:type="spellStart"/>
      <w:r w:rsidRPr="00394114">
        <w:rPr>
          <w:color w:val="222222"/>
          <w:sz w:val="24"/>
          <w:szCs w:val="24"/>
          <w:lang w:eastAsia="cs-CZ"/>
        </w:rPr>
        <w:t>šířka</w:t>
      </w:r>
      <w:proofErr w:type="spellEnd"/>
      <w:r w:rsidRPr="00394114">
        <w:rPr>
          <w:color w:val="222222"/>
          <w:sz w:val="24"/>
          <w:szCs w:val="24"/>
          <w:lang w:eastAsia="cs-CZ"/>
        </w:rPr>
        <w:t xml:space="preserve">: min. 6 m, </w:t>
      </w:r>
      <w:proofErr w:type="spellStart"/>
      <w:r w:rsidRPr="00394114">
        <w:rPr>
          <w:color w:val="222222"/>
          <w:sz w:val="24"/>
          <w:szCs w:val="24"/>
          <w:lang w:eastAsia="cs-CZ"/>
        </w:rPr>
        <w:t>hloubka</w:t>
      </w:r>
      <w:proofErr w:type="spellEnd"/>
      <w:r w:rsidRPr="00394114">
        <w:rPr>
          <w:color w:val="222222"/>
          <w:sz w:val="24"/>
          <w:szCs w:val="24"/>
          <w:lang w:eastAsia="cs-CZ"/>
        </w:rPr>
        <w:t xml:space="preserve">: min. 6 m, </w:t>
      </w:r>
      <w:proofErr w:type="spellStart"/>
      <w:r w:rsidRPr="00394114">
        <w:rPr>
          <w:color w:val="222222"/>
          <w:sz w:val="24"/>
          <w:szCs w:val="24"/>
          <w:lang w:eastAsia="cs-CZ"/>
        </w:rPr>
        <w:t>výška</w:t>
      </w:r>
      <w:proofErr w:type="spellEnd"/>
      <w:r w:rsidRPr="00394114">
        <w:rPr>
          <w:color w:val="222222"/>
          <w:sz w:val="24"/>
          <w:szCs w:val="24"/>
          <w:lang w:eastAsia="cs-CZ"/>
        </w:rPr>
        <w:t>: min. 4 m</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černé</w:t>
      </w:r>
      <w:proofErr w:type="spellEnd"/>
      <w:r w:rsidRPr="00394114">
        <w:rPr>
          <w:color w:val="222222"/>
          <w:sz w:val="24"/>
          <w:szCs w:val="24"/>
          <w:lang w:eastAsia="cs-CZ"/>
        </w:rPr>
        <w:t xml:space="preserve"> </w:t>
      </w:r>
      <w:proofErr w:type="spellStart"/>
      <w:r w:rsidRPr="00394114">
        <w:rPr>
          <w:color w:val="222222"/>
          <w:sz w:val="24"/>
          <w:szCs w:val="24"/>
          <w:lang w:eastAsia="cs-CZ"/>
        </w:rPr>
        <w:t>vykrytí</w:t>
      </w:r>
      <w:proofErr w:type="spellEnd"/>
      <w:r w:rsidRPr="00394114">
        <w:rPr>
          <w:color w:val="222222"/>
          <w:sz w:val="24"/>
          <w:szCs w:val="24"/>
          <w:lang w:eastAsia="cs-CZ"/>
        </w:rPr>
        <w:t xml:space="preserve"> a </w:t>
      </w:r>
      <w:proofErr w:type="spellStart"/>
      <w:r w:rsidRPr="00394114">
        <w:rPr>
          <w:color w:val="222222"/>
          <w:sz w:val="24"/>
          <w:szCs w:val="24"/>
          <w:lang w:eastAsia="cs-CZ"/>
        </w:rPr>
        <w:t>černý</w:t>
      </w:r>
      <w:proofErr w:type="spellEnd"/>
      <w:r w:rsidRPr="00394114">
        <w:rPr>
          <w:color w:val="222222"/>
          <w:sz w:val="24"/>
          <w:szCs w:val="24"/>
          <w:lang w:eastAsia="cs-CZ"/>
        </w:rPr>
        <w:t xml:space="preserve"> </w:t>
      </w:r>
      <w:proofErr w:type="spellStart"/>
      <w:r w:rsidRPr="00394114">
        <w:rPr>
          <w:color w:val="222222"/>
          <w:sz w:val="24"/>
          <w:szCs w:val="24"/>
          <w:lang w:eastAsia="cs-CZ"/>
        </w:rPr>
        <w:t>horizont</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inputlist</w:t>
      </w:r>
      <w:proofErr w:type="spellEnd"/>
      <w:r w:rsidRPr="00394114">
        <w:rPr>
          <w:color w:val="222222"/>
          <w:sz w:val="24"/>
          <w:szCs w:val="24"/>
          <w:lang w:eastAsia="cs-CZ"/>
        </w:rPr>
        <w:t>: 2x jack PC (1x stereo)</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přední</w:t>
      </w:r>
      <w:proofErr w:type="spellEnd"/>
      <w:r w:rsidRPr="00394114">
        <w:rPr>
          <w:color w:val="222222"/>
          <w:sz w:val="24"/>
          <w:szCs w:val="24"/>
          <w:lang w:eastAsia="cs-CZ"/>
        </w:rPr>
        <w:t xml:space="preserve"> </w:t>
      </w:r>
      <w:proofErr w:type="spellStart"/>
      <w:r w:rsidRPr="00394114">
        <w:rPr>
          <w:color w:val="222222"/>
          <w:sz w:val="24"/>
          <w:szCs w:val="24"/>
          <w:lang w:eastAsia="cs-CZ"/>
        </w:rPr>
        <w:t>reproduktory</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přímý</w:t>
      </w:r>
      <w:proofErr w:type="spellEnd"/>
      <w:r w:rsidRPr="00394114">
        <w:rPr>
          <w:color w:val="222222"/>
          <w:sz w:val="24"/>
          <w:szCs w:val="24"/>
          <w:lang w:eastAsia="cs-CZ"/>
        </w:rPr>
        <w:t xml:space="preserve"> </w:t>
      </w:r>
      <w:proofErr w:type="spellStart"/>
      <w:r w:rsidRPr="00394114">
        <w:rPr>
          <w:color w:val="222222"/>
          <w:sz w:val="24"/>
          <w:szCs w:val="24"/>
          <w:lang w:eastAsia="cs-CZ"/>
        </w:rPr>
        <w:t>odposlech</w:t>
      </w:r>
      <w:proofErr w:type="spellEnd"/>
      <w:r w:rsidRPr="00394114">
        <w:rPr>
          <w:color w:val="222222"/>
          <w:sz w:val="24"/>
          <w:szCs w:val="24"/>
          <w:lang w:eastAsia="cs-CZ"/>
        </w:rPr>
        <w:t xml:space="preserve"> </w:t>
      </w:r>
      <w:proofErr w:type="spellStart"/>
      <w:r w:rsidRPr="00394114">
        <w:rPr>
          <w:color w:val="222222"/>
          <w:sz w:val="24"/>
          <w:szCs w:val="24"/>
          <w:lang w:eastAsia="cs-CZ"/>
        </w:rPr>
        <w:t>zvuku</w:t>
      </w:r>
      <w:proofErr w:type="spellEnd"/>
      <w:r w:rsidRPr="00394114">
        <w:rPr>
          <w:color w:val="222222"/>
          <w:sz w:val="24"/>
          <w:szCs w:val="24"/>
          <w:lang w:eastAsia="cs-CZ"/>
        </w:rPr>
        <w:t xml:space="preserve"> v </w:t>
      </w:r>
      <w:proofErr w:type="spellStart"/>
      <w:r w:rsidRPr="00394114">
        <w:rPr>
          <w:color w:val="222222"/>
          <w:sz w:val="24"/>
          <w:szCs w:val="24"/>
          <w:lang w:eastAsia="cs-CZ"/>
        </w:rPr>
        <w:t>kabině</w:t>
      </w:r>
      <w:proofErr w:type="spellEnd"/>
      <w:r w:rsidRPr="00394114">
        <w:rPr>
          <w:color w:val="222222"/>
          <w:sz w:val="24"/>
          <w:szCs w:val="24"/>
          <w:lang w:eastAsia="cs-CZ"/>
        </w:rPr>
        <w:t xml:space="preserve"> a </w:t>
      </w:r>
      <w:proofErr w:type="spellStart"/>
      <w:r w:rsidRPr="00394114">
        <w:rPr>
          <w:color w:val="222222"/>
          <w:sz w:val="24"/>
          <w:szCs w:val="24"/>
          <w:lang w:eastAsia="cs-CZ"/>
        </w:rPr>
        <w:t>volný</w:t>
      </w:r>
      <w:proofErr w:type="spellEnd"/>
      <w:r w:rsidRPr="00394114">
        <w:rPr>
          <w:color w:val="222222"/>
          <w:sz w:val="24"/>
          <w:szCs w:val="24"/>
          <w:lang w:eastAsia="cs-CZ"/>
        </w:rPr>
        <w:t xml:space="preserve"> </w:t>
      </w:r>
      <w:proofErr w:type="spellStart"/>
      <w:r w:rsidRPr="00394114">
        <w:rPr>
          <w:color w:val="222222"/>
          <w:sz w:val="24"/>
          <w:szCs w:val="24"/>
          <w:lang w:eastAsia="cs-CZ"/>
        </w:rPr>
        <w:t>výhled</w:t>
      </w:r>
      <w:proofErr w:type="spellEnd"/>
      <w:r w:rsidRPr="00394114">
        <w:rPr>
          <w:color w:val="222222"/>
          <w:sz w:val="24"/>
          <w:szCs w:val="24"/>
          <w:lang w:eastAsia="cs-CZ"/>
        </w:rPr>
        <w:t xml:space="preserve"> z </w:t>
      </w:r>
      <w:proofErr w:type="spellStart"/>
      <w:r w:rsidRPr="00394114">
        <w:rPr>
          <w:color w:val="222222"/>
          <w:sz w:val="24"/>
          <w:szCs w:val="24"/>
          <w:lang w:eastAsia="cs-CZ"/>
        </w:rPr>
        <w:t>kabiny</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digitální</w:t>
      </w:r>
      <w:proofErr w:type="spellEnd"/>
      <w:r w:rsidRPr="00394114">
        <w:rPr>
          <w:color w:val="222222"/>
          <w:sz w:val="24"/>
          <w:szCs w:val="24"/>
          <w:lang w:eastAsia="cs-CZ"/>
        </w:rPr>
        <w:t xml:space="preserve"> </w:t>
      </w:r>
      <w:proofErr w:type="spellStart"/>
      <w:r w:rsidRPr="00394114">
        <w:rPr>
          <w:color w:val="222222"/>
          <w:sz w:val="24"/>
          <w:szCs w:val="24"/>
          <w:lang w:eastAsia="cs-CZ"/>
        </w:rPr>
        <w:t>osvětlovací</w:t>
      </w:r>
      <w:proofErr w:type="spellEnd"/>
      <w:r w:rsidRPr="00394114">
        <w:rPr>
          <w:color w:val="222222"/>
          <w:sz w:val="24"/>
          <w:szCs w:val="24"/>
          <w:lang w:eastAsia="cs-CZ"/>
        </w:rPr>
        <w:t xml:space="preserve"> </w:t>
      </w:r>
      <w:proofErr w:type="spellStart"/>
      <w:r w:rsidRPr="00394114">
        <w:rPr>
          <w:color w:val="222222"/>
          <w:sz w:val="24"/>
          <w:szCs w:val="24"/>
          <w:lang w:eastAsia="cs-CZ"/>
        </w:rPr>
        <w:t>pult</w:t>
      </w:r>
      <w:proofErr w:type="spellEnd"/>
      <w:r w:rsidRPr="00394114">
        <w:rPr>
          <w:color w:val="222222"/>
          <w:sz w:val="24"/>
          <w:szCs w:val="24"/>
          <w:lang w:eastAsia="cs-CZ"/>
        </w:rPr>
        <w:t xml:space="preserve"> (min. 12 </w:t>
      </w:r>
      <w:proofErr w:type="spellStart"/>
      <w:r w:rsidRPr="00394114">
        <w:rPr>
          <w:color w:val="222222"/>
          <w:sz w:val="24"/>
          <w:szCs w:val="24"/>
          <w:lang w:eastAsia="cs-CZ"/>
        </w:rPr>
        <w:t>submasterů</w:t>
      </w:r>
      <w:proofErr w:type="spellEnd"/>
      <w:r w:rsidRPr="00394114">
        <w:rPr>
          <w:color w:val="222222"/>
          <w:sz w:val="24"/>
          <w:szCs w:val="24"/>
          <w:lang w:eastAsia="cs-CZ"/>
        </w:rPr>
        <w:t>)</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 xml:space="preserve">min. 12 </w:t>
      </w:r>
      <w:proofErr w:type="spellStart"/>
      <w:r w:rsidRPr="00394114">
        <w:rPr>
          <w:color w:val="222222"/>
          <w:sz w:val="24"/>
          <w:szCs w:val="24"/>
          <w:lang w:eastAsia="cs-CZ"/>
        </w:rPr>
        <w:t>předních</w:t>
      </w:r>
      <w:proofErr w:type="spellEnd"/>
      <w:r w:rsidRPr="00394114">
        <w:rPr>
          <w:color w:val="222222"/>
          <w:sz w:val="24"/>
          <w:szCs w:val="24"/>
          <w:lang w:eastAsia="cs-CZ"/>
        </w:rPr>
        <w:t xml:space="preserve"> </w:t>
      </w:r>
      <w:proofErr w:type="spellStart"/>
      <w:r w:rsidRPr="00394114">
        <w:rPr>
          <w:color w:val="222222"/>
          <w:sz w:val="24"/>
          <w:szCs w:val="24"/>
          <w:lang w:eastAsia="cs-CZ"/>
        </w:rPr>
        <w:t>reflektorů</w:t>
      </w:r>
      <w:proofErr w:type="spellEnd"/>
      <w:r w:rsidRPr="00394114">
        <w:rPr>
          <w:color w:val="222222"/>
          <w:sz w:val="24"/>
          <w:szCs w:val="24"/>
          <w:lang w:eastAsia="cs-CZ"/>
        </w:rPr>
        <w:t xml:space="preserve"> a min. 4 </w:t>
      </w:r>
      <w:proofErr w:type="spellStart"/>
      <w:r w:rsidRPr="00394114">
        <w:rPr>
          <w:color w:val="222222"/>
          <w:sz w:val="24"/>
          <w:szCs w:val="24"/>
          <w:lang w:eastAsia="cs-CZ"/>
        </w:rPr>
        <w:t>reflektory</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jevišti</w:t>
      </w:r>
      <w:proofErr w:type="spellEnd"/>
      <w:r w:rsidRPr="00394114">
        <w:rPr>
          <w:color w:val="222222"/>
          <w:sz w:val="24"/>
          <w:szCs w:val="24"/>
          <w:lang w:eastAsia="cs-CZ"/>
        </w:rPr>
        <w:t xml:space="preserve"> (</w:t>
      </w:r>
      <w:proofErr w:type="spellStart"/>
      <w:r w:rsidRPr="00394114">
        <w:rPr>
          <w:color w:val="222222"/>
          <w:sz w:val="24"/>
          <w:szCs w:val="24"/>
          <w:lang w:eastAsia="cs-CZ"/>
        </w:rPr>
        <w:t>portály</w:t>
      </w:r>
      <w:proofErr w:type="spellEnd"/>
      <w:r w:rsidRPr="00394114">
        <w:rPr>
          <w:color w:val="222222"/>
          <w:sz w:val="24"/>
          <w:szCs w:val="24"/>
          <w:lang w:eastAsia="cs-CZ"/>
        </w:rPr>
        <w:t xml:space="preserve">) </w:t>
      </w:r>
      <w:proofErr w:type="spellStart"/>
      <w:r w:rsidRPr="00394114">
        <w:rPr>
          <w:color w:val="222222"/>
          <w:sz w:val="24"/>
          <w:szCs w:val="24"/>
          <w:lang w:eastAsia="cs-CZ"/>
        </w:rPr>
        <w:t>typu</w:t>
      </w:r>
      <w:proofErr w:type="spellEnd"/>
      <w:r w:rsidRPr="00394114">
        <w:rPr>
          <w:color w:val="222222"/>
          <w:sz w:val="24"/>
          <w:szCs w:val="24"/>
          <w:lang w:eastAsia="cs-CZ"/>
        </w:rPr>
        <w:t xml:space="preserve"> PC o </w:t>
      </w:r>
      <w:proofErr w:type="spellStart"/>
      <w:r w:rsidRPr="00394114">
        <w:rPr>
          <w:color w:val="222222"/>
          <w:sz w:val="24"/>
          <w:szCs w:val="24"/>
          <w:lang w:eastAsia="cs-CZ"/>
        </w:rPr>
        <w:t>výkonu</w:t>
      </w:r>
      <w:proofErr w:type="spellEnd"/>
      <w:r w:rsidRPr="00394114">
        <w:rPr>
          <w:color w:val="222222"/>
          <w:sz w:val="24"/>
          <w:szCs w:val="24"/>
          <w:lang w:eastAsia="cs-CZ"/>
        </w:rPr>
        <w:t xml:space="preserve"> 1kW</w:t>
      </w:r>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možnost</w:t>
      </w:r>
      <w:proofErr w:type="spellEnd"/>
      <w:r w:rsidRPr="00394114">
        <w:rPr>
          <w:color w:val="222222"/>
          <w:sz w:val="24"/>
          <w:szCs w:val="24"/>
          <w:lang w:eastAsia="cs-CZ"/>
        </w:rPr>
        <w:t xml:space="preserve"> </w:t>
      </w:r>
      <w:proofErr w:type="spellStart"/>
      <w:r w:rsidRPr="00394114">
        <w:rPr>
          <w:color w:val="222222"/>
          <w:sz w:val="24"/>
          <w:szCs w:val="24"/>
          <w:lang w:eastAsia="cs-CZ"/>
        </w:rPr>
        <w:t>stmívání</w:t>
      </w:r>
      <w:proofErr w:type="spellEnd"/>
      <w:r w:rsidRPr="00394114">
        <w:rPr>
          <w:color w:val="222222"/>
          <w:sz w:val="24"/>
          <w:szCs w:val="24"/>
          <w:lang w:eastAsia="cs-CZ"/>
        </w:rPr>
        <w:t xml:space="preserve"> </w:t>
      </w:r>
      <w:proofErr w:type="spellStart"/>
      <w:r w:rsidRPr="00394114">
        <w:rPr>
          <w:color w:val="222222"/>
          <w:sz w:val="24"/>
          <w:szCs w:val="24"/>
          <w:lang w:eastAsia="cs-CZ"/>
        </w:rPr>
        <w:t>sálu</w:t>
      </w:r>
      <w:proofErr w:type="spellEnd"/>
      <w:r w:rsidRPr="00394114">
        <w:rPr>
          <w:color w:val="222222"/>
          <w:sz w:val="24"/>
          <w:szCs w:val="24"/>
          <w:lang w:eastAsia="cs-CZ"/>
        </w:rPr>
        <w:t xml:space="preserve"> z </w:t>
      </w:r>
      <w:proofErr w:type="spellStart"/>
      <w:r w:rsidRPr="00394114">
        <w:rPr>
          <w:color w:val="222222"/>
          <w:sz w:val="24"/>
          <w:szCs w:val="24"/>
          <w:lang w:eastAsia="cs-CZ"/>
        </w:rPr>
        <w:t>kabiny</w:t>
      </w:r>
      <w:proofErr w:type="spellEnd"/>
      <w:r w:rsidRPr="00394114">
        <w:rPr>
          <w:color w:val="222222"/>
          <w:sz w:val="24"/>
          <w:szCs w:val="24"/>
          <w:lang w:eastAsia="cs-CZ"/>
        </w:rPr>
        <w:t xml:space="preserve"> </w:t>
      </w:r>
      <w:proofErr w:type="spellStart"/>
      <w:r w:rsidRPr="00394114">
        <w:rPr>
          <w:color w:val="222222"/>
          <w:sz w:val="24"/>
          <w:szCs w:val="24"/>
          <w:lang w:eastAsia="cs-CZ"/>
        </w:rPr>
        <w:t>osvětlovače</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r w:rsidRPr="00394114">
        <w:rPr>
          <w:color w:val="222222"/>
          <w:sz w:val="24"/>
          <w:szCs w:val="24"/>
          <w:lang w:eastAsia="cs-CZ"/>
        </w:rPr>
        <w:t xml:space="preserve">1 </w:t>
      </w:r>
      <w:proofErr w:type="spellStart"/>
      <w:r w:rsidRPr="00394114">
        <w:rPr>
          <w:color w:val="222222"/>
          <w:sz w:val="24"/>
          <w:szCs w:val="24"/>
          <w:lang w:eastAsia="cs-CZ"/>
        </w:rPr>
        <w:t>pevná</w:t>
      </w:r>
      <w:proofErr w:type="spellEnd"/>
      <w:r w:rsidRPr="00394114">
        <w:rPr>
          <w:color w:val="222222"/>
          <w:sz w:val="24"/>
          <w:szCs w:val="24"/>
          <w:lang w:eastAsia="cs-CZ"/>
        </w:rPr>
        <w:t xml:space="preserve"> </w:t>
      </w:r>
      <w:proofErr w:type="spellStart"/>
      <w:r w:rsidRPr="00394114">
        <w:rPr>
          <w:color w:val="222222"/>
          <w:sz w:val="24"/>
          <w:szCs w:val="24"/>
          <w:lang w:eastAsia="cs-CZ"/>
        </w:rPr>
        <w:t>zásuvka</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pravé</w:t>
      </w:r>
      <w:proofErr w:type="spellEnd"/>
      <w:r w:rsidRPr="00394114">
        <w:rPr>
          <w:color w:val="222222"/>
          <w:sz w:val="24"/>
          <w:szCs w:val="24"/>
          <w:lang w:eastAsia="cs-CZ"/>
        </w:rPr>
        <w:t xml:space="preserve"> </w:t>
      </w:r>
      <w:proofErr w:type="spellStart"/>
      <w:r w:rsidRPr="00394114">
        <w:rPr>
          <w:color w:val="222222"/>
          <w:sz w:val="24"/>
          <w:szCs w:val="24"/>
          <w:lang w:eastAsia="cs-CZ"/>
        </w:rPr>
        <w:t>straně</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p>
    <w:p w:rsidR="00BB0910" w:rsidRPr="00394114" w:rsidRDefault="00BB0910" w:rsidP="00BB0910">
      <w:pPr>
        <w:pStyle w:val="Odstavecseseznamem"/>
        <w:numPr>
          <w:ilvl w:val="0"/>
          <w:numId w:val="19"/>
        </w:numPr>
        <w:shd w:val="clear" w:color="auto" w:fill="FFFFFF"/>
        <w:suppressAutoHyphens w:val="0"/>
        <w:contextualSpacing/>
        <w:rPr>
          <w:color w:val="222222"/>
          <w:sz w:val="24"/>
          <w:szCs w:val="24"/>
          <w:lang w:eastAsia="cs-CZ"/>
        </w:rPr>
      </w:pPr>
      <w:proofErr w:type="spellStart"/>
      <w:r w:rsidRPr="00394114">
        <w:rPr>
          <w:color w:val="222222"/>
          <w:sz w:val="24"/>
          <w:szCs w:val="24"/>
          <w:lang w:eastAsia="cs-CZ"/>
        </w:rPr>
        <w:t>osvětlovací</w:t>
      </w:r>
      <w:proofErr w:type="spellEnd"/>
      <w:r w:rsidRPr="00394114">
        <w:rPr>
          <w:color w:val="222222"/>
          <w:sz w:val="24"/>
          <w:szCs w:val="24"/>
          <w:lang w:eastAsia="cs-CZ"/>
        </w:rPr>
        <w:t xml:space="preserve"> </w:t>
      </w:r>
      <w:proofErr w:type="spellStart"/>
      <w:r w:rsidRPr="00394114">
        <w:rPr>
          <w:color w:val="222222"/>
          <w:sz w:val="24"/>
          <w:szCs w:val="24"/>
          <w:lang w:eastAsia="cs-CZ"/>
        </w:rPr>
        <w:t>kabina</w:t>
      </w:r>
      <w:proofErr w:type="spellEnd"/>
      <w:r w:rsidRPr="00394114">
        <w:rPr>
          <w:color w:val="222222"/>
          <w:sz w:val="24"/>
          <w:szCs w:val="24"/>
          <w:lang w:eastAsia="cs-CZ"/>
        </w:rPr>
        <w:t xml:space="preserve"> </w:t>
      </w:r>
      <w:proofErr w:type="spellStart"/>
      <w:r w:rsidRPr="00394114">
        <w:rPr>
          <w:color w:val="222222"/>
          <w:sz w:val="24"/>
          <w:szCs w:val="24"/>
          <w:lang w:eastAsia="cs-CZ"/>
        </w:rPr>
        <w:t>umístěná</w:t>
      </w:r>
      <w:proofErr w:type="spellEnd"/>
      <w:r w:rsidRPr="00394114">
        <w:rPr>
          <w:color w:val="222222"/>
          <w:sz w:val="24"/>
          <w:szCs w:val="24"/>
          <w:lang w:eastAsia="cs-CZ"/>
        </w:rPr>
        <w:t xml:space="preserve"> </w:t>
      </w:r>
      <w:proofErr w:type="spellStart"/>
      <w:r w:rsidRPr="00394114">
        <w:rPr>
          <w:color w:val="222222"/>
          <w:sz w:val="24"/>
          <w:szCs w:val="24"/>
          <w:lang w:eastAsia="cs-CZ"/>
        </w:rPr>
        <w:t>před</w:t>
      </w:r>
      <w:proofErr w:type="spellEnd"/>
      <w:r w:rsidRPr="00394114">
        <w:rPr>
          <w:color w:val="222222"/>
          <w:sz w:val="24"/>
          <w:szCs w:val="24"/>
          <w:lang w:eastAsia="cs-CZ"/>
        </w:rPr>
        <w:t xml:space="preserve"> </w:t>
      </w:r>
      <w:proofErr w:type="spellStart"/>
      <w:r w:rsidRPr="00394114">
        <w:rPr>
          <w:color w:val="222222"/>
          <w:sz w:val="24"/>
          <w:szCs w:val="24"/>
          <w:lang w:eastAsia="cs-CZ"/>
        </w:rPr>
        <w:t>jevištěm</w:t>
      </w:r>
      <w:proofErr w:type="spellEnd"/>
      <w:r w:rsidRPr="00394114">
        <w:rPr>
          <w:color w:val="222222"/>
          <w:sz w:val="24"/>
          <w:szCs w:val="24"/>
          <w:lang w:eastAsia="cs-CZ"/>
        </w:rPr>
        <w:t xml:space="preserve"> s </w:t>
      </w:r>
      <w:proofErr w:type="spellStart"/>
      <w:r w:rsidRPr="00394114">
        <w:rPr>
          <w:color w:val="222222"/>
          <w:sz w:val="24"/>
          <w:szCs w:val="24"/>
          <w:lang w:eastAsia="cs-CZ"/>
        </w:rPr>
        <w:t>přímým</w:t>
      </w:r>
      <w:proofErr w:type="spellEnd"/>
      <w:r w:rsidRPr="00394114">
        <w:rPr>
          <w:color w:val="222222"/>
          <w:sz w:val="24"/>
          <w:szCs w:val="24"/>
          <w:lang w:eastAsia="cs-CZ"/>
        </w:rPr>
        <w:t xml:space="preserve"> </w:t>
      </w:r>
      <w:proofErr w:type="spellStart"/>
      <w:r w:rsidRPr="00394114">
        <w:rPr>
          <w:color w:val="222222"/>
          <w:sz w:val="24"/>
          <w:szCs w:val="24"/>
          <w:lang w:eastAsia="cs-CZ"/>
        </w:rPr>
        <w:t>výhledem</w:t>
      </w:r>
      <w:proofErr w:type="spellEnd"/>
      <w:r w:rsidRPr="00394114">
        <w:rPr>
          <w:color w:val="222222"/>
          <w:sz w:val="24"/>
          <w:szCs w:val="24"/>
          <w:lang w:eastAsia="cs-CZ"/>
        </w:rPr>
        <w:t xml:space="preserve"> </w:t>
      </w:r>
      <w:proofErr w:type="spellStart"/>
      <w:r w:rsidRPr="00394114">
        <w:rPr>
          <w:color w:val="222222"/>
          <w:sz w:val="24"/>
          <w:szCs w:val="24"/>
          <w:lang w:eastAsia="cs-CZ"/>
        </w:rPr>
        <w:t>na</w:t>
      </w:r>
      <w:proofErr w:type="spellEnd"/>
      <w:r w:rsidRPr="00394114">
        <w:rPr>
          <w:color w:val="222222"/>
          <w:sz w:val="24"/>
          <w:szCs w:val="24"/>
          <w:lang w:eastAsia="cs-CZ"/>
        </w:rPr>
        <w:t xml:space="preserve"> </w:t>
      </w:r>
      <w:proofErr w:type="spellStart"/>
      <w:r w:rsidRPr="00394114">
        <w:rPr>
          <w:color w:val="222222"/>
          <w:sz w:val="24"/>
          <w:szCs w:val="24"/>
          <w:lang w:eastAsia="cs-CZ"/>
        </w:rPr>
        <w:t>jeviště</w:t>
      </w:r>
      <w:proofErr w:type="spellEnd"/>
    </w:p>
    <w:p w:rsidR="00BB0910" w:rsidRPr="00FA2424" w:rsidRDefault="00BB0910" w:rsidP="00BB0910">
      <w:pPr>
        <w:pStyle w:val="Pa0"/>
        <w:ind w:left="360"/>
        <w:jc w:val="both"/>
        <w:rPr>
          <w:rFonts w:ascii="Times New Roman" w:hAnsi="Times New Roman"/>
          <w:b/>
          <w:color w:val="000000"/>
        </w:rPr>
      </w:pPr>
    </w:p>
    <w:p w:rsidR="00BB0910" w:rsidRPr="00FA2424" w:rsidRDefault="00BB0910" w:rsidP="00BB091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rsidR="00BB0910" w:rsidRPr="00FA2424" w:rsidRDefault="00BB0910" w:rsidP="00BB0910">
      <w:pPr>
        <w:ind w:left="720"/>
      </w:pPr>
    </w:p>
    <w:p w:rsidR="00BB0910" w:rsidRPr="00394114" w:rsidRDefault="00BB0910" w:rsidP="00BB0910">
      <w:pPr>
        <w:pStyle w:val="Pa0"/>
        <w:ind w:left="360"/>
        <w:jc w:val="both"/>
        <w:rPr>
          <w:rFonts w:ascii="Times New Roman" w:hAnsi="Times New Roman"/>
          <w:color w:val="000000"/>
        </w:rPr>
      </w:pPr>
      <w:r>
        <w:rPr>
          <w:rFonts w:ascii="Times New Roman" w:hAnsi="Times New Roman"/>
          <w:color w:val="000000"/>
        </w:rPr>
        <w:t>-</w:t>
      </w:r>
      <w:r>
        <w:rPr>
          <w:rFonts w:ascii="Times New Roman" w:hAnsi="Times New Roman"/>
          <w:color w:val="000000"/>
        </w:rPr>
        <w:tab/>
      </w:r>
      <w:r w:rsidRPr="00394114">
        <w:rPr>
          <w:rFonts w:ascii="Times New Roman" w:hAnsi="Times New Roman"/>
          <w:color w:val="000000"/>
        </w:rPr>
        <w:t>volné jeviště v den konání představení 2 hodiny před představením</w:t>
      </w:r>
    </w:p>
    <w:p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pomoc při vykládání a nakládání techniky a dekorací</w:t>
      </w:r>
    </w:p>
    <w:p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přítomnost jevištního mistra, osvětlovače a zvukaře při přípravě, realizaci a bourání představení (délka stavby 2 </w:t>
      </w:r>
      <w:r>
        <w:rPr>
          <w:rFonts w:ascii="Times New Roman" w:hAnsi="Times New Roman"/>
          <w:color w:val="000000"/>
        </w:rPr>
        <w:t>h</w:t>
      </w:r>
      <w:r w:rsidRPr="00394114">
        <w:rPr>
          <w:rFonts w:ascii="Times New Roman" w:hAnsi="Times New Roman"/>
          <w:color w:val="000000"/>
        </w:rPr>
        <w:t>, délka představení: 105 min. bez přestávky, délka bourání: 1</w:t>
      </w:r>
      <w:r>
        <w:rPr>
          <w:rFonts w:ascii="Times New Roman" w:hAnsi="Times New Roman"/>
          <w:color w:val="000000"/>
        </w:rPr>
        <w:t xml:space="preserve"> </w:t>
      </w:r>
      <w:r w:rsidRPr="00394114">
        <w:rPr>
          <w:rFonts w:ascii="Times New Roman" w:hAnsi="Times New Roman"/>
          <w:color w:val="000000"/>
        </w:rPr>
        <w:t>h)</w:t>
      </w:r>
    </w:p>
    <w:p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uzamykatelné šatny  -  1x pánská</w:t>
      </w:r>
      <w:r>
        <w:rPr>
          <w:rFonts w:ascii="Times New Roman" w:hAnsi="Times New Roman"/>
          <w:color w:val="000000"/>
        </w:rPr>
        <w:t xml:space="preserve"> + sprcha</w:t>
      </w:r>
      <w:r w:rsidRPr="00394114">
        <w:rPr>
          <w:rFonts w:ascii="Times New Roman" w:hAnsi="Times New Roman"/>
          <w:color w:val="000000"/>
        </w:rPr>
        <w:t xml:space="preserve">, 1x dámská, 1x uzamykatelná technická místnost </w:t>
      </w:r>
    </w:p>
    <w:p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6 volných vstupenek v předních řadách pro potřeby Divadla, rezervovat na pokladně na „Studio DVA“ </w:t>
      </w:r>
    </w:p>
    <w:p w:rsidR="00BB0910" w:rsidRDefault="00BB0910" w:rsidP="00BB0910">
      <w:pPr>
        <w:pStyle w:val="Pa0"/>
        <w:ind w:left="708" w:hanging="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v blízkosti místa konání představení max. 200</w:t>
      </w:r>
      <w:r>
        <w:rPr>
          <w:rFonts w:ascii="Times New Roman" w:hAnsi="Times New Roman"/>
          <w:color w:val="000000"/>
        </w:rPr>
        <w:t xml:space="preserve"> </w:t>
      </w:r>
      <w:r w:rsidRPr="00394114">
        <w:rPr>
          <w:rFonts w:ascii="Times New Roman" w:hAnsi="Times New Roman"/>
          <w:color w:val="000000"/>
        </w:rPr>
        <w:t>m parkovací místa pro vozy dopravců</w:t>
      </w:r>
    </w:p>
    <w:p w:rsidR="00BB0910" w:rsidRDefault="00BB0910" w:rsidP="00BB0910">
      <w:pPr>
        <w:pStyle w:val="Pa0"/>
        <w:ind w:left="708" w:hanging="360"/>
        <w:jc w:val="both"/>
        <w:rPr>
          <w:rFonts w:ascii="Times New Roman" w:hAnsi="Times New Roman"/>
          <w:color w:val="000000"/>
        </w:rPr>
      </w:pPr>
    </w:p>
    <w:p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rsidR="00E000D0" w:rsidRPr="003A020F" w:rsidRDefault="00E000D0" w:rsidP="00E000D0">
      <w:pPr>
        <w:pStyle w:val="Pa0"/>
        <w:jc w:val="both"/>
        <w:rPr>
          <w:rFonts w:ascii="Times New Roman" w:hAnsi="Times New Roman"/>
          <w:color w:val="000000"/>
        </w:rPr>
      </w:pPr>
    </w:p>
    <w:p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rsidR="005900B8" w:rsidRDefault="005900B8" w:rsidP="005900B8"/>
    <w:p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registru </w:t>
      </w:r>
      <w:r w:rsidR="005900B8" w:rsidRPr="005900B8">
        <w:rPr>
          <w:rFonts w:ascii="Times New Roman" w:hAnsi="Times New Roman"/>
          <w:color w:val="000000"/>
        </w:rPr>
        <w:t xml:space="preserve"> </w:t>
      </w:r>
      <w:r w:rsidRPr="003A020F">
        <w:rPr>
          <w:rFonts w:ascii="Times New Roman" w:hAnsi="Times New Roman"/>
          <w:color w:val="000000"/>
        </w:rPr>
        <w:t xml:space="preserve">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rsidR="00FA2424" w:rsidRPr="004D4B12" w:rsidRDefault="00FA2424" w:rsidP="00FA2424">
      <w:pPr>
        <w:rPr>
          <w:lang w:val="cs-CZ"/>
        </w:rPr>
      </w:pPr>
    </w:p>
    <w:p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III</w:t>
      </w:r>
    </w:p>
    <w:p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rsidR="00FA2424" w:rsidRPr="003A020F" w:rsidRDefault="00FA2424" w:rsidP="00FA2424">
      <w:pPr>
        <w:pStyle w:val="Pa0"/>
        <w:ind w:left="360" w:hanging="360"/>
        <w:jc w:val="center"/>
        <w:rPr>
          <w:rFonts w:ascii="Times New Roman" w:hAnsi="Times New Roman"/>
          <w:color w:val="000000"/>
        </w:rPr>
      </w:pPr>
    </w:p>
    <w:p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zavazuje Divadlu uhradit částku</w:t>
      </w:r>
      <w:r w:rsidR="00326206">
        <w:rPr>
          <w:rFonts w:ascii="Times New Roman" w:hAnsi="Times New Roman"/>
          <w:color w:val="000000"/>
        </w:rPr>
        <w:t xml:space="preserve">         </w:t>
      </w:r>
      <w:r w:rsidR="00011B50" w:rsidRPr="00394114">
        <w:rPr>
          <w:rFonts w:ascii="Times New Roman" w:hAnsi="Times New Roman"/>
          <w:b/>
          <w:color w:val="000000"/>
        </w:rPr>
        <w:t>,- Kč</w:t>
      </w:r>
      <w:r w:rsidR="00011B50" w:rsidRPr="00FA2424">
        <w:rPr>
          <w:rFonts w:ascii="Times New Roman" w:hAnsi="Times New Roman"/>
          <w:color w:val="000000"/>
        </w:rPr>
        <w:t xml:space="preserve"> (</w:t>
      </w:r>
      <w:r w:rsidR="00011B50" w:rsidRPr="00FA2424">
        <w:rPr>
          <w:rFonts w:ascii="Times New Roman" w:hAnsi="Times New Roman"/>
          <w:i/>
          <w:color w:val="000000"/>
        </w:rPr>
        <w:t xml:space="preserve">slovy: </w:t>
      </w:r>
      <w:r w:rsidR="00326206">
        <w:rPr>
          <w:rFonts w:ascii="Times New Roman" w:hAnsi="Times New Roman"/>
          <w:i/>
          <w:color w:val="000000"/>
        </w:rPr>
        <w:t xml:space="preserve">               </w:t>
      </w:r>
      <w:r w:rsidR="00011B50" w:rsidRPr="00FA2424">
        <w:rPr>
          <w:rFonts w:ascii="Times New Roman" w:hAnsi="Times New Roman"/>
          <w:color w:val="000000"/>
        </w:rPr>
        <w:t>)</w:t>
      </w:r>
      <w:r w:rsidR="00011B50">
        <w:rPr>
          <w:rFonts w:ascii="Times New Roman" w:hAnsi="Times New Roman"/>
          <w:color w:val="000000"/>
        </w:rPr>
        <w:t xml:space="preserve"> </w:t>
      </w:r>
      <w:r w:rsidRPr="003A020F">
        <w:rPr>
          <w:rFonts w:ascii="Times New Roman" w:hAnsi="Times New Roman"/>
          <w:color w:val="000000"/>
        </w:rPr>
        <w:t>plus DPH ve výši 21%</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rsidR="00FA2424" w:rsidRPr="003A020F" w:rsidRDefault="00FA2424" w:rsidP="00FA2424">
      <w:pPr>
        <w:pStyle w:val="Pa0"/>
        <w:ind w:left="426" w:hanging="426"/>
        <w:jc w:val="both"/>
        <w:rPr>
          <w:rFonts w:ascii="Times New Roman" w:hAnsi="Times New Roman"/>
          <w:color w:val="000000"/>
        </w:rPr>
      </w:pPr>
    </w:p>
    <w:p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rsidR="00F555FC" w:rsidRPr="003A020F" w:rsidRDefault="00F555FC" w:rsidP="00F555FC">
      <w:pPr>
        <w:pStyle w:val="Pa0"/>
        <w:ind w:left="426" w:hanging="426"/>
        <w:jc w:val="both"/>
        <w:rPr>
          <w:rFonts w:ascii="Times New Roman" w:hAnsi="Times New Roman"/>
          <w:color w:val="000000"/>
        </w:rPr>
      </w:pPr>
    </w:p>
    <w:p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 xml:space="preserve">V případě, že dodatečně bude </w:t>
      </w:r>
      <w:proofErr w:type="spellStart"/>
      <w:r w:rsidRPr="003A020F">
        <w:rPr>
          <w:rFonts w:ascii="Times New Roman" w:hAnsi="Times New Roman"/>
          <w:color w:val="000000"/>
        </w:rPr>
        <w:t>nasmlouváno</w:t>
      </w:r>
      <w:proofErr w:type="spellEnd"/>
      <w:r w:rsidRPr="003A020F">
        <w:rPr>
          <w:rFonts w:ascii="Times New Roman" w:hAnsi="Times New Roman"/>
          <w:color w:val="000000"/>
        </w:rPr>
        <w:t xml:space="preserve">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rsidR="00756C74" w:rsidRPr="003A020F" w:rsidRDefault="00756C74" w:rsidP="00756C74">
      <w:pPr>
        <w:pStyle w:val="Pa0"/>
        <w:ind w:left="426" w:hanging="426"/>
        <w:jc w:val="both"/>
        <w:rPr>
          <w:rFonts w:ascii="Times New Roman" w:hAnsi="Times New Roman"/>
          <w:color w:val="000000"/>
        </w:rPr>
      </w:pPr>
    </w:p>
    <w:p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rsidR="004A2449" w:rsidRPr="003A020F" w:rsidRDefault="004A2449" w:rsidP="0066508E">
      <w:pPr>
        <w:pStyle w:val="Pa0"/>
        <w:ind w:left="426" w:hanging="426"/>
        <w:jc w:val="center"/>
        <w:rPr>
          <w:rFonts w:ascii="Times New Roman" w:hAnsi="Times New Roman"/>
          <w:color w:val="000000"/>
        </w:rPr>
      </w:pPr>
    </w:p>
    <w:p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rsidR="0066508E" w:rsidRPr="003A020F" w:rsidRDefault="0066508E" w:rsidP="0066508E">
      <w:pPr>
        <w:pStyle w:val="Pa0"/>
        <w:ind w:left="426" w:hanging="426"/>
        <w:rPr>
          <w:rFonts w:ascii="Times New Roman" w:hAnsi="Times New Roman"/>
          <w:color w:val="000000"/>
        </w:rPr>
      </w:pPr>
    </w:p>
    <w:p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rsidR="000A7EEE" w:rsidRPr="004D4B12" w:rsidRDefault="000A7EEE" w:rsidP="000A7EEE">
      <w:pPr>
        <w:ind w:left="426" w:hanging="426"/>
        <w:rPr>
          <w:lang w:val="cs-CZ"/>
        </w:rPr>
      </w:pPr>
    </w:p>
    <w:p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rsidR="002D2884" w:rsidRPr="003A020F" w:rsidRDefault="002D2884" w:rsidP="002D2884">
      <w:pPr>
        <w:ind w:left="426" w:hanging="426"/>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hry ve  správném tvaru (viz. článek I) .</w:t>
      </w:r>
    </w:p>
    <w:p w:rsidR="002D2884" w:rsidRPr="003A020F" w:rsidRDefault="002D2884" w:rsidP="00F952D5">
      <w:pPr>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pořadatele  bude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8" w:history="1">
        <w:r w:rsidRPr="003A020F">
          <w:rPr>
            <w:rStyle w:val="Hypertextovodkaz"/>
            <w:sz w:val="24"/>
            <w:szCs w:val="24"/>
            <w:lang w:val="cs-CZ"/>
          </w:rPr>
          <w:t>www.studiodva.cz</w:t>
        </w:r>
      </w:hyperlink>
      <w:r w:rsidRPr="003A020F">
        <w:rPr>
          <w:sz w:val="24"/>
          <w:szCs w:val="24"/>
          <w:lang w:val="cs-CZ"/>
        </w:rPr>
        <w:t>.    </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pořadatele  je možné jej získat v elektronické podobě na emailu: </w:t>
      </w:r>
      <w:r w:rsidR="00326206">
        <w:rPr>
          <w:sz w:val="24"/>
          <w:szCs w:val="24"/>
          <w:lang w:val="cs-CZ"/>
        </w:rPr>
        <w:t xml:space="preserve">                   </w:t>
      </w:r>
      <w:r w:rsidRPr="003A020F">
        <w:rPr>
          <w:sz w:val="24"/>
          <w:szCs w:val="24"/>
          <w:lang w:val="cs-CZ"/>
        </w:rPr>
        <w:t>(každé užití loga podléhá jeho schválení).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představení,  které je možné v tiskovém rozlišení stáhnout na webových stránkách divadla v sekci </w:t>
      </w:r>
      <w:hyperlink r:id="rId9"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rsidR="002D2884" w:rsidRPr="003A020F" w:rsidRDefault="002D2884" w:rsidP="00F952D5">
      <w:pPr>
        <w:pStyle w:val="Odstavecseseznamem"/>
        <w:ind w:left="426" w:hanging="426"/>
        <w:jc w:val="both"/>
        <w:rPr>
          <w:sz w:val="24"/>
          <w:szCs w:val="24"/>
          <w:lang w:val="cs-CZ"/>
        </w:rPr>
      </w:pPr>
    </w:p>
    <w:p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rsidR="002D2884" w:rsidRDefault="002D2884" w:rsidP="002D2884">
      <w:pPr>
        <w:ind w:left="426" w:hanging="426"/>
        <w:rPr>
          <w:sz w:val="24"/>
          <w:szCs w:val="24"/>
          <w:lang w:val="cs-CZ"/>
        </w:rPr>
      </w:pPr>
    </w:p>
    <w:p w:rsidR="003E2984" w:rsidRDefault="003E2984" w:rsidP="002D2884">
      <w:pPr>
        <w:ind w:left="426" w:hanging="426"/>
        <w:rPr>
          <w:sz w:val="24"/>
          <w:szCs w:val="24"/>
          <w:lang w:val="cs-CZ"/>
        </w:rPr>
      </w:pPr>
    </w:p>
    <w:p w:rsidR="003E2984" w:rsidRPr="004D4B12" w:rsidRDefault="003E2984" w:rsidP="002D2884">
      <w:pPr>
        <w:ind w:left="426" w:hanging="426"/>
        <w:rPr>
          <w:sz w:val="24"/>
          <w:szCs w:val="24"/>
          <w:lang w:val="cs-CZ"/>
        </w:rPr>
      </w:pPr>
    </w:p>
    <w:p w:rsidR="002D6623" w:rsidRPr="003A020F" w:rsidRDefault="002D6623" w:rsidP="002D6623">
      <w:pPr>
        <w:pStyle w:val="Pa0"/>
        <w:ind w:left="426" w:hanging="426"/>
        <w:jc w:val="center"/>
      </w:pPr>
      <w:r w:rsidRPr="003A020F">
        <w:lastRenderedPageBreak/>
        <w:t>Článek V</w:t>
      </w:r>
      <w:r w:rsidR="002D2884" w:rsidRPr="003A020F">
        <w:t>I</w:t>
      </w:r>
    </w:p>
    <w:p w:rsidR="002D6623" w:rsidRPr="003A020F" w:rsidRDefault="002D6623" w:rsidP="002D6623">
      <w:pPr>
        <w:pStyle w:val="Pa0"/>
        <w:ind w:left="426" w:hanging="426"/>
        <w:jc w:val="center"/>
        <w:rPr>
          <w:b/>
        </w:rPr>
      </w:pPr>
      <w:r w:rsidRPr="003A020F">
        <w:rPr>
          <w:b/>
        </w:rPr>
        <w:t>Mlčenlivost</w:t>
      </w:r>
    </w:p>
    <w:p w:rsidR="002D6623" w:rsidRPr="003A020F" w:rsidRDefault="002D6623" w:rsidP="002D6623">
      <w:pPr>
        <w:pStyle w:val="Pa0"/>
        <w:ind w:left="426" w:hanging="426"/>
      </w:pPr>
    </w:p>
    <w:p w:rsidR="002D6623" w:rsidRPr="003A020F" w:rsidRDefault="002D6623" w:rsidP="00F952D5">
      <w:pPr>
        <w:pStyle w:val="Default"/>
        <w:numPr>
          <w:ilvl w:val="0"/>
          <w:numId w:val="10"/>
        </w:numPr>
        <w:ind w:left="426" w:hanging="426"/>
        <w:jc w:val="both"/>
      </w:pPr>
      <w:bookmarkStart w:id="1"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1"/>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rsidR="002D6623" w:rsidRPr="004D4B12" w:rsidRDefault="002D6623" w:rsidP="00F952D5">
      <w:pPr>
        <w:ind w:left="426" w:hanging="426"/>
        <w:jc w:val="both"/>
        <w:rPr>
          <w:lang w:val="cs-CZ"/>
        </w:rPr>
      </w:pPr>
    </w:p>
    <w:p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rsidR="005900B8" w:rsidRDefault="005900B8" w:rsidP="005900B8">
      <w:pPr>
        <w:jc w:val="both"/>
        <w:rPr>
          <w:lang w:val="cs-CZ"/>
        </w:rPr>
      </w:pPr>
    </w:p>
    <w:p w:rsidR="002D6623" w:rsidRPr="003A020F" w:rsidRDefault="002D6623" w:rsidP="002D6623">
      <w:pPr>
        <w:pStyle w:val="Default"/>
        <w:ind w:left="426" w:hanging="426"/>
        <w:jc w:val="center"/>
      </w:pPr>
      <w:r w:rsidRPr="003A020F">
        <w:t>Článek VI</w:t>
      </w:r>
      <w:r w:rsidR="002D2884" w:rsidRPr="003A020F">
        <w:t>I</w:t>
      </w:r>
    </w:p>
    <w:p w:rsidR="002D6623" w:rsidRPr="003A020F" w:rsidRDefault="002D6623" w:rsidP="002D6623">
      <w:pPr>
        <w:pStyle w:val="Default"/>
        <w:ind w:left="426" w:hanging="426"/>
        <w:jc w:val="center"/>
        <w:rPr>
          <w:b/>
        </w:rPr>
      </w:pPr>
      <w:r w:rsidRPr="003A020F">
        <w:rPr>
          <w:b/>
        </w:rPr>
        <w:t>Závěrečná ustanovení</w:t>
      </w:r>
    </w:p>
    <w:p w:rsidR="002D6623" w:rsidRPr="004D4B12" w:rsidRDefault="002D6623" w:rsidP="002D6623">
      <w:pPr>
        <w:ind w:left="426" w:hanging="426"/>
        <w:rPr>
          <w:lang w:val="cs-CZ"/>
        </w:rPr>
      </w:pPr>
    </w:p>
    <w:p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rsidR="002D6623" w:rsidRPr="003A020F" w:rsidRDefault="002D6623" w:rsidP="00F952D5">
      <w:pPr>
        <w:pStyle w:val="Default"/>
        <w:ind w:left="426" w:hanging="426"/>
        <w:jc w:val="both"/>
      </w:pPr>
    </w:p>
    <w:p w:rsidR="002D6623" w:rsidRPr="003A020F" w:rsidRDefault="002D6623" w:rsidP="00F952D5">
      <w:pPr>
        <w:pStyle w:val="Default"/>
        <w:ind w:left="426" w:hanging="426"/>
        <w:jc w:val="both"/>
      </w:pPr>
      <w:r w:rsidRPr="003A020F">
        <w:t>Písemnosti podle předchozí věty se považují za doručené:</w:t>
      </w:r>
    </w:p>
    <w:p w:rsidR="002D6623" w:rsidRPr="003A020F" w:rsidRDefault="002D6623" w:rsidP="00F952D5">
      <w:pPr>
        <w:pStyle w:val="Default"/>
        <w:ind w:left="426" w:hanging="426"/>
        <w:jc w:val="both"/>
      </w:pPr>
    </w:p>
    <w:p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2D6623" w:rsidRPr="003A020F" w:rsidRDefault="002D6623" w:rsidP="00F952D5">
      <w:pPr>
        <w:pStyle w:val="Default"/>
        <w:ind w:left="426" w:hanging="426"/>
        <w:jc w:val="both"/>
      </w:pPr>
    </w:p>
    <w:p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rsidR="002D6623" w:rsidRPr="003A020F" w:rsidRDefault="002D6623" w:rsidP="00F952D5">
      <w:pPr>
        <w:pStyle w:val="Default"/>
        <w:ind w:left="426" w:hanging="426"/>
        <w:jc w:val="both"/>
      </w:pPr>
    </w:p>
    <w:p w:rsidR="002D6623" w:rsidRPr="003A020F" w:rsidRDefault="002D6623" w:rsidP="002D6623">
      <w:pPr>
        <w:pStyle w:val="Pa5"/>
        <w:ind w:left="426" w:hanging="426"/>
        <w:jc w:val="center"/>
        <w:rPr>
          <w:rFonts w:ascii="Times New Roman" w:hAnsi="Times New Roman"/>
        </w:rPr>
      </w:pPr>
    </w:p>
    <w:p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rsidR="002D6623" w:rsidRPr="003A020F" w:rsidRDefault="002D6623" w:rsidP="002D6623">
      <w:pPr>
        <w:pStyle w:val="Default"/>
        <w:ind w:left="426" w:hanging="426"/>
      </w:pPr>
    </w:p>
    <w:p w:rsidR="002D2884" w:rsidRPr="003A020F" w:rsidRDefault="002D2884" w:rsidP="002D6623">
      <w:pPr>
        <w:pStyle w:val="Default"/>
        <w:ind w:left="426" w:hanging="426"/>
      </w:pPr>
    </w:p>
    <w:p w:rsidR="002D2884" w:rsidRPr="003A020F" w:rsidRDefault="002D2884" w:rsidP="002D6623">
      <w:pPr>
        <w:pStyle w:val="Default"/>
        <w:ind w:left="426" w:hanging="426"/>
      </w:pPr>
    </w:p>
    <w:p w:rsidR="002D2884" w:rsidRPr="003A020F" w:rsidRDefault="002D2884" w:rsidP="002D6623">
      <w:pPr>
        <w:pStyle w:val="Default"/>
        <w:ind w:left="426" w:hanging="426"/>
      </w:pPr>
    </w:p>
    <w:p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rsidR="002D6623" w:rsidRPr="003A020F" w:rsidRDefault="002D6623" w:rsidP="002D6623">
      <w:pPr>
        <w:tabs>
          <w:tab w:val="left" w:pos="675"/>
        </w:tabs>
        <w:ind w:left="426" w:hanging="426"/>
        <w:jc w:val="both"/>
        <w:rPr>
          <w:rFonts w:ascii="Arial" w:hAnsi="Arial" w:cs="Arial"/>
          <w:b/>
          <w:color w:val="000000"/>
          <w:lang w:val="cs-CZ"/>
        </w:rPr>
      </w:pPr>
    </w:p>
    <w:p w:rsidR="002D6623" w:rsidRPr="003A020F" w:rsidRDefault="002D6623" w:rsidP="002D6623">
      <w:pPr>
        <w:tabs>
          <w:tab w:val="left" w:pos="675"/>
        </w:tabs>
        <w:ind w:left="708"/>
        <w:jc w:val="both"/>
        <w:rPr>
          <w:rFonts w:ascii="Arial" w:hAnsi="Arial" w:cs="Arial"/>
          <w:b/>
          <w:color w:val="000000"/>
          <w:lang w:val="cs-CZ"/>
        </w:rPr>
      </w:pPr>
    </w:p>
    <w:p w:rsidR="003A020F" w:rsidRPr="003A020F" w:rsidRDefault="003A020F">
      <w:pPr>
        <w:jc w:val="center"/>
        <w:rPr>
          <w:rFonts w:ascii="Arial" w:hAnsi="Arial" w:cs="Arial"/>
          <w:color w:val="000000"/>
          <w:lang w:val="cs-CZ"/>
        </w:rPr>
      </w:pPr>
    </w:p>
    <w:p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rsidR="003A020F" w:rsidRP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rsidR="003A020F" w:rsidRPr="003A020F" w:rsidRDefault="003A020F">
      <w:pPr>
        <w:jc w:val="center"/>
        <w:rPr>
          <w:rFonts w:ascii="Arial" w:hAnsi="Arial" w:cs="Arial"/>
          <w:color w:val="000000"/>
          <w:lang w:val="cs-CZ"/>
        </w:rPr>
      </w:pPr>
    </w:p>
    <w:sectPr w:rsidR="003A020F"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33" w:rsidRDefault="000F5233" w:rsidP="00483C7D">
      <w:r>
        <w:separator/>
      </w:r>
    </w:p>
  </w:endnote>
  <w:endnote w:type="continuationSeparator" w:id="0">
    <w:p w:rsidR="000F5233" w:rsidRDefault="000F5233" w:rsidP="00483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33" w:rsidRDefault="000F5233" w:rsidP="00483C7D">
      <w:r>
        <w:separator/>
      </w:r>
    </w:p>
  </w:footnote>
  <w:footnote w:type="continuationSeparator" w:id="0">
    <w:p w:rsidR="000F5233" w:rsidRDefault="000F5233" w:rsidP="00483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2">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9"/>
  </w:num>
  <w:num w:numId="6">
    <w:abstractNumId w:val="9"/>
  </w:num>
  <w:num w:numId="7">
    <w:abstractNumId w:val="6"/>
  </w:num>
  <w:num w:numId="8">
    <w:abstractNumId w:val="12"/>
  </w:num>
  <w:num w:numId="9">
    <w:abstractNumId w:val="2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0"/>
  </w:num>
  <w:num w:numId="15">
    <w:abstractNumId w:val="16"/>
  </w:num>
  <w:num w:numId="16">
    <w:abstractNumId w:val="7"/>
  </w:num>
  <w:num w:numId="17">
    <w:abstractNumId w:val="17"/>
  </w:num>
  <w:num w:numId="18">
    <w:abstractNumId w:val="15"/>
  </w:num>
  <w:num w:numId="19">
    <w:abstractNumId w:val="13"/>
  </w:num>
  <w:num w:numId="20">
    <w:abstractNumId w:val="18"/>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53F0E"/>
    <w:rsid w:val="00011B50"/>
    <w:rsid w:val="00012B9D"/>
    <w:rsid w:val="00055542"/>
    <w:rsid w:val="00086BB6"/>
    <w:rsid w:val="000A67A1"/>
    <w:rsid w:val="000A7EEE"/>
    <w:rsid w:val="000B38EA"/>
    <w:rsid w:val="000C1B65"/>
    <w:rsid w:val="000F1DDD"/>
    <w:rsid w:val="000F4F8F"/>
    <w:rsid w:val="000F5233"/>
    <w:rsid w:val="000F5DDF"/>
    <w:rsid w:val="0013750C"/>
    <w:rsid w:val="001421D7"/>
    <w:rsid w:val="00150023"/>
    <w:rsid w:val="00154890"/>
    <w:rsid w:val="001561F2"/>
    <w:rsid w:val="001734B8"/>
    <w:rsid w:val="00194F55"/>
    <w:rsid w:val="001F5313"/>
    <w:rsid w:val="0022269C"/>
    <w:rsid w:val="00224E11"/>
    <w:rsid w:val="00253CA3"/>
    <w:rsid w:val="00253F0E"/>
    <w:rsid w:val="00266617"/>
    <w:rsid w:val="00283053"/>
    <w:rsid w:val="00285FDE"/>
    <w:rsid w:val="002D2884"/>
    <w:rsid w:val="002D5EC9"/>
    <w:rsid w:val="002D6623"/>
    <w:rsid w:val="002F364A"/>
    <w:rsid w:val="0032501F"/>
    <w:rsid w:val="00326206"/>
    <w:rsid w:val="00350B46"/>
    <w:rsid w:val="00352096"/>
    <w:rsid w:val="00371ECC"/>
    <w:rsid w:val="00374DDA"/>
    <w:rsid w:val="003A020F"/>
    <w:rsid w:val="003B6B38"/>
    <w:rsid w:val="003E2984"/>
    <w:rsid w:val="003E4F38"/>
    <w:rsid w:val="003E67CB"/>
    <w:rsid w:val="004066FE"/>
    <w:rsid w:val="0043336F"/>
    <w:rsid w:val="004438F8"/>
    <w:rsid w:val="0044618D"/>
    <w:rsid w:val="00457198"/>
    <w:rsid w:val="004725EB"/>
    <w:rsid w:val="00483C7D"/>
    <w:rsid w:val="004A2449"/>
    <w:rsid w:val="004B05BE"/>
    <w:rsid w:val="004D4B12"/>
    <w:rsid w:val="005020BC"/>
    <w:rsid w:val="00545019"/>
    <w:rsid w:val="00547A6F"/>
    <w:rsid w:val="0057634E"/>
    <w:rsid w:val="005900B8"/>
    <w:rsid w:val="005C3DAC"/>
    <w:rsid w:val="005C3F24"/>
    <w:rsid w:val="006250C1"/>
    <w:rsid w:val="00642CCA"/>
    <w:rsid w:val="0066508E"/>
    <w:rsid w:val="00680977"/>
    <w:rsid w:val="00693E60"/>
    <w:rsid w:val="00694D20"/>
    <w:rsid w:val="00694EAB"/>
    <w:rsid w:val="006B3F85"/>
    <w:rsid w:val="006D449B"/>
    <w:rsid w:val="00704105"/>
    <w:rsid w:val="007073B5"/>
    <w:rsid w:val="00756C74"/>
    <w:rsid w:val="007A4C5E"/>
    <w:rsid w:val="007B046E"/>
    <w:rsid w:val="007C590C"/>
    <w:rsid w:val="00815A19"/>
    <w:rsid w:val="00862BF0"/>
    <w:rsid w:val="00871336"/>
    <w:rsid w:val="00891857"/>
    <w:rsid w:val="00897B8E"/>
    <w:rsid w:val="008A4041"/>
    <w:rsid w:val="008B2322"/>
    <w:rsid w:val="008C7C7A"/>
    <w:rsid w:val="008E36D5"/>
    <w:rsid w:val="008E6160"/>
    <w:rsid w:val="00905C35"/>
    <w:rsid w:val="00905C4E"/>
    <w:rsid w:val="00927FEA"/>
    <w:rsid w:val="00940C06"/>
    <w:rsid w:val="009B356C"/>
    <w:rsid w:val="009C0486"/>
    <w:rsid w:val="009D0363"/>
    <w:rsid w:val="009D5399"/>
    <w:rsid w:val="00A05930"/>
    <w:rsid w:val="00A46A5B"/>
    <w:rsid w:val="00A46ADB"/>
    <w:rsid w:val="00A55F62"/>
    <w:rsid w:val="00A676CA"/>
    <w:rsid w:val="00A93B4D"/>
    <w:rsid w:val="00B2720D"/>
    <w:rsid w:val="00B3710A"/>
    <w:rsid w:val="00B432CA"/>
    <w:rsid w:val="00BB0910"/>
    <w:rsid w:val="00BB11C2"/>
    <w:rsid w:val="00BB5E0D"/>
    <w:rsid w:val="00BB7DD9"/>
    <w:rsid w:val="00BC42EE"/>
    <w:rsid w:val="00BD4429"/>
    <w:rsid w:val="00BE1CC7"/>
    <w:rsid w:val="00BF738E"/>
    <w:rsid w:val="00C01EE6"/>
    <w:rsid w:val="00C126BC"/>
    <w:rsid w:val="00C2022A"/>
    <w:rsid w:val="00C7033F"/>
    <w:rsid w:val="00C70B23"/>
    <w:rsid w:val="00C7132A"/>
    <w:rsid w:val="00CA117A"/>
    <w:rsid w:val="00CC38C9"/>
    <w:rsid w:val="00CF001F"/>
    <w:rsid w:val="00D5493B"/>
    <w:rsid w:val="00D675A7"/>
    <w:rsid w:val="00DC3363"/>
    <w:rsid w:val="00DD1034"/>
    <w:rsid w:val="00E000D0"/>
    <w:rsid w:val="00E12751"/>
    <w:rsid w:val="00E14027"/>
    <w:rsid w:val="00E31041"/>
    <w:rsid w:val="00E41640"/>
    <w:rsid w:val="00E7342F"/>
    <w:rsid w:val="00E814A1"/>
    <w:rsid w:val="00E82A42"/>
    <w:rsid w:val="00E84107"/>
    <w:rsid w:val="00EA7791"/>
    <w:rsid w:val="00EC23C6"/>
    <w:rsid w:val="00ED663C"/>
    <w:rsid w:val="00F417C9"/>
    <w:rsid w:val="00F42B04"/>
    <w:rsid w:val="00F555FC"/>
    <w:rsid w:val="00F61CDC"/>
    <w:rsid w:val="00F72E4A"/>
    <w:rsid w:val="00F770F9"/>
    <w:rsid w:val="00F952D5"/>
    <w:rsid w:val="00FA2424"/>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dva.cz/category/pro-med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F8A4-F1C1-488C-9A1B-19B95655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1786</Words>
  <Characters>10544</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12306</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Klara</cp:lastModifiedBy>
  <cp:revision>4</cp:revision>
  <dcterms:created xsi:type="dcterms:W3CDTF">2016-10-11T09:30:00Z</dcterms:created>
  <dcterms:modified xsi:type="dcterms:W3CDTF">2016-10-11T11:41:00Z</dcterms:modified>
</cp:coreProperties>
</file>