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299F271" w14:textId="066A85FE" w:rsidR="00873A9B" w:rsidRDefault="00625589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625589">
        <w:rPr>
          <w:rFonts w:ascii="Times New Roman" w:hAnsi="Times New Roman" w:cs="Times New Roman"/>
          <w:sz w:val="24"/>
          <w:szCs w:val="24"/>
        </w:rPr>
        <w:t>Základní škola, Příbram II, Jiráskovy sady 273</w:t>
      </w:r>
    </w:p>
    <w:p w14:paraId="6DDF5B81" w14:textId="40C14872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Se sídlem:</w:t>
      </w:r>
      <w:r w:rsidR="003A348D" w:rsidRPr="007E6505">
        <w:rPr>
          <w:rFonts w:ascii="Times New Roman" w:hAnsi="Times New Roman" w:cs="Times New Roman"/>
          <w:sz w:val="24"/>
          <w:szCs w:val="24"/>
        </w:rPr>
        <w:tab/>
      </w:r>
      <w:r w:rsidR="00625589">
        <w:rPr>
          <w:rFonts w:ascii="Times-Roman" w:hAnsi="Times-Roman" w:cs="Times-Roman"/>
        </w:rPr>
        <w:t>P</w:t>
      </w:r>
      <w:r w:rsidR="00625589">
        <w:rPr>
          <w:rFonts w:ascii="TimesNewRoman" w:hAnsi="TimesNewRoman" w:cs="TimesNewRoman"/>
        </w:rPr>
        <w:t>ř</w:t>
      </w:r>
      <w:r w:rsidR="00625589">
        <w:rPr>
          <w:rFonts w:ascii="Times-Roman" w:hAnsi="Times-Roman" w:cs="Times-Roman"/>
        </w:rPr>
        <w:t>íbram II, Jiráskovy sady 273</w:t>
      </w:r>
      <w:r w:rsidR="00625589">
        <w:rPr>
          <w:rFonts w:ascii="Times-Bold" w:hAnsi="Times-Bold" w:cs="Times-Bold"/>
          <w:b/>
          <w:bCs/>
        </w:rPr>
        <w:t xml:space="preserve">, </w:t>
      </w:r>
      <w:r w:rsidR="00625589">
        <w:rPr>
          <w:rFonts w:ascii="Times-Roman" w:hAnsi="Times-Roman" w:cs="Times-Roman"/>
        </w:rPr>
        <w:t>261 01 P</w:t>
      </w:r>
      <w:r w:rsidR="00625589">
        <w:rPr>
          <w:rFonts w:ascii="TimesNewRoman" w:hAnsi="TimesNewRoman" w:cs="TimesNewRoman"/>
        </w:rPr>
        <w:t>ř</w:t>
      </w:r>
      <w:r w:rsidR="00625589">
        <w:rPr>
          <w:rFonts w:ascii="Times-Roman" w:hAnsi="Times-Roman" w:cs="Times-Roman"/>
        </w:rPr>
        <w:t>íbram</w:t>
      </w:r>
    </w:p>
    <w:p w14:paraId="2CC663FE" w14:textId="766B8B5D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IČ: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625589">
        <w:rPr>
          <w:rFonts w:ascii="Times-Roman" w:hAnsi="Times-Roman" w:cs="Times-Roman"/>
        </w:rPr>
        <w:t>47074361</w:t>
      </w:r>
    </w:p>
    <w:p w14:paraId="51F6D220" w14:textId="35542C39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Zastoupena: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625589">
        <w:rPr>
          <w:rFonts w:ascii="Times-Roman" w:hAnsi="Times-Roman" w:cs="Times-Roman"/>
          <w:sz w:val="24"/>
          <w:szCs w:val="24"/>
        </w:rPr>
        <w:t>Mgr. Milošem P</w:t>
      </w:r>
      <w:r w:rsidR="00625589">
        <w:rPr>
          <w:rFonts w:ascii="TimesNewRoman" w:hAnsi="TimesNewRoman" w:cs="TimesNewRoman"/>
          <w:sz w:val="24"/>
          <w:szCs w:val="24"/>
        </w:rPr>
        <w:t>ř</w:t>
      </w:r>
      <w:r w:rsidR="00625589">
        <w:rPr>
          <w:rFonts w:ascii="Times-Roman" w:hAnsi="Times-Roman" w:cs="Times-Roman"/>
          <w:sz w:val="24"/>
          <w:szCs w:val="24"/>
        </w:rPr>
        <w:t>ibylem</w:t>
      </w:r>
    </w:p>
    <w:p w14:paraId="04E80113" w14:textId="4808FCD0" w:rsidR="00BA0D5E" w:rsidRPr="007E6505" w:rsidRDefault="00BA0D5E" w:rsidP="00BA0D5E">
      <w:pPr>
        <w:pStyle w:val="Bezmezer"/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Kontaktní údaje:</w:t>
      </w:r>
      <w:r w:rsidRPr="007E6505">
        <w:rPr>
          <w:rFonts w:ascii="Times New Roman" w:hAnsi="Times New Roman" w:cs="Times New Roman"/>
          <w:sz w:val="24"/>
          <w:szCs w:val="24"/>
        </w:rPr>
        <w:tab/>
      </w:r>
      <w:r w:rsidR="00625589">
        <w:rPr>
          <w:rFonts w:ascii="Times-Roman" w:hAnsi="Times-Roman" w:cs="Times-Roman"/>
          <w:color w:val="0563C2"/>
          <w:sz w:val="24"/>
          <w:szCs w:val="24"/>
        </w:rPr>
        <w:t>zsjs@zsjs.cz</w:t>
      </w:r>
      <w:r w:rsidR="00625589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="00625589">
        <w:rPr>
          <w:rFonts w:ascii="Times-Roman" w:hAnsi="Times-Roman" w:cs="Times-Roman"/>
          <w:color w:val="000000"/>
        </w:rPr>
        <w:t>+420778717354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7E3B8C91" w:rsidR="0069040B" w:rsidRPr="007E6505" w:rsidRDefault="00CA53E2" w:rsidP="00F04C5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závazek poskytovatele zabezpečit kompletní 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625589">
        <w:rPr>
          <w:rFonts w:ascii="Times New Roman" w:hAnsi="Times New Roman" w:cs="Times New Roman"/>
          <w:sz w:val="24"/>
          <w:szCs w:val="24"/>
        </w:rPr>
        <w:t xml:space="preserve">výzvy č.02_16_022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Podpora škol formou projektů zjednodušeného vykazování – Šablony pro MŠ a ZŠ I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>vyhlášené 23.6.2016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7E6505">
        <w:rPr>
          <w:rFonts w:ascii="Times New Roman" w:hAnsi="Times New Roman" w:cs="Times New Roman"/>
          <w:sz w:val="24"/>
          <w:szCs w:val="24"/>
        </w:rPr>
        <w:t>názvem</w:t>
      </w:r>
      <w:r w:rsidR="007E6505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625589">
        <w:rPr>
          <w:rFonts w:ascii="Times-Roman" w:hAnsi="Times-Roman" w:cs="Times-Roman"/>
          <w:sz w:val="24"/>
          <w:szCs w:val="24"/>
        </w:rPr>
        <w:t xml:space="preserve">„Každý má šanci“ </w:t>
      </w:r>
      <w:r w:rsidR="004F4997" w:rsidRPr="007E6505">
        <w:rPr>
          <w:rFonts w:ascii="Times New Roman" w:hAnsi="Times New Roman" w:cs="Times New Roman"/>
          <w:sz w:val="24"/>
          <w:szCs w:val="24"/>
        </w:rPr>
        <w:t>získá dotaci, zabezpečit administraci projektu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16C6E5A" w14:textId="77777777" w:rsidR="00977D05" w:rsidRDefault="00977D05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administrace projektu ve vztahu k poskytovateli dotace, tvorbu </w:t>
      </w:r>
      <w:r w:rsidR="004F4997">
        <w:rPr>
          <w:rFonts w:ascii="Times New Roman" w:hAnsi="Times New Roman" w:cs="Times New Roman"/>
          <w:sz w:val="24"/>
          <w:szCs w:val="24"/>
        </w:rPr>
        <w:t>monitorovacích</w:t>
      </w:r>
      <w:r>
        <w:rPr>
          <w:rFonts w:ascii="Times New Roman" w:hAnsi="Times New Roman" w:cs="Times New Roman"/>
          <w:sz w:val="24"/>
          <w:szCs w:val="24"/>
        </w:rPr>
        <w:t xml:space="preserve"> zpráv a žádosti o platbu včetně závěrečného vyúčtování</w:t>
      </w:r>
      <w:r w:rsidR="00824BB8">
        <w:rPr>
          <w:rFonts w:ascii="Times New Roman" w:hAnsi="Times New Roman" w:cs="Times New Roman"/>
          <w:sz w:val="24"/>
          <w:szCs w:val="24"/>
        </w:rPr>
        <w:t xml:space="preserve"> 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577BAE06" w14:textId="5B038B1C" w:rsidR="00993E9F" w:rsidRDefault="002D3CF2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5%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4A5298">
        <w:rPr>
          <w:rFonts w:ascii="Times New Roman" w:hAnsi="Times New Roman" w:cs="Times New Roman"/>
          <w:sz w:val="24"/>
          <w:szCs w:val="24"/>
        </w:rPr>
        <w:t>, tj. 71.128,35 Kč bez DPH, 86.065,30 Kč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993E9F">
        <w:rPr>
          <w:rFonts w:ascii="Times New Roman" w:hAnsi="Times New Roman" w:cs="Times New Roman"/>
          <w:sz w:val="24"/>
          <w:szCs w:val="24"/>
        </w:rPr>
        <w:t xml:space="preserve">průběžně v následujících krocích: </w:t>
      </w:r>
    </w:p>
    <w:p w14:paraId="4E73C015" w14:textId="442AF8B2" w:rsidR="00993E9F" w:rsidRDefault="001F48AF" w:rsidP="00993E9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993E9F">
        <w:rPr>
          <w:rFonts w:ascii="Times New Roman" w:hAnsi="Times New Roman" w:cs="Times New Roman"/>
          <w:sz w:val="24"/>
          <w:szCs w:val="24"/>
        </w:rPr>
        <w:t xml:space="preserve"> obdržení 1. </w:t>
      </w:r>
      <w:r>
        <w:rPr>
          <w:rFonts w:ascii="Times New Roman" w:hAnsi="Times New Roman" w:cs="Times New Roman"/>
          <w:sz w:val="24"/>
          <w:szCs w:val="24"/>
        </w:rPr>
        <w:t>zálohové platby</w:t>
      </w:r>
      <w:r w:rsidR="00993E9F">
        <w:rPr>
          <w:rFonts w:ascii="Times New Roman" w:hAnsi="Times New Roman" w:cs="Times New Roman"/>
          <w:sz w:val="24"/>
          <w:szCs w:val="24"/>
        </w:rPr>
        <w:t xml:space="preserve"> dotace </w:t>
      </w:r>
      <w:r>
        <w:rPr>
          <w:rFonts w:ascii="Times New Roman" w:hAnsi="Times New Roman" w:cs="Times New Roman"/>
          <w:sz w:val="24"/>
          <w:szCs w:val="24"/>
        </w:rPr>
        <w:t>na účet příjemce</w:t>
      </w:r>
      <w:r w:rsidR="00993E9F">
        <w:rPr>
          <w:rFonts w:ascii="Times New Roman" w:hAnsi="Times New Roman" w:cs="Times New Roman"/>
          <w:sz w:val="24"/>
          <w:szCs w:val="24"/>
        </w:rPr>
        <w:t xml:space="preserve"> – 2% z celkov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993E9F">
        <w:rPr>
          <w:rFonts w:ascii="Times New Roman" w:hAnsi="Times New Roman" w:cs="Times New Roman"/>
          <w:sz w:val="24"/>
          <w:szCs w:val="24"/>
        </w:rPr>
        <w:t xml:space="preserve"> výše schválené dotace </w:t>
      </w:r>
      <w:r w:rsidR="004A5298">
        <w:rPr>
          <w:rFonts w:ascii="Times New Roman" w:hAnsi="Times New Roman" w:cs="Times New Roman"/>
          <w:sz w:val="24"/>
          <w:szCs w:val="24"/>
        </w:rPr>
        <w:t>, tj. 28.451,34 Kč bez DPH</w:t>
      </w:r>
    </w:p>
    <w:p w14:paraId="60BCC4BD" w14:textId="0271710D" w:rsidR="001F48AF" w:rsidRDefault="001F48AF" w:rsidP="001F48A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obdržení 2. zálohové platby dotace na účet příjemce - 2% </w:t>
      </w:r>
      <w:r w:rsidR="004A5298">
        <w:rPr>
          <w:rFonts w:ascii="Times New Roman" w:hAnsi="Times New Roman" w:cs="Times New Roman"/>
          <w:sz w:val="24"/>
          <w:szCs w:val="24"/>
        </w:rPr>
        <w:t>z celkové výše schválené dotace, tj. tj. 28.451,34 Kč bez DPH</w:t>
      </w:r>
    </w:p>
    <w:p w14:paraId="499CB9A0" w14:textId="1444D754" w:rsidR="00993E9F" w:rsidRDefault="001F48AF" w:rsidP="000B598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poslednímu dni realizace projektu – 1% z celkové výše schválené dotace </w:t>
      </w:r>
      <w:r w:rsidR="004A5298">
        <w:rPr>
          <w:rFonts w:ascii="Times New Roman" w:hAnsi="Times New Roman" w:cs="Times New Roman"/>
          <w:sz w:val="24"/>
          <w:szCs w:val="24"/>
        </w:rPr>
        <w:t>, tj. 14.225,67 Kč bez DPH</w:t>
      </w:r>
    </w:p>
    <w:p w14:paraId="6C29E0A8" w14:textId="77777777" w:rsidR="000B5988" w:rsidRPr="000B5988" w:rsidRDefault="000B5988" w:rsidP="000B598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A1F9BA4" w14:textId="18171D3D" w:rsidR="0008115A" w:rsidRDefault="00E9157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tohoto článku nárok pouze v případě, že projektová žádost bude schválena a příjemce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29A2D119" w14:textId="77777777" w:rsidR="000C38BE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77777777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3BFDF19C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práci v termínu, tedy nejdéle do ukončení příslušné Výzvy.</w:t>
      </w:r>
    </w:p>
    <w:p w14:paraId="182ACC3C" w14:textId="77777777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dále v této smlouvě dohodnutých</w:t>
      </w:r>
    </w:p>
    <w:p w14:paraId="3CE9D61D" w14:textId="77777777" w:rsidR="00387B69" w:rsidRDefault="00387B69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71C7F8D7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A235EF" w14:textId="77777777" w:rsidR="0069040B" w:rsidRPr="000D357C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2CFBE5F8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56B23442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0D8BA7A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1ABD683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78512A71" w14:textId="77777777" w:rsidR="0069040B" w:rsidRPr="000D357C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EB261F1" w14:textId="77777777" w:rsidR="00490F29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6C64057B" w14:textId="6CF97B5C" w:rsidR="000C38BE" w:rsidRDefault="00BA262F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i příjemce jsou oprávněni vypovědět smlouvu i bez uvedení důvodu po uhrazení kompenzac</w:t>
      </w:r>
      <w:r w:rsidR="00824BB8">
        <w:rPr>
          <w:rFonts w:ascii="Times New Roman" w:hAnsi="Times New Roman" w:cs="Times New Roman"/>
          <w:sz w:val="24"/>
          <w:szCs w:val="24"/>
        </w:rPr>
        <w:t>e druhé smluvní straně ve výši 5</w:t>
      </w:r>
      <w:r>
        <w:rPr>
          <w:rFonts w:ascii="Times New Roman" w:hAnsi="Times New Roman" w:cs="Times New Roman"/>
          <w:sz w:val="24"/>
          <w:szCs w:val="24"/>
        </w:rPr>
        <w:t xml:space="preserve">0% z celkové odměny uvedené v článku II. </w:t>
      </w:r>
      <w:r w:rsidR="00824B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éto smlouvy.</w:t>
      </w:r>
    </w:p>
    <w:p w14:paraId="39FE5C87" w14:textId="77777777" w:rsidR="00873A9B" w:rsidRP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CA8739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563F11">
              <w:rPr>
                <w:rFonts w:ascii="Times New Roman" w:hAnsi="Times New Roman" w:cs="Times New Roman"/>
                <w:sz w:val="24"/>
                <w:szCs w:val="24"/>
              </w:rPr>
              <w:t>1.9.2017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67AE8C1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63F11">
              <w:rPr>
                <w:rFonts w:ascii="Times New Roman" w:hAnsi="Times New Roman" w:cs="Times New Roman"/>
                <w:sz w:val="24"/>
                <w:szCs w:val="24"/>
              </w:rPr>
              <w:t> Příbrami dne 1.9.2017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0AB166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E86809F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901377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EBAAD9E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5AA3863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E61346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60B193FC" w14:textId="4E77BD4C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178720C9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3A98D0A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vypracování metodik: metodika monitorovacích indikátorů, metodika řízení projektu</w:t>
      </w:r>
    </w:p>
    <w:p w14:paraId="138A44B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Dohod o účasti v projektu pro účastníky aktivit v rámci projektu</w:t>
      </w:r>
    </w:p>
    <w:p w14:paraId="3A7A8EA6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k dotazníkům k monitorovacím indikátorům</w:t>
      </w:r>
    </w:p>
    <w:p w14:paraId="0ABF474E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671F3C5F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měsíční kontrola výkazů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uznatelnosti výdajů projektu</w:t>
      </w:r>
    </w:p>
    <w:p w14:paraId="60C05A5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2BA3768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komunikace s poskytovatelem podpory (konzultace se zástupci poskytovatele podpory)</w:t>
      </w:r>
    </w:p>
    <w:p w14:paraId="3906778D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777777" w:rsidR="00824BB8" w:rsidRPr="007E6505" w:rsidRDefault="00824BB8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monitoring projektu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0825DDC8" w14:textId="77777777" w:rsidR="00824BB8" w:rsidRPr="007E6505" w:rsidRDefault="00824BB8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4B4B5" w14:textId="0EFB4EFF" w:rsidR="003B7084" w:rsidRPr="007E6505" w:rsidRDefault="003B7084" w:rsidP="003B7084">
      <w:pPr>
        <w:pStyle w:val="Odstavecseseznamem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Výběrové řízení</w:t>
      </w:r>
      <w:r w:rsidR="001F48AF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(dle Pravidel pro žadatele a příjemce)</w:t>
      </w:r>
    </w:p>
    <w:p w14:paraId="551560F7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vedení harmonogramu zadávacích řízení</w:t>
      </w:r>
    </w:p>
    <w:p w14:paraId="3035BC1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vymezení rozsahu zadávacích řízení v rozsahu položek žádosti o finanční podporu</w:t>
      </w:r>
    </w:p>
    <w:p w14:paraId="187CDE4D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0968E8B2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výzvy a zadávací dokumentace</w:t>
      </w:r>
    </w:p>
    <w:p w14:paraId="18B3BB66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oslovování potencionálních uchazečů</w:t>
      </w:r>
    </w:p>
    <w:p w14:paraId="4228FD83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výzvy a zadávací dokumentace</w:t>
      </w:r>
    </w:p>
    <w:p w14:paraId="3992730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tvorba zápisů z otevírání obálek a hodnocení nabídek</w:t>
      </w:r>
    </w:p>
    <w:p w14:paraId="4254286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uveřejnění ve stanovených lhůtách a na stanovených místech</w:t>
      </w:r>
    </w:p>
    <w:p w14:paraId="319F45EC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zajištění oznámení o výsledku výběrových řízení</w:t>
      </w:r>
    </w:p>
    <w:p w14:paraId="464A394A" w14:textId="77777777" w:rsidR="003B7084" w:rsidRPr="007E6505" w:rsidRDefault="003B7084" w:rsidP="003B7084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uveřejnění výsledku, smlouvy a dalších dokumentů výběrového řízení</w:t>
      </w:r>
    </w:p>
    <w:p w14:paraId="30FF0C39" w14:textId="77777777" w:rsidR="003B7084" w:rsidRPr="007E6505" w:rsidRDefault="003B7084" w:rsidP="00824BB8">
      <w:pPr>
        <w:shd w:val="clear" w:color="auto" w:fill="FFFFFF"/>
        <w:spacing w:after="0" w:line="252" w:lineRule="atLeast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B7084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2"/>
  </w:num>
  <w:num w:numId="12">
    <w:abstractNumId w:val="20"/>
  </w:num>
  <w:num w:numId="13">
    <w:abstractNumId w:val="9"/>
  </w:num>
  <w:num w:numId="14">
    <w:abstractNumId w:val="26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5D54"/>
    <w:rsid w:val="0008115A"/>
    <w:rsid w:val="000B5988"/>
    <w:rsid w:val="000C38BE"/>
    <w:rsid w:val="000D357C"/>
    <w:rsid w:val="000E084F"/>
    <w:rsid w:val="00175E8A"/>
    <w:rsid w:val="00186B42"/>
    <w:rsid w:val="00193828"/>
    <w:rsid w:val="00193947"/>
    <w:rsid w:val="001C0C5C"/>
    <w:rsid w:val="001D3673"/>
    <w:rsid w:val="001E3E0C"/>
    <w:rsid w:val="001F48AF"/>
    <w:rsid w:val="00206C27"/>
    <w:rsid w:val="0021732E"/>
    <w:rsid w:val="00242CC9"/>
    <w:rsid w:val="002D3CF2"/>
    <w:rsid w:val="002D6B19"/>
    <w:rsid w:val="00331EC1"/>
    <w:rsid w:val="0036395A"/>
    <w:rsid w:val="00387B69"/>
    <w:rsid w:val="003A348D"/>
    <w:rsid w:val="003B7084"/>
    <w:rsid w:val="003C302A"/>
    <w:rsid w:val="00490F29"/>
    <w:rsid w:val="004A5298"/>
    <w:rsid w:val="004C68D4"/>
    <w:rsid w:val="004D673A"/>
    <w:rsid w:val="004F4997"/>
    <w:rsid w:val="00515F8B"/>
    <w:rsid w:val="00563F11"/>
    <w:rsid w:val="005652F3"/>
    <w:rsid w:val="005B22ED"/>
    <w:rsid w:val="005E4E6B"/>
    <w:rsid w:val="005E78B1"/>
    <w:rsid w:val="00601127"/>
    <w:rsid w:val="00625589"/>
    <w:rsid w:val="00640E86"/>
    <w:rsid w:val="006629FE"/>
    <w:rsid w:val="0069040B"/>
    <w:rsid w:val="006A09A9"/>
    <w:rsid w:val="006B11E4"/>
    <w:rsid w:val="00787E47"/>
    <w:rsid w:val="007E6505"/>
    <w:rsid w:val="007F31A0"/>
    <w:rsid w:val="008121D7"/>
    <w:rsid w:val="00824BB8"/>
    <w:rsid w:val="00826583"/>
    <w:rsid w:val="00837E51"/>
    <w:rsid w:val="00854EB3"/>
    <w:rsid w:val="00873A9B"/>
    <w:rsid w:val="008A5E83"/>
    <w:rsid w:val="008C5856"/>
    <w:rsid w:val="009154AC"/>
    <w:rsid w:val="0096740F"/>
    <w:rsid w:val="0097635A"/>
    <w:rsid w:val="00977D05"/>
    <w:rsid w:val="00990C39"/>
    <w:rsid w:val="00993E9F"/>
    <w:rsid w:val="009A5C35"/>
    <w:rsid w:val="00A15BC7"/>
    <w:rsid w:val="00A36798"/>
    <w:rsid w:val="00A640C8"/>
    <w:rsid w:val="00A741FC"/>
    <w:rsid w:val="00AE2967"/>
    <w:rsid w:val="00B00AB7"/>
    <w:rsid w:val="00B24E47"/>
    <w:rsid w:val="00B45E09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E1740E"/>
    <w:rsid w:val="00E9157E"/>
    <w:rsid w:val="00EC5B0C"/>
    <w:rsid w:val="00F3219C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schovankova@typec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D6B3-F16B-45E7-91C6-89BE27D0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Pc1</cp:lastModifiedBy>
  <cp:revision>2</cp:revision>
  <cp:lastPrinted>2016-12-08T16:09:00Z</cp:lastPrinted>
  <dcterms:created xsi:type="dcterms:W3CDTF">2017-11-15T14:00:00Z</dcterms:created>
  <dcterms:modified xsi:type="dcterms:W3CDTF">2017-11-15T14:00:00Z</dcterms:modified>
</cp:coreProperties>
</file>