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87" w:rsidRPr="00E11487" w:rsidRDefault="00E11487" w:rsidP="00553E0A">
      <w:pPr>
        <w:tabs>
          <w:tab w:val="left" w:pos="1418"/>
        </w:tabs>
        <w:jc w:val="right"/>
        <w:rPr>
          <w:rFonts w:ascii="AlfaPID" w:eastAsia="Calibri" w:hAnsi="AlfaPID" w:cstheme="minorHAnsi"/>
          <w:sz w:val="48"/>
          <w:szCs w:val="48"/>
        </w:rPr>
      </w:pPr>
      <w:r w:rsidRPr="00E11487">
        <w:rPr>
          <w:rFonts w:ascii="AlfaPID" w:eastAsia="Calibri" w:hAnsi="AlfaPID" w:cstheme="minorHAnsi"/>
          <w:sz w:val="48"/>
          <w:szCs w:val="48"/>
        </w:rPr>
        <w:t>*MC18X008R2JU*</w:t>
      </w:r>
    </w:p>
    <w:p w:rsidR="00553E0A" w:rsidRDefault="00553E0A" w:rsidP="00553E0A">
      <w:pPr>
        <w:tabs>
          <w:tab w:val="left" w:pos="1418"/>
        </w:tabs>
        <w:jc w:val="right"/>
        <w:rPr>
          <w:rFonts w:ascii="Palatino Linotype" w:eastAsia="Calibri" w:hAnsi="Palatino Linotype" w:cstheme="minorHAnsi"/>
          <w:b/>
          <w:sz w:val="20"/>
          <w:szCs w:val="20"/>
        </w:rPr>
      </w:pPr>
      <w:r>
        <w:rPr>
          <w:rFonts w:ascii="Palatino Linotype" w:eastAsia="Calibri" w:hAnsi="Palatino Linotype" w:cstheme="minorHAnsi"/>
          <w:b/>
          <w:sz w:val="20"/>
          <w:szCs w:val="20"/>
        </w:rPr>
        <w:t>S-2017/95/</w:t>
      </w:r>
      <w:r w:rsidR="00E11487">
        <w:rPr>
          <w:rFonts w:ascii="Palatino Linotype" w:eastAsia="Calibri" w:hAnsi="Palatino Linotype" w:cstheme="minorHAnsi"/>
          <w:b/>
          <w:sz w:val="20"/>
          <w:szCs w:val="20"/>
        </w:rPr>
        <w:t>0117</w:t>
      </w:r>
    </w:p>
    <w:p w:rsidR="00AE1E3A" w:rsidRPr="00720606" w:rsidRDefault="00AE1E3A" w:rsidP="00AE1E3A">
      <w:pPr>
        <w:tabs>
          <w:tab w:val="left" w:pos="1418"/>
        </w:tabs>
        <w:jc w:val="both"/>
        <w:rPr>
          <w:rFonts w:ascii="Palatino Linotype" w:eastAsia="Calibri" w:hAnsi="Palatino Linotype" w:cstheme="minorHAnsi"/>
          <w:b/>
          <w:sz w:val="20"/>
          <w:szCs w:val="20"/>
        </w:rPr>
      </w:pPr>
      <w:r w:rsidRPr="00720606">
        <w:rPr>
          <w:rFonts w:ascii="Palatino Linotype" w:eastAsia="Calibri" w:hAnsi="Palatino Linotype" w:cstheme="minorHAnsi"/>
          <w:b/>
          <w:sz w:val="20"/>
          <w:szCs w:val="20"/>
        </w:rPr>
        <w:t>Postupitel:</w:t>
      </w:r>
      <w:r w:rsidRPr="00720606">
        <w:rPr>
          <w:rFonts w:ascii="Palatino Linotype" w:eastAsia="Calibri" w:hAnsi="Palatino Linotype" w:cstheme="minorHAnsi"/>
          <w:b/>
          <w:sz w:val="20"/>
          <w:szCs w:val="20"/>
        </w:rPr>
        <w:tab/>
      </w:r>
      <w:r>
        <w:rPr>
          <w:rFonts w:ascii="Palatino Linotype" w:eastAsia="Calibri" w:hAnsi="Palatino Linotype" w:cstheme="minorHAnsi"/>
          <w:b/>
          <w:sz w:val="20"/>
          <w:szCs w:val="20"/>
        </w:rPr>
        <w:t>Letňanská sportovně kulturní s.r.o. v likvidaci</w:t>
      </w:r>
    </w:p>
    <w:p w:rsidR="00AE1E3A" w:rsidRPr="00720606" w:rsidRDefault="00AE1E3A" w:rsidP="00AE1E3A">
      <w:pPr>
        <w:tabs>
          <w:tab w:val="left" w:pos="1418"/>
        </w:tabs>
        <w:ind w:left="1276"/>
        <w:jc w:val="both"/>
        <w:rPr>
          <w:rFonts w:ascii="Palatino Linotype" w:eastAsia="Calibri" w:hAnsi="Palatino Linotype" w:cstheme="minorHAnsi"/>
          <w:sz w:val="20"/>
          <w:szCs w:val="20"/>
        </w:rPr>
      </w:pPr>
      <w:r w:rsidRPr="00720606">
        <w:rPr>
          <w:rFonts w:ascii="Palatino Linotype" w:eastAsia="Calibri" w:hAnsi="Palatino Linotype" w:cstheme="minorHAnsi"/>
          <w:sz w:val="20"/>
          <w:szCs w:val="20"/>
        </w:rPr>
        <w:tab/>
        <w:t xml:space="preserve">IČ </w:t>
      </w:r>
      <w:r>
        <w:rPr>
          <w:rFonts w:ascii="Palatino Linotype" w:eastAsia="Calibri" w:hAnsi="Palatino Linotype" w:cstheme="minorHAnsi"/>
          <w:sz w:val="20"/>
          <w:szCs w:val="20"/>
        </w:rPr>
        <w:t>24259233</w:t>
      </w:r>
    </w:p>
    <w:p w:rsidR="00AE1E3A" w:rsidRPr="00720606" w:rsidRDefault="00AE1E3A" w:rsidP="00AE1E3A">
      <w:pPr>
        <w:tabs>
          <w:tab w:val="left" w:pos="1418"/>
        </w:tabs>
        <w:ind w:left="1416"/>
        <w:jc w:val="both"/>
        <w:rPr>
          <w:rFonts w:ascii="Palatino Linotype" w:eastAsia="Calibri" w:hAnsi="Palatino Linotype" w:cstheme="minorHAnsi"/>
          <w:sz w:val="20"/>
          <w:szCs w:val="20"/>
        </w:rPr>
      </w:pPr>
      <w:r w:rsidRPr="00720606">
        <w:rPr>
          <w:rFonts w:ascii="Palatino Linotype" w:eastAsia="Calibri" w:hAnsi="Palatino Linotype" w:cstheme="minorHAnsi"/>
          <w:sz w:val="20"/>
          <w:szCs w:val="20"/>
        </w:rPr>
        <w:tab/>
        <w:t xml:space="preserve">se sídlem </w:t>
      </w:r>
      <w:r>
        <w:rPr>
          <w:rFonts w:ascii="Palatino Linotype" w:eastAsia="Calibri" w:hAnsi="Palatino Linotype" w:cstheme="minorHAnsi"/>
          <w:sz w:val="20"/>
          <w:szCs w:val="20"/>
        </w:rPr>
        <w:t>Třinecká 650, 190 00 Praha 9</w:t>
      </w:r>
    </w:p>
    <w:p w:rsidR="00AE1E3A" w:rsidRPr="00720606" w:rsidRDefault="00AE1E3A" w:rsidP="00AE1E3A">
      <w:pPr>
        <w:tabs>
          <w:tab w:val="left" w:pos="1418"/>
        </w:tabs>
        <w:ind w:left="1416"/>
        <w:jc w:val="both"/>
        <w:rPr>
          <w:rFonts w:ascii="Palatino Linotype" w:eastAsia="Calibri" w:hAnsi="Palatino Linotype" w:cstheme="minorHAnsi"/>
          <w:sz w:val="20"/>
          <w:szCs w:val="20"/>
        </w:rPr>
      </w:pPr>
      <w:r w:rsidRPr="00720606">
        <w:rPr>
          <w:rFonts w:ascii="Palatino Linotype" w:eastAsia="Calibri" w:hAnsi="Palatino Linotype" w:cstheme="minorHAnsi"/>
          <w:sz w:val="20"/>
          <w:szCs w:val="20"/>
        </w:rPr>
        <w:tab/>
        <w:t xml:space="preserve">zapsaná v obchodním rejstříku vedeném Městským soudem v Praze oddíl C, vložka </w:t>
      </w:r>
      <w:r>
        <w:rPr>
          <w:rFonts w:ascii="Palatino Linotype" w:eastAsia="Calibri" w:hAnsi="Palatino Linotype" w:cstheme="minorHAnsi"/>
          <w:sz w:val="20"/>
          <w:szCs w:val="20"/>
        </w:rPr>
        <w:t>198206</w:t>
      </w:r>
    </w:p>
    <w:p w:rsidR="00AE1E3A" w:rsidRPr="00720606" w:rsidRDefault="00AE1E3A" w:rsidP="00AE1E3A">
      <w:pPr>
        <w:tabs>
          <w:tab w:val="left" w:pos="1418"/>
        </w:tabs>
        <w:ind w:left="1416"/>
        <w:jc w:val="both"/>
        <w:rPr>
          <w:rFonts w:ascii="Palatino Linotype" w:eastAsia="Calibri" w:hAnsi="Palatino Linotype" w:cstheme="minorHAnsi"/>
          <w:sz w:val="20"/>
          <w:szCs w:val="20"/>
        </w:rPr>
      </w:pPr>
      <w:r w:rsidRPr="00720606">
        <w:rPr>
          <w:rFonts w:ascii="Palatino Linotype" w:eastAsia="Calibri" w:hAnsi="Palatino Linotype" w:cstheme="minorHAnsi"/>
          <w:sz w:val="20"/>
          <w:szCs w:val="20"/>
        </w:rPr>
        <w:t xml:space="preserve">jednající </w:t>
      </w:r>
      <w:r>
        <w:rPr>
          <w:rFonts w:ascii="Palatino Linotype" w:eastAsia="Calibri" w:hAnsi="Palatino Linotype" w:cstheme="minorHAnsi"/>
          <w:sz w:val="20"/>
          <w:szCs w:val="20"/>
        </w:rPr>
        <w:t xml:space="preserve">Mgr. Martinou </w:t>
      </w:r>
      <w:proofErr w:type="spellStart"/>
      <w:r>
        <w:rPr>
          <w:rFonts w:ascii="Palatino Linotype" w:eastAsia="Calibri" w:hAnsi="Palatino Linotype" w:cstheme="minorHAnsi"/>
          <w:sz w:val="20"/>
          <w:szCs w:val="20"/>
        </w:rPr>
        <w:t>Krumichovou</w:t>
      </w:r>
      <w:proofErr w:type="spellEnd"/>
      <w:r>
        <w:rPr>
          <w:rFonts w:ascii="Palatino Linotype" w:eastAsia="Calibri" w:hAnsi="Palatino Linotype" w:cstheme="minorHAnsi"/>
          <w:sz w:val="20"/>
          <w:szCs w:val="20"/>
        </w:rPr>
        <w:t>, likvidátorem</w:t>
      </w:r>
      <w:r w:rsidRPr="00720606">
        <w:rPr>
          <w:rFonts w:ascii="Palatino Linotype" w:eastAsia="Calibri" w:hAnsi="Palatino Linotype" w:cstheme="minorHAnsi"/>
          <w:sz w:val="20"/>
          <w:szCs w:val="20"/>
        </w:rPr>
        <w:t xml:space="preserve"> společnosti</w:t>
      </w:r>
    </w:p>
    <w:p w:rsidR="00AE1E3A" w:rsidRPr="00720606" w:rsidRDefault="00AE1E3A" w:rsidP="00AE1E3A">
      <w:pPr>
        <w:spacing w:before="60"/>
        <w:ind w:left="1276" w:firstLine="140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(dále jen </w:t>
      </w:r>
      <w:r w:rsidRPr="00720606">
        <w:rPr>
          <w:rFonts w:ascii="Palatino Linotype" w:hAnsi="Palatino Linotype" w:cstheme="minorHAnsi"/>
          <w:b/>
          <w:i/>
          <w:sz w:val="20"/>
          <w:szCs w:val="20"/>
        </w:rPr>
        <w:t>„postupitel“</w:t>
      </w:r>
      <w:r w:rsidRPr="00720606">
        <w:rPr>
          <w:rFonts w:ascii="Palatino Linotype" w:hAnsi="Palatino Linotype" w:cstheme="minorHAnsi"/>
          <w:b/>
          <w:sz w:val="20"/>
          <w:szCs w:val="20"/>
        </w:rPr>
        <w:t>)</w:t>
      </w:r>
    </w:p>
    <w:p w:rsidR="00AE1E3A" w:rsidRPr="00720606" w:rsidRDefault="00AE1E3A" w:rsidP="00AE1E3A">
      <w:pPr>
        <w:jc w:val="both"/>
        <w:rPr>
          <w:rStyle w:val="Siln"/>
          <w:rFonts w:ascii="Palatino Linotype" w:hAnsi="Palatino Linotype" w:cstheme="minorHAnsi"/>
          <w:sz w:val="20"/>
          <w:szCs w:val="20"/>
        </w:rPr>
      </w:pPr>
    </w:p>
    <w:p w:rsidR="00AE1E3A" w:rsidRPr="00720606" w:rsidRDefault="00AE1E3A" w:rsidP="00AE1E3A">
      <w:pPr>
        <w:jc w:val="both"/>
        <w:rPr>
          <w:rStyle w:val="Siln"/>
          <w:rFonts w:ascii="Palatino Linotype" w:hAnsi="Palatino Linotype" w:cstheme="minorHAnsi"/>
          <w:bCs w:val="0"/>
          <w:sz w:val="20"/>
          <w:szCs w:val="20"/>
        </w:rPr>
      </w:pPr>
      <w:r w:rsidRPr="00720606">
        <w:rPr>
          <w:rStyle w:val="Siln"/>
          <w:rFonts w:ascii="Palatino Linotype" w:hAnsi="Palatino Linotype" w:cstheme="minorHAnsi"/>
          <w:sz w:val="20"/>
          <w:szCs w:val="20"/>
        </w:rPr>
        <w:t>a</w:t>
      </w:r>
    </w:p>
    <w:p w:rsidR="00AE1E3A" w:rsidRPr="00720606" w:rsidRDefault="00AE1E3A" w:rsidP="00AE1E3A">
      <w:pPr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AE1E3A" w:rsidRPr="00720606" w:rsidRDefault="00AE1E3A" w:rsidP="00AE1E3A">
      <w:pPr>
        <w:rPr>
          <w:rFonts w:ascii="Palatino Linotype" w:hAnsi="Palatino Linotype" w:cstheme="minorHAnsi"/>
          <w:b/>
          <w:sz w:val="20"/>
          <w:szCs w:val="20"/>
        </w:rPr>
      </w:pPr>
      <w:r w:rsidRPr="00720606">
        <w:rPr>
          <w:rFonts w:ascii="Palatino Linotype" w:hAnsi="Palatino Linotype" w:cstheme="minorHAnsi"/>
          <w:b/>
          <w:sz w:val="20"/>
          <w:szCs w:val="20"/>
        </w:rPr>
        <w:t>Postupník:</w:t>
      </w:r>
      <w:r w:rsidRPr="00720606">
        <w:rPr>
          <w:rFonts w:ascii="Palatino Linotype" w:hAnsi="Palatino Linotype" w:cstheme="minorHAnsi"/>
          <w:b/>
          <w:sz w:val="20"/>
          <w:szCs w:val="20"/>
        </w:rPr>
        <w:tab/>
      </w:r>
      <w:r>
        <w:rPr>
          <w:rFonts w:ascii="Palatino Linotype" w:hAnsi="Palatino Linotype" w:cstheme="minorHAnsi"/>
          <w:b/>
          <w:sz w:val="20"/>
          <w:szCs w:val="20"/>
        </w:rPr>
        <w:t>Městská část Praha 18</w:t>
      </w:r>
    </w:p>
    <w:p w:rsidR="00AE1E3A" w:rsidRPr="00720606" w:rsidRDefault="00AE1E3A" w:rsidP="00AE1E3A">
      <w:pPr>
        <w:ind w:left="708" w:firstLine="708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IČ </w:t>
      </w:r>
      <w:r>
        <w:rPr>
          <w:rFonts w:ascii="Palatino Linotype" w:hAnsi="Palatino Linotype" w:cstheme="minorHAnsi"/>
          <w:sz w:val="20"/>
          <w:szCs w:val="20"/>
        </w:rPr>
        <w:t>00231321</w:t>
      </w:r>
    </w:p>
    <w:p w:rsidR="00AE1E3A" w:rsidRPr="00720606" w:rsidRDefault="00AE1E3A" w:rsidP="00AE1E3A">
      <w:pPr>
        <w:ind w:left="708" w:firstLine="708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se sídlem </w:t>
      </w:r>
      <w:r>
        <w:rPr>
          <w:rFonts w:ascii="Palatino Linotype" w:hAnsi="Palatino Linotype" w:cstheme="minorHAnsi"/>
          <w:sz w:val="20"/>
          <w:szCs w:val="20"/>
        </w:rPr>
        <w:t xml:space="preserve">Bechyňská 639, 199 00 Praha 9 – Letňany </w:t>
      </w:r>
    </w:p>
    <w:p w:rsidR="00AE1E3A" w:rsidRPr="00720606" w:rsidRDefault="00AE1E3A" w:rsidP="00AE1E3A">
      <w:pPr>
        <w:ind w:left="708" w:firstLine="708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zastoupená starostou Mgr. Ivanem </w:t>
      </w:r>
      <w:proofErr w:type="spellStart"/>
      <w:r>
        <w:rPr>
          <w:rFonts w:ascii="Palatino Linotype" w:hAnsi="Palatino Linotype" w:cstheme="minorHAnsi"/>
          <w:sz w:val="20"/>
          <w:szCs w:val="20"/>
        </w:rPr>
        <w:t>Kabickým</w:t>
      </w:r>
      <w:proofErr w:type="spellEnd"/>
    </w:p>
    <w:p w:rsidR="00AE1E3A" w:rsidRPr="00720606" w:rsidRDefault="00AE1E3A" w:rsidP="00AE1E3A">
      <w:pPr>
        <w:spacing w:before="60"/>
        <w:ind w:left="708" w:firstLine="708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(dále jen </w:t>
      </w:r>
      <w:r w:rsidRPr="00720606">
        <w:rPr>
          <w:rFonts w:ascii="Palatino Linotype" w:hAnsi="Palatino Linotype" w:cstheme="minorHAnsi"/>
          <w:b/>
          <w:i/>
          <w:sz w:val="20"/>
          <w:szCs w:val="20"/>
        </w:rPr>
        <w:t>„postupník“</w:t>
      </w:r>
      <w:r w:rsidRPr="00720606">
        <w:rPr>
          <w:rFonts w:ascii="Palatino Linotype" w:hAnsi="Palatino Linotype" w:cstheme="minorHAnsi"/>
          <w:sz w:val="20"/>
          <w:szCs w:val="20"/>
        </w:rPr>
        <w:t>)</w:t>
      </w:r>
    </w:p>
    <w:p w:rsidR="002E3D4D" w:rsidRPr="00EB5A4B" w:rsidRDefault="002E3D4D" w:rsidP="00C26726">
      <w:pPr>
        <w:widowControl w:val="0"/>
        <w:jc w:val="right"/>
        <w:rPr>
          <w:rFonts w:ascii="Palatino Linotype" w:hAnsi="Palatino Linotype" w:cstheme="minorHAnsi"/>
          <w:b/>
          <w:sz w:val="20"/>
          <w:szCs w:val="20"/>
        </w:rPr>
      </w:pPr>
    </w:p>
    <w:p w:rsidR="00655358" w:rsidRPr="00EB5A4B" w:rsidRDefault="00655358" w:rsidP="00655358">
      <w:pPr>
        <w:widowControl w:val="0"/>
        <w:jc w:val="both"/>
        <w:rPr>
          <w:rFonts w:ascii="Palatino Linotype" w:hAnsi="Palatino Linotype" w:cstheme="minorHAnsi"/>
          <w:sz w:val="20"/>
          <w:szCs w:val="20"/>
        </w:rPr>
      </w:pPr>
      <w:r w:rsidRPr="00EB5A4B">
        <w:rPr>
          <w:rFonts w:ascii="Palatino Linotype" w:hAnsi="Palatino Linotype" w:cstheme="minorHAnsi"/>
          <w:sz w:val="20"/>
          <w:szCs w:val="20"/>
        </w:rPr>
        <w:t>(postupitel</w:t>
      </w:r>
      <w:r w:rsidR="002E3D4D" w:rsidRPr="00EB5A4B">
        <w:rPr>
          <w:rFonts w:ascii="Palatino Linotype" w:hAnsi="Palatino Linotype" w:cstheme="minorHAnsi"/>
          <w:sz w:val="20"/>
          <w:szCs w:val="20"/>
        </w:rPr>
        <w:t xml:space="preserve"> a p</w:t>
      </w:r>
      <w:r w:rsidRPr="00EB5A4B">
        <w:rPr>
          <w:rFonts w:ascii="Palatino Linotype" w:hAnsi="Palatino Linotype" w:cstheme="minorHAnsi"/>
          <w:sz w:val="20"/>
          <w:szCs w:val="20"/>
        </w:rPr>
        <w:t xml:space="preserve">ostupník </w:t>
      </w:r>
      <w:r w:rsidR="002E3D4D" w:rsidRPr="00EB5A4B">
        <w:rPr>
          <w:rFonts w:ascii="Palatino Linotype" w:hAnsi="Palatino Linotype" w:cstheme="minorHAnsi"/>
          <w:sz w:val="20"/>
          <w:szCs w:val="20"/>
        </w:rPr>
        <w:t>dále</w:t>
      </w:r>
      <w:r w:rsidRPr="00EB5A4B">
        <w:rPr>
          <w:rFonts w:ascii="Palatino Linotype" w:hAnsi="Palatino Linotype" w:cstheme="minorHAnsi"/>
          <w:sz w:val="20"/>
          <w:szCs w:val="20"/>
        </w:rPr>
        <w:t xml:space="preserve"> také</w:t>
      </w:r>
      <w:r w:rsidR="002E3D4D" w:rsidRPr="00EB5A4B">
        <w:rPr>
          <w:rFonts w:ascii="Palatino Linotype" w:hAnsi="Palatino Linotype" w:cstheme="minorHAnsi"/>
          <w:sz w:val="20"/>
          <w:szCs w:val="20"/>
        </w:rPr>
        <w:t xml:space="preserve"> jen</w:t>
      </w:r>
      <w:r w:rsidRPr="00EB5A4B">
        <w:rPr>
          <w:rFonts w:ascii="Palatino Linotype" w:hAnsi="Palatino Linotype" w:cstheme="minorHAnsi"/>
          <w:sz w:val="20"/>
          <w:szCs w:val="20"/>
        </w:rPr>
        <w:t xml:space="preserve"> jako</w:t>
      </w:r>
      <w:r w:rsidR="002E3D4D" w:rsidRPr="00EB5A4B">
        <w:rPr>
          <w:rFonts w:ascii="Palatino Linotype" w:hAnsi="Palatino Linotype" w:cstheme="minorHAnsi"/>
          <w:sz w:val="20"/>
          <w:szCs w:val="20"/>
        </w:rPr>
        <w:t xml:space="preserve"> </w:t>
      </w:r>
      <w:r w:rsidR="002E3D4D" w:rsidRPr="00EB5A4B">
        <w:rPr>
          <w:rFonts w:ascii="Palatino Linotype" w:hAnsi="Palatino Linotype" w:cstheme="minorHAnsi"/>
          <w:b/>
          <w:i/>
          <w:sz w:val="20"/>
          <w:szCs w:val="20"/>
        </w:rPr>
        <w:t>„smluvní strany“</w:t>
      </w:r>
      <w:r w:rsidR="002E3D4D" w:rsidRPr="00EB5A4B">
        <w:rPr>
          <w:rFonts w:ascii="Palatino Linotype" w:hAnsi="Palatino Linotype" w:cstheme="minorHAnsi"/>
          <w:sz w:val="20"/>
          <w:szCs w:val="20"/>
        </w:rPr>
        <w:t>)</w:t>
      </w:r>
    </w:p>
    <w:p w:rsidR="00655358" w:rsidRDefault="00655358" w:rsidP="00C26726">
      <w:pPr>
        <w:widowControl w:val="0"/>
        <w:jc w:val="center"/>
        <w:rPr>
          <w:rFonts w:ascii="Palatino Linotype" w:hAnsi="Palatino Linotype" w:cstheme="minorHAnsi"/>
          <w:sz w:val="20"/>
          <w:szCs w:val="20"/>
        </w:rPr>
      </w:pPr>
    </w:p>
    <w:p w:rsidR="00BA74CA" w:rsidRPr="00EB5A4B" w:rsidRDefault="00BA74CA" w:rsidP="00C26726">
      <w:pPr>
        <w:widowControl w:val="0"/>
        <w:jc w:val="center"/>
        <w:rPr>
          <w:rFonts w:ascii="Palatino Linotype" w:hAnsi="Palatino Linotype" w:cstheme="minorHAnsi"/>
          <w:sz w:val="20"/>
          <w:szCs w:val="20"/>
        </w:rPr>
      </w:pPr>
    </w:p>
    <w:p w:rsidR="002E3D4D" w:rsidRDefault="002E3D4D" w:rsidP="00C26726">
      <w:pPr>
        <w:widowControl w:val="0"/>
        <w:jc w:val="center"/>
        <w:rPr>
          <w:rFonts w:ascii="Palatino Linotype" w:hAnsi="Palatino Linotype" w:cstheme="minorHAnsi"/>
          <w:sz w:val="20"/>
          <w:szCs w:val="20"/>
        </w:rPr>
      </w:pPr>
      <w:r w:rsidRPr="00EB5A4B">
        <w:rPr>
          <w:rFonts w:ascii="Palatino Linotype" w:hAnsi="Palatino Linotype" w:cstheme="minorHAnsi"/>
          <w:sz w:val="20"/>
          <w:szCs w:val="20"/>
        </w:rPr>
        <w:t xml:space="preserve">uzavírají níže uvedeného dne, měsíce a roku </w:t>
      </w:r>
      <w:r w:rsidR="006C5AF6">
        <w:rPr>
          <w:rFonts w:ascii="Palatino Linotype" w:hAnsi="Palatino Linotype" w:cstheme="minorHAnsi"/>
          <w:sz w:val="20"/>
          <w:szCs w:val="20"/>
        </w:rPr>
        <w:t>tento</w:t>
      </w:r>
    </w:p>
    <w:p w:rsidR="006C5AF6" w:rsidRDefault="006C5AF6" w:rsidP="002E3D4D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6C5AF6" w:rsidRDefault="006C5AF6" w:rsidP="002E3D4D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DODATEK č. 1</w:t>
      </w:r>
    </w:p>
    <w:p w:rsidR="006C5AF6" w:rsidRDefault="006C5AF6" w:rsidP="002E3D4D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2E3D4D" w:rsidRPr="00EB5A4B" w:rsidRDefault="00035924" w:rsidP="002E3D4D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EB5A4B">
        <w:rPr>
          <w:rFonts w:ascii="Palatino Linotype" w:hAnsi="Palatino Linotype" w:cstheme="minorHAnsi"/>
          <w:b/>
          <w:sz w:val="20"/>
          <w:szCs w:val="20"/>
        </w:rPr>
        <w:t>DOHOD</w:t>
      </w:r>
      <w:r w:rsidR="006C5AF6">
        <w:rPr>
          <w:rFonts w:ascii="Palatino Linotype" w:hAnsi="Palatino Linotype" w:cstheme="minorHAnsi"/>
          <w:b/>
          <w:sz w:val="20"/>
          <w:szCs w:val="20"/>
        </w:rPr>
        <w:t>Y</w:t>
      </w:r>
      <w:r w:rsidRPr="00EB5A4B">
        <w:rPr>
          <w:rFonts w:ascii="Palatino Linotype" w:hAnsi="Palatino Linotype" w:cstheme="minorHAnsi"/>
          <w:b/>
          <w:sz w:val="20"/>
          <w:szCs w:val="20"/>
        </w:rPr>
        <w:t xml:space="preserve"> O ZPŮSOBU ZAPLACENÍ CENY</w:t>
      </w:r>
    </w:p>
    <w:p w:rsidR="005A4857" w:rsidRPr="00EB5A4B" w:rsidRDefault="005A4857" w:rsidP="002E3D4D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EB5A4B">
        <w:rPr>
          <w:rFonts w:ascii="Palatino Linotype" w:hAnsi="Palatino Linotype" w:cstheme="minorHAnsi"/>
          <w:b/>
          <w:sz w:val="20"/>
          <w:szCs w:val="20"/>
        </w:rPr>
        <w:t>A</w:t>
      </w:r>
    </w:p>
    <w:p w:rsidR="005A4857" w:rsidRDefault="005A4857" w:rsidP="002E3D4D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EB5A4B">
        <w:rPr>
          <w:rFonts w:ascii="Palatino Linotype" w:hAnsi="Palatino Linotype" w:cstheme="minorHAnsi"/>
          <w:b/>
          <w:sz w:val="20"/>
          <w:szCs w:val="20"/>
        </w:rPr>
        <w:t>DOHOD</w:t>
      </w:r>
      <w:r w:rsidR="006C5AF6">
        <w:rPr>
          <w:rFonts w:ascii="Palatino Linotype" w:hAnsi="Palatino Linotype" w:cstheme="minorHAnsi"/>
          <w:b/>
          <w:sz w:val="20"/>
          <w:szCs w:val="20"/>
        </w:rPr>
        <w:t>Y</w:t>
      </w:r>
      <w:r w:rsidRPr="00EB5A4B">
        <w:rPr>
          <w:rFonts w:ascii="Palatino Linotype" w:hAnsi="Palatino Linotype" w:cstheme="minorHAnsi"/>
          <w:b/>
          <w:sz w:val="20"/>
          <w:szCs w:val="20"/>
        </w:rPr>
        <w:t xml:space="preserve"> O ZAPOČTENÍ POHLEDÁVEK</w:t>
      </w:r>
    </w:p>
    <w:p w:rsidR="006C5AF6" w:rsidRPr="00EB5A4B" w:rsidRDefault="00553E0A" w:rsidP="002E3D4D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 xml:space="preserve">S-2017/95/0051 </w:t>
      </w:r>
      <w:r w:rsidR="006C5AF6">
        <w:rPr>
          <w:rFonts w:ascii="Palatino Linotype" w:hAnsi="Palatino Linotype" w:cstheme="minorHAnsi"/>
          <w:b/>
          <w:sz w:val="20"/>
          <w:szCs w:val="20"/>
        </w:rPr>
        <w:t>ze dne 20.</w:t>
      </w:r>
      <w:r w:rsidR="00A20B8E">
        <w:rPr>
          <w:rFonts w:ascii="Palatino Linotype" w:hAnsi="Palatino Linotype" w:cstheme="minorHAnsi"/>
          <w:b/>
          <w:sz w:val="20"/>
          <w:szCs w:val="20"/>
        </w:rPr>
        <w:t xml:space="preserve"> </w:t>
      </w:r>
      <w:r w:rsidR="006C5AF6">
        <w:rPr>
          <w:rFonts w:ascii="Palatino Linotype" w:hAnsi="Palatino Linotype" w:cstheme="minorHAnsi"/>
          <w:b/>
          <w:sz w:val="20"/>
          <w:szCs w:val="20"/>
        </w:rPr>
        <w:t>6.</w:t>
      </w:r>
      <w:r w:rsidR="00A20B8E">
        <w:rPr>
          <w:rFonts w:ascii="Palatino Linotype" w:hAnsi="Palatino Linotype" w:cstheme="minorHAnsi"/>
          <w:b/>
          <w:sz w:val="20"/>
          <w:szCs w:val="20"/>
        </w:rPr>
        <w:t xml:space="preserve"> </w:t>
      </w:r>
      <w:r w:rsidR="006C5AF6">
        <w:rPr>
          <w:rFonts w:ascii="Palatino Linotype" w:hAnsi="Palatino Linotype" w:cstheme="minorHAnsi"/>
          <w:b/>
          <w:sz w:val="20"/>
          <w:szCs w:val="20"/>
        </w:rPr>
        <w:t>2017</w:t>
      </w:r>
    </w:p>
    <w:p w:rsidR="005A4857" w:rsidRPr="00EB5A4B" w:rsidRDefault="005A4857" w:rsidP="002E3D4D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2E3D4D" w:rsidRPr="00EB5A4B" w:rsidRDefault="002E3D4D" w:rsidP="002E3D4D">
      <w:pPr>
        <w:widowControl w:val="0"/>
        <w:jc w:val="center"/>
        <w:rPr>
          <w:rFonts w:ascii="Palatino Linotype" w:hAnsi="Palatino Linotype" w:cstheme="minorHAnsi"/>
          <w:sz w:val="20"/>
          <w:szCs w:val="20"/>
        </w:rPr>
      </w:pPr>
      <w:r w:rsidRPr="00EB5A4B">
        <w:rPr>
          <w:rFonts w:ascii="Palatino Linotype" w:hAnsi="Palatino Linotype" w:cstheme="minorHAnsi"/>
          <w:sz w:val="20"/>
          <w:szCs w:val="20"/>
        </w:rPr>
        <w:t xml:space="preserve">(dále jen jako </w:t>
      </w:r>
      <w:r w:rsidRPr="00EB5A4B">
        <w:rPr>
          <w:rFonts w:ascii="Palatino Linotype" w:hAnsi="Palatino Linotype" w:cstheme="minorHAnsi"/>
          <w:b/>
          <w:i/>
          <w:sz w:val="20"/>
          <w:szCs w:val="20"/>
        </w:rPr>
        <w:t>„</w:t>
      </w:r>
      <w:r w:rsidR="006C5AF6">
        <w:rPr>
          <w:rFonts w:ascii="Palatino Linotype" w:hAnsi="Palatino Linotype" w:cstheme="minorHAnsi"/>
          <w:b/>
          <w:i/>
          <w:sz w:val="20"/>
          <w:szCs w:val="20"/>
        </w:rPr>
        <w:t>dodatek č. 1</w:t>
      </w:r>
      <w:r w:rsidRPr="00EB5A4B">
        <w:rPr>
          <w:rFonts w:ascii="Palatino Linotype" w:hAnsi="Palatino Linotype" w:cstheme="minorHAnsi"/>
          <w:b/>
          <w:i/>
          <w:sz w:val="20"/>
          <w:szCs w:val="20"/>
        </w:rPr>
        <w:t>"</w:t>
      </w:r>
      <w:r w:rsidRPr="00EB5A4B">
        <w:rPr>
          <w:rFonts w:ascii="Palatino Linotype" w:hAnsi="Palatino Linotype" w:cstheme="minorHAnsi"/>
          <w:sz w:val="20"/>
          <w:szCs w:val="20"/>
        </w:rPr>
        <w:t>)</w:t>
      </w:r>
    </w:p>
    <w:p w:rsidR="002E3D4D" w:rsidRDefault="002E3D4D" w:rsidP="002E3D4D">
      <w:pPr>
        <w:widowControl w:val="0"/>
        <w:spacing w:before="120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035924" w:rsidRPr="00EB5A4B" w:rsidRDefault="00035924" w:rsidP="00035924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EB5A4B">
        <w:rPr>
          <w:rFonts w:ascii="Palatino Linotype" w:hAnsi="Palatino Linotype" w:cstheme="minorHAnsi"/>
          <w:b/>
          <w:sz w:val="20"/>
          <w:szCs w:val="20"/>
        </w:rPr>
        <w:t>I.</w:t>
      </w:r>
    </w:p>
    <w:p w:rsidR="002E3D4D" w:rsidRPr="00EB5A4B" w:rsidRDefault="006C5AF6" w:rsidP="00035924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Úvodní ustanovení</w:t>
      </w:r>
    </w:p>
    <w:p w:rsidR="006A3A33" w:rsidRPr="00EB5A4B" w:rsidRDefault="006A3A33" w:rsidP="00035924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6C5AF6" w:rsidRDefault="006C5AF6" w:rsidP="00AE1E3A">
      <w:pPr>
        <w:widowControl w:val="0"/>
        <w:numPr>
          <w:ilvl w:val="1"/>
          <w:numId w:val="2"/>
        </w:numPr>
        <w:spacing w:before="60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Smluvní strany uzavřely dne 20.6.2017 Smlouvu o postoupení pohledávky </w:t>
      </w:r>
      <w:proofErr w:type="gramStart"/>
      <w:r>
        <w:rPr>
          <w:rFonts w:ascii="Palatino Linotype" w:hAnsi="Palatino Linotype" w:cstheme="minorHAnsi"/>
          <w:sz w:val="20"/>
          <w:szCs w:val="20"/>
        </w:rPr>
        <w:t>č.j.</w:t>
      </w:r>
      <w:proofErr w:type="gramEnd"/>
      <w:r>
        <w:rPr>
          <w:rFonts w:ascii="Palatino Linotype" w:hAnsi="Palatino Linotype" w:cstheme="minorHAnsi"/>
          <w:sz w:val="20"/>
          <w:szCs w:val="20"/>
        </w:rPr>
        <w:t xml:space="preserve"> S-2017/95/0052 (dále jen „</w:t>
      </w:r>
      <w:r w:rsidRPr="006C5AF6">
        <w:rPr>
          <w:rFonts w:ascii="Palatino Linotype" w:hAnsi="Palatino Linotype" w:cstheme="minorHAnsi"/>
          <w:i/>
          <w:sz w:val="20"/>
          <w:szCs w:val="20"/>
        </w:rPr>
        <w:t>smlouva</w:t>
      </w:r>
      <w:r>
        <w:rPr>
          <w:rFonts w:ascii="Palatino Linotype" w:hAnsi="Palatino Linotype" w:cstheme="minorHAnsi"/>
          <w:sz w:val="20"/>
          <w:szCs w:val="20"/>
        </w:rPr>
        <w:t>“) a související Dohodu o způsobu zaplacení ceny a dohodu o započtení pohledávek č.j. S-2017/95/005</w:t>
      </w:r>
      <w:r w:rsidR="00553E0A">
        <w:rPr>
          <w:rFonts w:ascii="Palatino Linotype" w:hAnsi="Palatino Linotype" w:cstheme="minorHAnsi"/>
          <w:sz w:val="20"/>
          <w:szCs w:val="20"/>
        </w:rPr>
        <w:t>1</w:t>
      </w:r>
      <w:r>
        <w:rPr>
          <w:rFonts w:ascii="Palatino Linotype" w:hAnsi="Palatino Linotype" w:cstheme="minorHAnsi"/>
          <w:sz w:val="20"/>
          <w:szCs w:val="20"/>
        </w:rPr>
        <w:t xml:space="preserve"> (dále jen „</w:t>
      </w:r>
      <w:r w:rsidRPr="006C5AF6">
        <w:rPr>
          <w:rFonts w:ascii="Palatino Linotype" w:hAnsi="Palatino Linotype" w:cstheme="minorHAnsi"/>
          <w:i/>
          <w:sz w:val="20"/>
          <w:szCs w:val="20"/>
        </w:rPr>
        <w:t>dohoda</w:t>
      </w:r>
      <w:r>
        <w:rPr>
          <w:rFonts w:ascii="Palatino Linotype" w:hAnsi="Palatino Linotype" w:cstheme="minorHAnsi"/>
          <w:sz w:val="20"/>
          <w:szCs w:val="20"/>
        </w:rPr>
        <w:t xml:space="preserve">“). </w:t>
      </w:r>
    </w:p>
    <w:p w:rsidR="006C5AF6" w:rsidRDefault="006C5AF6" w:rsidP="00AE1E3A">
      <w:pPr>
        <w:widowControl w:val="0"/>
        <w:numPr>
          <w:ilvl w:val="1"/>
          <w:numId w:val="2"/>
        </w:numPr>
        <w:spacing w:before="60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Předmětem smlouvy bylo postoupení vykonatelné pohledávky vůči bývalému jednateli postupitele za panem Václavem Loučkou, nar. 28.</w:t>
      </w:r>
      <w:r w:rsidR="00A20B8E">
        <w:rPr>
          <w:rFonts w:ascii="Palatino Linotype" w:hAnsi="Palatino Linotype" w:cstheme="minorHAnsi"/>
          <w:sz w:val="20"/>
          <w:szCs w:val="20"/>
        </w:rPr>
        <w:t xml:space="preserve"> </w:t>
      </w:r>
      <w:r>
        <w:rPr>
          <w:rFonts w:ascii="Palatino Linotype" w:hAnsi="Palatino Linotype" w:cstheme="minorHAnsi"/>
          <w:sz w:val="20"/>
          <w:szCs w:val="20"/>
        </w:rPr>
        <w:t>4.</w:t>
      </w:r>
      <w:r w:rsidR="00A20B8E">
        <w:rPr>
          <w:rFonts w:ascii="Palatino Linotype" w:hAnsi="Palatino Linotype" w:cstheme="minorHAnsi"/>
          <w:sz w:val="20"/>
          <w:szCs w:val="20"/>
        </w:rPr>
        <w:t xml:space="preserve"> </w:t>
      </w:r>
      <w:r>
        <w:rPr>
          <w:rFonts w:ascii="Palatino Linotype" w:hAnsi="Palatino Linotype" w:cstheme="minorHAnsi"/>
          <w:sz w:val="20"/>
          <w:szCs w:val="20"/>
        </w:rPr>
        <w:t xml:space="preserve">1977, trvale bytem Smetanova 68/2, Mariánské Lázně (dále jen „dlužník“) postupníkovi. Pohledávka spočívající v nároku na náhradu škody vůči dlužníkovi ve výši 1.485.941,17 Kč byla postupiteli pravomocně přiznána Rozsudkem Obvodního soudu pro Prahu 9 </w:t>
      </w:r>
      <w:proofErr w:type="gramStart"/>
      <w:r>
        <w:rPr>
          <w:rFonts w:ascii="Palatino Linotype" w:hAnsi="Palatino Linotype" w:cstheme="minorHAnsi"/>
          <w:sz w:val="20"/>
          <w:szCs w:val="20"/>
        </w:rPr>
        <w:t>č.j.</w:t>
      </w:r>
      <w:proofErr w:type="gramEnd"/>
      <w:r>
        <w:rPr>
          <w:rFonts w:ascii="Palatino Linotype" w:hAnsi="Palatino Linotype" w:cstheme="minorHAnsi"/>
          <w:sz w:val="20"/>
          <w:szCs w:val="20"/>
        </w:rPr>
        <w:t xml:space="preserve"> 21 T 27/2016 ze dne 11.1.2017, právní moc 11.2.2017.</w:t>
      </w:r>
    </w:p>
    <w:p w:rsidR="005A4857" w:rsidRPr="00AE1E3A" w:rsidRDefault="006C5AF6" w:rsidP="00AE1E3A">
      <w:pPr>
        <w:widowControl w:val="0"/>
        <w:numPr>
          <w:ilvl w:val="1"/>
          <w:numId w:val="2"/>
        </w:numPr>
        <w:spacing w:before="60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Předmětem dohody bylo ujednání o způsobu úhrady úplaty za postoupení předmětné pohledávky.</w:t>
      </w:r>
    </w:p>
    <w:p w:rsidR="002E3D4D" w:rsidRDefault="002E3D4D" w:rsidP="002E3D4D">
      <w:pPr>
        <w:widowControl w:val="0"/>
        <w:spacing w:before="120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E11487" w:rsidRDefault="00E11487" w:rsidP="002E3D4D">
      <w:pPr>
        <w:widowControl w:val="0"/>
        <w:spacing w:before="120"/>
        <w:jc w:val="both"/>
        <w:rPr>
          <w:rFonts w:ascii="Palatino Linotype" w:hAnsi="Palatino Linotype" w:cstheme="minorHAnsi"/>
          <w:b/>
          <w:sz w:val="20"/>
          <w:szCs w:val="20"/>
        </w:rPr>
      </w:pPr>
    </w:p>
    <w:p w:rsidR="00E11487" w:rsidRDefault="00E11487" w:rsidP="00035924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035924" w:rsidRPr="00EB5A4B" w:rsidRDefault="00035924" w:rsidP="00035924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EB5A4B">
        <w:rPr>
          <w:rFonts w:ascii="Palatino Linotype" w:hAnsi="Palatino Linotype" w:cstheme="minorHAnsi"/>
          <w:b/>
          <w:sz w:val="20"/>
          <w:szCs w:val="20"/>
        </w:rPr>
        <w:lastRenderedPageBreak/>
        <w:t>II.</w:t>
      </w:r>
    </w:p>
    <w:p w:rsidR="002E3D4D" w:rsidRPr="00EB5A4B" w:rsidRDefault="006C5AF6" w:rsidP="00035924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Předmět dodatku č. 1</w:t>
      </w:r>
    </w:p>
    <w:p w:rsidR="006A3A33" w:rsidRPr="00EB5A4B" w:rsidRDefault="006A3A33" w:rsidP="00035924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D52928" w:rsidRPr="006C5AF6" w:rsidRDefault="006C5AF6" w:rsidP="00035924">
      <w:pPr>
        <w:pStyle w:val="Odstavecseseznamem"/>
        <w:numPr>
          <w:ilvl w:val="1"/>
          <w:numId w:val="6"/>
        </w:numPr>
        <w:spacing w:before="60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V souladu </w:t>
      </w:r>
      <w:r w:rsidR="00587C7A">
        <w:rPr>
          <w:rFonts w:ascii="Palatino Linotype" w:hAnsi="Palatino Linotype" w:cstheme="minorHAnsi"/>
          <w:sz w:val="20"/>
          <w:szCs w:val="20"/>
        </w:rPr>
        <w:t xml:space="preserve">s odst. </w:t>
      </w:r>
      <w:proofErr w:type="gramStart"/>
      <w:r w:rsidR="00587C7A">
        <w:rPr>
          <w:rFonts w:ascii="Palatino Linotype" w:hAnsi="Palatino Linotype" w:cstheme="minorHAnsi"/>
          <w:sz w:val="20"/>
          <w:szCs w:val="20"/>
        </w:rPr>
        <w:t>2.4. dohody</w:t>
      </w:r>
      <w:proofErr w:type="gramEnd"/>
      <w:r w:rsidR="00587C7A">
        <w:rPr>
          <w:rFonts w:ascii="Palatino Linotype" w:hAnsi="Palatino Linotype" w:cstheme="minorHAnsi"/>
          <w:sz w:val="20"/>
          <w:szCs w:val="20"/>
        </w:rPr>
        <w:t xml:space="preserve"> uzavírají smluvní strany tento Dodatek č. 1 Dohody o způsobu zaplacení ceny a dohody o započtení pohledávek.</w:t>
      </w:r>
    </w:p>
    <w:p w:rsidR="00587C7A" w:rsidRDefault="00D52928" w:rsidP="00035924">
      <w:pPr>
        <w:pStyle w:val="Odstavecseseznamem"/>
        <w:numPr>
          <w:ilvl w:val="1"/>
          <w:numId w:val="6"/>
        </w:numPr>
        <w:spacing w:before="60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EB5A4B">
        <w:rPr>
          <w:rFonts w:ascii="Palatino Linotype" w:hAnsi="Palatino Linotype" w:cstheme="minorHAnsi"/>
          <w:sz w:val="20"/>
          <w:szCs w:val="20"/>
        </w:rPr>
        <w:t xml:space="preserve">Smluvní strany prohlašují a činí navzájem nesporným, že </w:t>
      </w:r>
      <w:r w:rsidR="00055874">
        <w:rPr>
          <w:rFonts w:ascii="Palatino Linotype" w:hAnsi="Palatino Linotype" w:cstheme="minorHAnsi"/>
          <w:sz w:val="20"/>
          <w:szCs w:val="20"/>
        </w:rPr>
        <w:t xml:space="preserve">cena za postoupení pohledávky Smlouvou o postoupení pohledávky ve výši 1.485.941,17 Kč </w:t>
      </w:r>
      <w:r w:rsidR="00587C7A">
        <w:rPr>
          <w:rFonts w:ascii="Palatino Linotype" w:hAnsi="Palatino Linotype" w:cstheme="minorHAnsi"/>
          <w:sz w:val="20"/>
          <w:szCs w:val="20"/>
        </w:rPr>
        <w:t>byla určena jako maximální, přičemž Dohodou ze dne 20.</w:t>
      </w:r>
      <w:r w:rsidR="00A20B8E">
        <w:rPr>
          <w:rFonts w:ascii="Palatino Linotype" w:hAnsi="Palatino Linotype" w:cstheme="minorHAnsi"/>
          <w:sz w:val="20"/>
          <w:szCs w:val="20"/>
        </w:rPr>
        <w:t xml:space="preserve"> </w:t>
      </w:r>
      <w:r w:rsidR="00587C7A">
        <w:rPr>
          <w:rFonts w:ascii="Palatino Linotype" w:hAnsi="Palatino Linotype" w:cstheme="minorHAnsi"/>
          <w:sz w:val="20"/>
          <w:szCs w:val="20"/>
        </w:rPr>
        <w:t>6.</w:t>
      </w:r>
      <w:r w:rsidR="00A20B8E">
        <w:rPr>
          <w:rFonts w:ascii="Palatino Linotype" w:hAnsi="Palatino Linotype" w:cstheme="minorHAnsi"/>
          <w:sz w:val="20"/>
          <w:szCs w:val="20"/>
        </w:rPr>
        <w:t xml:space="preserve"> </w:t>
      </w:r>
      <w:r w:rsidR="00587C7A">
        <w:rPr>
          <w:rFonts w:ascii="Palatino Linotype" w:hAnsi="Palatino Linotype" w:cstheme="minorHAnsi"/>
          <w:sz w:val="20"/>
          <w:szCs w:val="20"/>
        </w:rPr>
        <w:t>2017 byla vůči této ceně započtena pohledávka postupníka v celkové výši 760.399,40 Kč a postupník přistoupil k závazkům postupitele v celkové výši 505.733,00 Kč. Celková cena za postoupení pohledávky tak může být aktuálně navýšena o zápočty pohledávek postupníka nebo prostřednictvím přistoupení postupníka k závazkům postupitele maximálně do výše 219.808,77 Kč.</w:t>
      </w:r>
    </w:p>
    <w:p w:rsidR="00035924" w:rsidRPr="00EB5A4B" w:rsidRDefault="00035924" w:rsidP="00035924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EB5A4B">
        <w:rPr>
          <w:rFonts w:ascii="Palatino Linotype" w:hAnsi="Palatino Linotype" w:cstheme="minorHAnsi"/>
          <w:b/>
          <w:sz w:val="20"/>
          <w:szCs w:val="20"/>
        </w:rPr>
        <w:t>III.</w:t>
      </w:r>
    </w:p>
    <w:p w:rsidR="006A3A33" w:rsidRPr="00EB5A4B" w:rsidRDefault="006A3A33" w:rsidP="00035924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EB5A4B">
        <w:rPr>
          <w:rFonts w:ascii="Palatino Linotype" w:hAnsi="Palatino Linotype" w:cstheme="minorHAnsi"/>
          <w:b/>
          <w:sz w:val="20"/>
          <w:szCs w:val="20"/>
        </w:rPr>
        <w:t>Pohledávka postupníka</w:t>
      </w:r>
    </w:p>
    <w:p w:rsidR="006A3A33" w:rsidRPr="00EB5A4B" w:rsidRDefault="006A3A33" w:rsidP="00035924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6A3A33" w:rsidRPr="00EB5A4B" w:rsidRDefault="006A3A33" w:rsidP="00C26726">
      <w:pPr>
        <w:widowControl w:val="0"/>
        <w:numPr>
          <w:ilvl w:val="1"/>
          <w:numId w:val="1"/>
        </w:numPr>
        <w:spacing w:before="60"/>
        <w:ind w:left="567" w:hanging="574"/>
        <w:jc w:val="both"/>
        <w:rPr>
          <w:rFonts w:ascii="Palatino Linotype" w:hAnsi="Palatino Linotype" w:cstheme="minorHAnsi"/>
          <w:sz w:val="20"/>
          <w:szCs w:val="20"/>
        </w:rPr>
      </w:pPr>
      <w:r w:rsidRPr="00EB5A4B">
        <w:rPr>
          <w:rFonts w:ascii="Palatino Linotype" w:hAnsi="Palatino Linotype" w:cstheme="minorHAnsi"/>
          <w:sz w:val="20"/>
          <w:szCs w:val="20"/>
        </w:rPr>
        <w:t xml:space="preserve">Smluvní strany prohlašují a činí navzájem nesporným, že z titulu neuhrazených </w:t>
      </w:r>
      <w:r w:rsidR="00055874">
        <w:rPr>
          <w:rFonts w:ascii="Palatino Linotype" w:hAnsi="Palatino Linotype" w:cstheme="minorHAnsi"/>
          <w:sz w:val="20"/>
          <w:szCs w:val="20"/>
        </w:rPr>
        <w:t>závazků postupitele</w:t>
      </w:r>
      <w:r w:rsidRPr="00EB5A4B">
        <w:rPr>
          <w:rFonts w:ascii="Palatino Linotype" w:hAnsi="Palatino Linotype" w:cstheme="minorHAnsi"/>
          <w:sz w:val="20"/>
          <w:szCs w:val="20"/>
        </w:rPr>
        <w:t xml:space="preserve"> po splatnosti má postupník za postupitelem pohledávku </w:t>
      </w:r>
      <w:r w:rsidRPr="00EB5A4B">
        <w:rPr>
          <w:rFonts w:ascii="Palatino Linotype" w:hAnsi="Palatino Linotype" w:cstheme="minorHAnsi"/>
          <w:b/>
          <w:sz w:val="20"/>
          <w:szCs w:val="20"/>
        </w:rPr>
        <w:t xml:space="preserve">v celkové výši </w:t>
      </w:r>
      <w:r w:rsidR="00587C7A">
        <w:rPr>
          <w:rFonts w:ascii="Palatino Linotype" w:hAnsi="Palatino Linotype" w:cstheme="minorHAnsi"/>
          <w:b/>
          <w:sz w:val="20"/>
          <w:szCs w:val="20"/>
        </w:rPr>
        <w:t>30.250,00</w:t>
      </w:r>
      <w:r w:rsidRPr="00EB5A4B">
        <w:rPr>
          <w:rFonts w:ascii="Palatino Linotype" w:hAnsi="Palatino Linotype" w:cstheme="minorHAnsi"/>
          <w:b/>
          <w:sz w:val="20"/>
          <w:szCs w:val="20"/>
        </w:rPr>
        <w:t xml:space="preserve"> Kč</w:t>
      </w:r>
      <w:r w:rsidRPr="00EB5A4B">
        <w:rPr>
          <w:rFonts w:ascii="Palatino Linotype" w:hAnsi="Palatino Linotype" w:cstheme="minorHAnsi"/>
          <w:sz w:val="20"/>
          <w:szCs w:val="20"/>
        </w:rPr>
        <w:t xml:space="preserve"> (slovy: </w:t>
      </w:r>
      <w:r w:rsidR="00587C7A">
        <w:rPr>
          <w:rFonts w:ascii="Palatino Linotype" w:hAnsi="Palatino Linotype" w:cstheme="minorHAnsi"/>
          <w:sz w:val="20"/>
          <w:szCs w:val="20"/>
        </w:rPr>
        <w:t>třicet</w:t>
      </w:r>
      <w:r w:rsidR="00F6651D">
        <w:rPr>
          <w:rFonts w:ascii="Palatino Linotype" w:hAnsi="Palatino Linotype" w:cstheme="minorHAnsi"/>
          <w:sz w:val="20"/>
          <w:szCs w:val="20"/>
        </w:rPr>
        <w:t xml:space="preserve"> tisíc </w:t>
      </w:r>
      <w:r w:rsidR="00587C7A">
        <w:rPr>
          <w:rFonts w:ascii="Palatino Linotype" w:hAnsi="Palatino Linotype" w:cstheme="minorHAnsi"/>
          <w:sz w:val="20"/>
          <w:szCs w:val="20"/>
        </w:rPr>
        <w:t>dvě stě padesát</w:t>
      </w:r>
      <w:r w:rsidR="00F6651D">
        <w:rPr>
          <w:rFonts w:ascii="Palatino Linotype" w:hAnsi="Palatino Linotype" w:cstheme="minorHAnsi"/>
          <w:sz w:val="20"/>
          <w:szCs w:val="20"/>
        </w:rPr>
        <w:t xml:space="preserve"> </w:t>
      </w:r>
      <w:r w:rsidR="00055874">
        <w:rPr>
          <w:rFonts w:ascii="Palatino Linotype" w:hAnsi="Palatino Linotype" w:cstheme="minorHAnsi"/>
          <w:sz w:val="20"/>
          <w:szCs w:val="20"/>
        </w:rPr>
        <w:t xml:space="preserve">korun českých) </w:t>
      </w:r>
    </w:p>
    <w:p w:rsidR="006A3A33" w:rsidRPr="00EB5A4B" w:rsidRDefault="006A3A33" w:rsidP="006A3A33">
      <w:pPr>
        <w:widowControl w:val="0"/>
        <w:spacing w:before="60"/>
        <w:ind w:left="567"/>
        <w:jc w:val="both"/>
        <w:rPr>
          <w:rFonts w:ascii="Palatino Linotype" w:hAnsi="Palatino Linotype" w:cstheme="minorHAnsi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536"/>
      </w:tblGrid>
      <w:tr w:rsidR="00055874" w:rsidRPr="00EB5A4B" w:rsidTr="00055874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4" w:rsidRPr="00EB5A4B" w:rsidRDefault="00055874" w:rsidP="00DD03FD">
            <w:pPr>
              <w:jc w:val="both"/>
              <w:rPr>
                <w:rFonts w:ascii="Palatino Linotype" w:hAnsi="Palatino Linotype"/>
                <w:b/>
                <w:sz w:val="20"/>
                <w:szCs w:val="20"/>
                <w:lang w:eastAsia="zh-CN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</w:t>
            </w:r>
            <w:r w:rsidRPr="00EB5A4B">
              <w:rPr>
                <w:rFonts w:ascii="Palatino Linotype" w:hAnsi="Palatino Linotype"/>
                <w:b/>
                <w:sz w:val="20"/>
                <w:szCs w:val="20"/>
              </w:rPr>
              <w:t>rávní důvod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4" w:rsidRPr="00EB5A4B" w:rsidRDefault="00055874" w:rsidP="00DD03FD">
            <w:pPr>
              <w:jc w:val="both"/>
              <w:rPr>
                <w:rFonts w:ascii="Palatino Linotype" w:hAnsi="Palatino Linotype"/>
                <w:b/>
                <w:sz w:val="20"/>
                <w:szCs w:val="20"/>
                <w:lang w:eastAsia="zh-CN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částka</w:t>
            </w:r>
            <w:r w:rsidRPr="00EB5A4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</w:tr>
      <w:tr w:rsidR="00055874" w:rsidRPr="00EB5A4B" w:rsidTr="00055874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4" w:rsidRPr="00EB5A4B" w:rsidRDefault="00587C7A" w:rsidP="00F6651D">
            <w:pPr>
              <w:rPr>
                <w:rFonts w:ascii="Palatino Linotype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Dohoda o vzájemném započtení pohledávek č. S-2017/03/0002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4" w:rsidRPr="00EB5A4B" w:rsidRDefault="00587C7A" w:rsidP="00DD03FD">
            <w:pPr>
              <w:jc w:val="center"/>
              <w:rPr>
                <w:rFonts w:ascii="Palatino Linotype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>30.250</w:t>
            </w:r>
            <w:r w:rsidR="00F6651D">
              <w:rPr>
                <w:rFonts w:ascii="Palatino Linotype" w:eastAsia="Calibri" w:hAnsi="Palatino Linotype"/>
                <w:sz w:val="20"/>
                <w:szCs w:val="20"/>
              </w:rPr>
              <w:t>,00 Kč</w:t>
            </w:r>
          </w:p>
        </w:tc>
      </w:tr>
    </w:tbl>
    <w:p w:rsidR="00F6651D" w:rsidRPr="00EB5A4B" w:rsidRDefault="00F6651D" w:rsidP="00A20B8E">
      <w:pPr>
        <w:widowControl w:val="0"/>
        <w:spacing w:before="120"/>
        <w:ind w:left="567"/>
        <w:jc w:val="both"/>
        <w:rPr>
          <w:rFonts w:ascii="Palatino Linotype" w:hAnsi="Palatino Linotype" w:cstheme="minorHAnsi"/>
          <w:sz w:val="20"/>
          <w:szCs w:val="20"/>
        </w:rPr>
      </w:pPr>
    </w:p>
    <w:p w:rsidR="00FC3E90" w:rsidRPr="00EB5A4B" w:rsidRDefault="00FC3E90" w:rsidP="00FC3E90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EB5A4B">
        <w:rPr>
          <w:rFonts w:ascii="Palatino Linotype" w:hAnsi="Palatino Linotype" w:cstheme="minorHAnsi"/>
          <w:b/>
          <w:sz w:val="20"/>
          <w:szCs w:val="20"/>
        </w:rPr>
        <w:t>IV.</w:t>
      </w:r>
    </w:p>
    <w:p w:rsidR="00FC3E90" w:rsidRDefault="00FC3E90" w:rsidP="00FC3E90">
      <w:pPr>
        <w:pStyle w:val="Odstavecseseznamem"/>
        <w:widowControl w:val="0"/>
        <w:ind w:left="36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EB5A4B">
        <w:rPr>
          <w:rFonts w:ascii="Palatino Linotype" w:hAnsi="Palatino Linotype" w:cstheme="minorHAnsi"/>
          <w:b/>
          <w:sz w:val="20"/>
          <w:szCs w:val="20"/>
        </w:rPr>
        <w:t>Započtení vzájemných pohledávek</w:t>
      </w:r>
    </w:p>
    <w:p w:rsidR="00A20B8E" w:rsidRPr="00EB5A4B" w:rsidRDefault="00A20B8E" w:rsidP="00FC3E90">
      <w:pPr>
        <w:pStyle w:val="Odstavecseseznamem"/>
        <w:widowControl w:val="0"/>
        <w:ind w:left="360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470B63" w:rsidRDefault="00470B63" w:rsidP="00A20B8E">
      <w:pPr>
        <w:pStyle w:val="Odstavecseseznamem"/>
        <w:widowControl w:val="0"/>
        <w:numPr>
          <w:ilvl w:val="1"/>
          <w:numId w:val="16"/>
        </w:numPr>
        <w:spacing w:before="60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A20B8E">
        <w:rPr>
          <w:rFonts w:ascii="Palatino Linotype" w:hAnsi="Palatino Linotype" w:cstheme="minorHAnsi"/>
          <w:sz w:val="20"/>
          <w:szCs w:val="20"/>
        </w:rPr>
        <w:t>Smluvní strany se dohodly, že proti sobě započ</w:t>
      </w:r>
      <w:r w:rsidR="00F6651D" w:rsidRPr="00A20B8E">
        <w:rPr>
          <w:rFonts w:ascii="Palatino Linotype" w:hAnsi="Palatino Linotype" w:cstheme="minorHAnsi"/>
          <w:sz w:val="20"/>
          <w:szCs w:val="20"/>
        </w:rPr>
        <w:t xml:space="preserve">ítávají pohledávky postupitele </w:t>
      </w:r>
      <w:r w:rsidRPr="00A20B8E">
        <w:rPr>
          <w:rFonts w:ascii="Palatino Linotype" w:hAnsi="Palatino Linotype" w:cstheme="minorHAnsi"/>
          <w:sz w:val="20"/>
          <w:szCs w:val="20"/>
        </w:rPr>
        <w:t>specifikované v článku II. této dohody oproti pohledávkám postupníka specifikovaným v článku III. této dohody s tím, že pohledávk</w:t>
      </w:r>
      <w:r w:rsidR="0025369D" w:rsidRPr="00A20B8E">
        <w:rPr>
          <w:rFonts w:ascii="Palatino Linotype" w:hAnsi="Palatino Linotype" w:cstheme="minorHAnsi"/>
          <w:sz w:val="20"/>
          <w:szCs w:val="20"/>
        </w:rPr>
        <w:t>a</w:t>
      </w:r>
      <w:r w:rsidRPr="00A20B8E">
        <w:rPr>
          <w:rFonts w:ascii="Palatino Linotype" w:hAnsi="Palatino Linotype" w:cstheme="minorHAnsi"/>
          <w:sz w:val="20"/>
          <w:szCs w:val="20"/>
        </w:rPr>
        <w:t xml:space="preserve"> postupitele </w:t>
      </w:r>
      <w:r w:rsidR="0025369D" w:rsidRPr="00A20B8E">
        <w:rPr>
          <w:rFonts w:ascii="Palatino Linotype" w:hAnsi="Palatino Linotype" w:cstheme="minorHAnsi"/>
          <w:sz w:val="20"/>
          <w:szCs w:val="20"/>
        </w:rPr>
        <w:t xml:space="preserve">zaniká v rozsahu </w:t>
      </w:r>
      <w:r w:rsidR="00587C7A" w:rsidRPr="00A20B8E">
        <w:rPr>
          <w:rFonts w:ascii="Palatino Linotype" w:hAnsi="Palatino Linotype" w:cstheme="minorHAnsi"/>
          <w:sz w:val="20"/>
          <w:szCs w:val="20"/>
        </w:rPr>
        <w:t>30.250,00</w:t>
      </w:r>
      <w:r w:rsidR="0025369D" w:rsidRPr="00A20B8E">
        <w:rPr>
          <w:rFonts w:ascii="Palatino Linotype" w:hAnsi="Palatino Linotype" w:cstheme="minorHAnsi"/>
          <w:sz w:val="20"/>
          <w:szCs w:val="20"/>
        </w:rPr>
        <w:t xml:space="preserve"> Kč</w:t>
      </w:r>
      <w:r w:rsidRPr="00A20B8E">
        <w:rPr>
          <w:rFonts w:ascii="Palatino Linotype" w:hAnsi="Palatino Linotype" w:cstheme="minorHAnsi"/>
          <w:sz w:val="20"/>
          <w:szCs w:val="20"/>
        </w:rPr>
        <w:t xml:space="preserve"> </w:t>
      </w:r>
      <w:r w:rsidR="0025369D" w:rsidRPr="00A20B8E">
        <w:rPr>
          <w:rFonts w:ascii="Palatino Linotype" w:hAnsi="Palatino Linotype" w:cstheme="minorHAnsi"/>
          <w:sz w:val="20"/>
          <w:szCs w:val="20"/>
        </w:rPr>
        <w:t xml:space="preserve">a pohledávky </w:t>
      </w:r>
      <w:r w:rsidRPr="00A20B8E">
        <w:rPr>
          <w:rFonts w:ascii="Palatino Linotype" w:hAnsi="Palatino Linotype" w:cstheme="minorHAnsi"/>
          <w:sz w:val="20"/>
          <w:szCs w:val="20"/>
        </w:rPr>
        <w:t>postupníka, jak jsou specifikovány</w:t>
      </w:r>
      <w:r w:rsidR="0025369D" w:rsidRPr="00A20B8E">
        <w:rPr>
          <w:rFonts w:ascii="Palatino Linotype" w:hAnsi="Palatino Linotype" w:cstheme="minorHAnsi"/>
          <w:sz w:val="20"/>
          <w:szCs w:val="20"/>
        </w:rPr>
        <w:t xml:space="preserve"> v článku III. této dohody</w:t>
      </w:r>
      <w:r w:rsidRPr="00A20B8E">
        <w:rPr>
          <w:rFonts w:ascii="Palatino Linotype" w:hAnsi="Palatino Linotype" w:cstheme="minorHAnsi"/>
          <w:sz w:val="20"/>
          <w:szCs w:val="20"/>
        </w:rPr>
        <w:t>, v plném rozsahu započtením zanikají.</w:t>
      </w:r>
    </w:p>
    <w:p w:rsidR="00A20B8E" w:rsidRPr="00A20B8E" w:rsidRDefault="00A20B8E" w:rsidP="00A20B8E">
      <w:pPr>
        <w:widowControl w:val="0"/>
        <w:spacing w:before="120"/>
        <w:jc w:val="both"/>
        <w:rPr>
          <w:rFonts w:ascii="Palatino Linotype" w:hAnsi="Palatino Linotype" w:cstheme="minorHAnsi"/>
          <w:sz w:val="20"/>
          <w:szCs w:val="20"/>
        </w:rPr>
      </w:pPr>
    </w:p>
    <w:p w:rsidR="00F50925" w:rsidRDefault="00F50925" w:rsidP="00F50925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EB5A4B">
        <w:rPr>
          <w:rFonts w:ascii="Palatino Linotype" w:hAnsi="Palatino Linotype" w:cstheme="minorHAnsi"/>
          <w:b/>
          <w:sz w:val="20"/>
          <w:szCs w:val="20"/>
        </w:rPr>
        <w:t>V.</w:t>
      </w:r>
    </w:p>
    <w:p w:rsidR="0025369D" w:rsidRDefault="0025369D" w:rsidP="00F50925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Přistoupení postupníka k závazkům postupitele vůči třetím subjektům</w:t>
      </w:r>
    </w:p>
    <w:p w:rsidR="0025369D" w:rsidRPr="00A20B8E" w:rsidRDefault="0025369D" w:rsidP="00A20B8E">
      <w:pPr>
        <w:pStyle w:val="Odstavecseseznamem"/>
        <w:widowControl w:val="0"/>
        <w:numPr>
          <w:ilvl w:val="1"/>
          <w:numId w:val="17"/>
        </w:numPr>
        <w:spacing w:before="60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 w:rsidRPr="00A20B8E">
        <w:rPr>
          <w:rFonts w:ascii="Palatino Linotype" w:hAnsi="Palatino Linotype" w:cstheme="minorHAnsi"/>
          <w:sz w:val="20"/>
          <w:szCs w:val="20"/>
        </w:rPr>
        <w:t>Postupitel dále uvádí a postupník bere na vědomí seznam závazků postupitele vůči třetím subjektům:</w:t>
      </w:r>
    </w:p>
    <w:p w:rsidR="0025369D" w:rsidRDefault="0025369D" w:rsidP="009C3303">
      <w:pPr>
        <w:widowControl w:val="0"/>
        <w:jc w:val="both"/>
        <w:rPr>
          <w:rFonts w:ascii="Palatino Linotype" w:hAnsi="Palatino Linotype" w:cstheme="minorHAnsi"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268"/>
        <w:gridCol w:w="1537"/>
        <w:gridCol w:w="1581"/>
        <w:gridCol w:w="1843"/>
      </w:tblGrid>
      <w:tr w:rsidR="0025369D" w:rsidRPr="00EB5A4B" w:rsidTr="00CE66F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9D" w:rsidRPr="00EB5A4B" w:rsidRDefault="0025369D" w:rsidP="000F45F1">
            <w:pPr>
              <w:jc w:val="both"/>
              <w:rPr>
                <w:rFonts w:ascii="Palatino Linotype" w:hAnsi="Palatino Linotype"/>
                <w:b/>
                <w:sz w:val="20"/>
                <w:szCs w:val="20"/>
                <w:lang w:eastAsia="zh-CN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věřitel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9D" w:rsidRDefault="0025369D" w:rsidP="000F45F1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služba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9D" w:rsidRPr="00EB5A4B" w:rsidRDefault="0025369D" w:rsidP="000F45F1">
            <w:pPr>
              <w:jc w:val="both"/>
              <w:rPr>
                <w:rFonts w:ascii="Palatino Linotype" w:hAnsi="Palatino Linotype"/>
                <w:b/>
                <w:sz w:val="20"/>
                <w:szCs w:val="20"/>
                <w:lang w:eastAsia="zh-CN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částka</w:t>
            </w:r>
            <w:r w:rsidRPr="00EB5A4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9D" w:rsidRDefault="0025369D" w:rsidP="000F45F1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účet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9D" w:rsidRDefault="0025369D" w:rsidP="000F45F1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variabilní symbol</w:t>
            </w:r>
          </w:p>
        </w:tc>
      </w:tr>
      <w:tr w:rsidR="0025369D" w:rsidRPr="00EB5A4B" w:rsidTr="00CE66F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9D" w:rsidRPr="00EB5A4B" w:rsidRDefault="00587C7A" w:rsidP="000F45F1">
            <w:pPr>
              <w:rPr>
                <w:rFonts w:ascii="Palatino Linotype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Finanční úřad pro hlavní město Prahu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9D" w:rsidRDefault="00587C7A" w:rsidP="007C0655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>daň z příjmu PO 2016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9D" w:rsidRPr="00EB5A4B" w:rsidRDefault="00587C7A" w:rsidP="000F45F1">
            <w:pPr>
              <w:jc w:val="center"/>
              <w:rPr>
                <w:rFonts w:ascii="Palatino Linotype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>64.410</w:t>
            </w:r>
            <w:r w:rsidR="0025369D">
              <w:rPr>
                <w:rFonts w:ascii="Palatino Linotype" w:eastAsia="Calibri" w:hAnsi="Palatino Linotype"/>
                <w:sz w:val="20"/>
                <w:szCs w:val="20"/>
              </w:rPr>
              <w:t>,00 Kč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9D" w:rsidRPr="007A0DDC" w:rsidRDefault="003703CA" w:rsidP="000F45F1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eastAsia="Calibri" w:hAnsi="Palatino Linotype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9D" w:rsidRPr="007A0DDC" w:rsidRDefault="003703CA" w:rsidP="003703CA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eastAsia="Calibri" w:hAnsi="Palatino Linotype"/>
                <w:sz w:val="20"/>
                <w:szCs w:val="20"/>
              </w:rPr>
              <w:t>xxxxx</w:t>
            </w:r>
            <w:proofErr w:type="spellEnd"/>
          </w:p>
        </w:tc>
      </w:tr>
      <w:tr w:rsidR="0025369D" w:rsidRPr="00EB5A4B" w:rsidTr="00CE66F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9D" w:rsidRPr="00EB5A4B" w:rsidRDefault="007A0DDC" w:rsidP="000F45F1">
            <w:pPr>
              <w:rPr>
                <w:rFonts w:ascii="Palatino Linotype" w:hAnsi="Palatino Linotype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PREdistribuce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, a.s.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9D" w:rsidRDefault="007A0DDC" w:rsidP="007C0655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>zapůjčení rozvaděče a servis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9D" w:rsidRPr="00EB5A4B" w:rsidRDefault="007A0DDC" w:rsidP="007A0DDC">
            <w:pPr>
              <w:jc w:val="center"/>
              <w:rPr>
                <w:rFonts w:ascii="Palatino Linotype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>7.714</w:t>
            </w:r>
            <w:r w:rsidR="0025369D">
              <w:rPr>
                <w:rFonts w:ascii="Palatino Linotype" w:eastAsia="Calibri" w:hAnsi="Palatino Linotype"/>
                <w:sz w:val="20"/>
                <w:szCs w:val="20"/>
              </w:rPr>
              <w:t>,</w:t>
            </w:r>
            <w:r>
              <w:rPr>
                <w:rFonts w:ascii="Palatino Linotype" w:eastAsia="Calibri" w:hAnsi="Palatino Linotype"/>
                <w:sz w:val="20"/>
                <w:szCs w:val="20"/>
              </w:rPr>
              <w:t>96</w:t>
            </w:r>
            <w:r w:rsidR="0025369D" w:rsidRPr="00EB5A4B">
              <w:rPr>
                <w:rFonts w:ascii="Palatino Linotype" w:eastAsia="Calibri" w:hAnsi="Palatino Linotype"/>
                <w:sz w:val="20"/>
                <w:szCs w:val="20"/>
              </w:rPr>
              <w:t xml:space="preserve"> Kč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9D" w:rsidRPr="007A0DDC" w:rsidRDefault="003703CA" w:rsidP="000F45F1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eastAsia="Calibri" w:hAnsi="Palatino Linotype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9D" w:rsidRPr="007A0DDC" w:rsidRDefault="003703CA" w:rsidP="000F45F1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eastAsia="Calibri" w:hAnsi="Palatino Linotype"/>
                <w:sz w:val="20"/>
                <w:szCs w:val="20"/>
              </w:rPr>
              <w:t>xxxxxx</w:t>
            </w:r>
            <w:proofErr w:type="spellEnd"/>
          </w:p>
        </w:tc>
      </w:tr>
      <w:tr w:rsidR="0025369D" w:rsidRPr="00EB5A4B" w:rsidTr="00CE66F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9D" w:rsidRDefault="007A0DDC" w:rsidP="000F45F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Mgr. Vít Bavor, advokát</w:t>
            </w:r>
            <w:r w:rsidR="0025369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9D" w:rsidRDefault="007A0DDC" w:rsidP="000F45F1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>právní služby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9D" w:rsidRDefault="007A0DDC" w:rsidP="000F45F1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>5.899</w:t>
            </w:r>
            <w:r w:rsidR="007C0655">
              <w:rPr>
                <w:rFonts w:ascii="Palatino Linotype" w:eastAsia="Calibri" w:hAnsi="Palatino Linotype"/>
                <w:sz w:val="20"/>
                <w:szCs w:val="20"/>
              </w:rPr>
              <w:t>,00</w:t>
            </w:r>
            <w:r w:rsidR="0025369D">
              <w:rPr>
                <w:rFonts w:ascii="Palatino Linotype" w:eastAsia="Calibri" w:hAnsi="Palatino Linotype"/>
                <w:sz w:val="20"/>
                <w:szCs w:val="20"/>
              </w:rPr>
              <w:t xml:space="preserve"> Kč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9D" w:rsidRPr="007A0DDC" w:rsidRDefault="003703CA" w:rsidP="000F45F1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eastAsia="Calibri" w:hAnsi="Palatino Linotype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9D" w:rsidRPr="007A0DDC" w:rsidRDefault="003703CA" w:rsidP="000F45F1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eastAsia="Calibri" w:hAnsi="Palatino Linotype"/>
                <w:sz w:val="20"/>
                <w:szCs w:val="20"/>
              </w:rPr>
              <w:t>xxxxxx</w:t>
            </w:r>
            <w:proofErr w:type="spellEnd"/>
          </w:p>
        </w:tc>
      </w:tr>
      <w:tr w:rsidR="00E007BB" w:rsidRPr="00EB5A4B" w:rsidTr="00CE66F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BB" w:rsidRDefault="007A0DDC" w:rsidP="000F45F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Obvodní soud pro Prahu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BB" w:rsidRDefault="007A0DDC" w:rsidP="000F45F1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 xml:space="preserve">soudní poplatek za odvolání ve věci </w:t>
            </w:r>
            <w:proofErr w:type="gramStart"/>
            <w:r>
              <w:rPr>
                <w:rFonts w:ascii="Palatino Linotype" w:eastAsia="Calibri" w:hAnsi="Palatino Linotype"/>
                <w:sz w:val="20"/>
                <w:szCs w:val="20"/>
              </w:rPr>
              <w:t>č.j.</w:t>
            </w:r>
            <w:proofErr w:type="gramEnd"/>
            <w:r>
              <w:rPr>
                <w:rFonts w:ascii="Palatino Linotype" w:eastAsia="Calibri" w:hAnsi="Palatino Linotype"/>
                <w:sz w:val="20"/>
                <w:szCs w:val="20"/>
              </w:rPr>
              <w:t xml:space="preserve"> 60 C 81/2017 (</w:t>
            </w:r>
            <w:r w:rsidR="003448C7">
              <w:rPr>
                <w:rFonts w:ascii="Palatino Linotype" w:eastAsia="Calibri" w:hAnsi="Palatino Linotype"/>
                <w:sz w:val="20"/>
                <w:szCs w:val="20"/>
              </w:rPr>
              <w:t>JUDr. Jiří Solil vs. LSK)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BB" w:rsidRDefault="003448C7" w:rsidP="000F45F1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>12.100</w:t>
            </w:r>
            <w:r w:rsidR="00E007BB">
              <w:rPr>
                <w:rFonts w:ascii="Palatino Linotype" w:eastAsia="Calibri" w:hAnsi="Palatino Linotype"/>
                <w:sz w:val="20"/>
                <w:szCs w:val="20"/>
              </w:rPr>
              <w:t>,00 Kč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BB" w:rsidRDefault="0021136C" w:rsidP="000F45F1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eastAsia="Calibri" w:hAnsi="Palatino Linotype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BB" w:rsidRDefault="0021136C" w:rsidP="0021136C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eastAsia="Calibri" w:hAnsi="Palatino Linotype"/>
                <w:sz w:val="20"/>
                <w:szCs w:val="20"/>
              </w:rPr>
              <w:t>xxxxxx</w:t>
            </w:r>
            <w:proofErr w:type="spellEnd"/>
          </w:p>
        </w:tc>
      </w:tr>
    </w:tbl>
    <w:p w:rsidR="00CE66F8" w:rsidRDefault="00CE66F8" w:rsidP="00A20B8E">
      <w:pPr>
        <w:widowControl w:val="0"/>
        <w:numPr>
          <w:ilvl w:val="1"/>
          <w:numId w:val="17"/>
        </w:numPr>
        <w:spacing w:before="60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lastRenderedPageBreak/>
        <w:t xml:space="preserve">Postupitel tak má aktuálně závazky vůči třetím subjektům uvedeným v odst. 5.1 této dohody v celkové výši </w:t>
      </w:r>
      <w:r w:rsidR="002B0C4A">
        <w:rPr>
          <w:rFonts w:ascii="Palatino Linotype" w:hAnsi="Palatino Linotype" w:cstheme="minorHAnsi"/>
          <w:b/>
          <w:sz w:val="20"/>
          <w:szCs w:val="20"/>
        </w:rPr>
        <w:t>90.123,96</w:t>
      </w:r>
      <w:r w:rsidRPr="00E007BB">
        <w:rPr>
          <w:rFonts w:ascii="Palatino Linotype" w:hAnsi="Palatino Linotype" w:cstheme="minorHAnsi"/>
          <w:b/>
          <w:sz w:val="20"/>
          <w:szCs w:val="20"/>
        </w:rPr>
        <w:t xml:space="preserve"> Kč</w:t>
      </w:r>
      <w:r>
        <w:rPr>
          <w:rFonts w:ascii="Palatino Linotype" w:hAnsi="Palatino Linotype" w:cstheme="minorHAnsi"/>
          <w:sz w:val="20"/>
          <w:szCs w:val="20"/>
        </w:rPr>
        <w:t xml:space="preserve"> (slovy: </w:t>
      </w:r>
      <w:r w:rsidR="002B0C4A">
        <w:rPr>
          <w:rFonts w:ascii="Palatino Linotype" w:hAnsi="Palatino Linotype" w:cstheme="minorHAnsi"/>
          <w:sz w:val="20"/>
          <w:szCs w:val="20"/>
        </w:rPr>
        <w:t>devadesát</w:t>
      </w:r>
      <w:r>
        <w:rPr>
          <w:rFonts w:ascii="Palatino Linotype" w:hAnsi="Palatino Linotype" w:cstheme="minorHAnsi"/>
          <w:sz w:val="20"/>
          <w:szCs w:val="20"/>
        </w:rPr>
        <w:t xml:space="preserve"> tisíc </w:t>
      </w:r>
      <w:r w:rsidR="002B0C4A">
        <w:rPr>
          <w:rFonts w:ascii="Palatino Linotype" w:hAnsi="Palatino Linotype" w:cstheme="minorHAnsi"/>
          <w:sz w:val="20"/>
          <w:szCs w:val="20"/>
        </w:rPr>
        <w:t>sto dvacet tři</w:t>
      </w:r>
      <w:r w:rsidR="00175CC5">
        <w:rPr>
          <w:rFonts w:ascii="Palatino Linotype" w:hAnsi="Palatino Linotype" w:cstheme="minorHAnsi"/>
          <w:sz w:val="20"/>
          <w:szCs w:val="20"/>
        </w:rPr>
        <w:t xml:space="preserve"> </w:t>
      </w:r>
      <w:r>
        <w:rPr>
          <w:rFonts w:ascii="Palatino Linotype" w:hAnsi="Palatino Linotype" w:cstheme="minorHAnsi"/>
          <w:sz w:val="20"/>
          <w:szCs w:val="20"/>
        </w:rPr>
        <w:t>korun českých</w:t>
      </w:r>
      <w:r w:rsidR="002B0C4A">
        <w:rPr>
          <w:rFonts w:ascii="Palatino Linotype" w:hAnsi="Palatino Linotype" w:cstheme="minorHAnsi"/>
          <w:sz w:val="20"/>
          <w:szCs w:val="20"/>
        </w:rPr>
        <w:t xml:space="preserve"> devadesát šest haléřů</w:t>
      </w:r>
      <w:r>
        <w:rPr>
          <w:rFonts w:ascii="Palatino Linotype" w:hAnsi="Palatino Linotype" w:cstheme="minorHAnsi"/>
          <w:sz w:val="20"/>
          <w:szCs w:val="20"/>
        </w:rPr>
        <w:t>).</w:t>
      </w:r>
    </w:p>
    <w:p w:rsidR="00CE66F8" w:rsidRDefault="00CE66F8" w:rsidP="009C3303">
      <w:pPr>
        <w:widowControl w:val="0"/>
        <w:numPr>
          <w:ilvl w:val="1"/>
          <w:numId w:val="17"/>
        </w:numPr>
        <w:spacing w:before="60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Postupník tímto </w:t>
      </w:r>
      <w:r w:rsidR="00027C8E">
        <w:rPr>
          <w:rFonts w:ascii="Palatino Linotype" w:hAnsi="Palatino Linotype" w:cstheme="minorHAnsi"/>
          <w:sz w:val="20"/>
          <w:szCs w:val="20"/>
        </w:rPr>
        <w:t xml:space="preserve">v souladu s ustanovením § 1892 zákona č. 89/2012 Sb., občanský zákoník v platném znění, </w:t>
      </w:r>
      <w:r>
        <w:rPr>
          <w:rFonts w:ascii="Palatino Linotype" w:hAnsi="Palatino Linotype" w:cstheme="minorHAnsi"/>
          <w:sz w:val="20"/>
          <w:szCs w:val="20"/>
        </w:rPr>
        <w:t>přistupuje k</w:t>
      </w:r>
      <w:r w:rsidR="00027C8E">
        <w:rPr>
          <w:rFonts w:ascii="Palatino Linotype" w:hAnsi="Palatino Linotype" w:cstheme="minorHAnsi"/>
          <w:sz w:val="20"/>
          <w:szCs w:val="20"/>
        </w:rPr>
        <w:t> </w:t>
      </w:r>
      <w:r>
        <w:rPr>
          <w:rFonts w:ascii="Palatino Linotype" w:hAnsi="Palatino Linotype" w:cstheme="minorHAnsi"/>
          <w:sz w:val="20"/>
          <w:szCs w:val="20"/>
        </w:rPr>
        <w:t>závazkům</w:t>
      </w:r>
      <w:r w:rsidR="00027C8E">
        <w:rPr>
          <w:rFonts w:ascii="Palatino Linotype" w:hAnsi="Palatino Linotype" w:cstheme="minorHAnsi"/>
          <w:sz w:val="20"/>
          <w:szCs w:val="20"/>
        </w:rPr>
        <w:t xml:space="preserve"> postupitele</w:t>
      </w:r>
      <w:r>
        <w:rPr>
          <w:rFonts w:ascii="Palatino Linotype" w:hAnsi="Palatino Linotype" w:cstheme="minorHAnsi"/>
          <w:sz w:val="20"/>
          <w:szCs w:val="20"/>
        </w:rPr>
        <w:t xml:space="preserve"> specifikovaným v odst. 5.1 této dohody</w:t>
      </w:r>
      <w:r w:rsidR="00027C8E">
        <w:rPr>
          <w:rFonts w:ascii="Palatino Linotype" w:hAnsi="Palatino Linotype" w:cstheme="minorHAnsi"/>
          <w:sz w:val="20"/>
          <w:szCs w:val="20"/>
        </w:rPr>
        <w:t xml:space="preserve"> a</w:t>
      </w:r>
      <w:r w:rsidR="009C3303">
        <w:rPr>
          <w:rFonts w:ascii="Palatino Linotype" w:hAnsi="Palatino Linotype" w:cstheme="minorHAnsi"/>
          <w:sz w:val="20"/>
          <w:szCs w:val="20"/>
        </w:rPr>
        <w:t> </w:t>
      </w:r>
      <w:r w:rsidR="00027C8E">
        <w:rPr>
          <w:rFonts w:ascii="Palatino Linotype" w:hAnsi="Palatino Linotype" w:cstheme="minorHAnsi"/>
          <w:sz w:val="20"/>
          <w:szCs w:val="20"/>
        </w:rPr>
        <w:t xml:space="preserve">zavazuje se je jako část ceny za postoupení pohledávky dle Smlouvy o postoupení pohledávky ze dne </w:t>
      </w:r>
      <w:r w:rsidR="002B0C4A">
        <w:rPr>
          <w:rFonts w:ascii="Palatino Linotype" w:hAnsi="Palatino Linotype" w:cstheme="minorHAnsi"/>
          <w:sz w:val="20"/>
          <w:szCs w:val="20"/>
        </w:rPr>
        <w:t>20.</w:t>
      </w:r>
      <w:r w:rsidR="009C3303">
        <w:rPr>
          <w:rFonts w:ascii="Palatino Linotype" w:hAnsi="Palatino Linotype" w:cstheme="minorHAnsi"/>
          <w:sz w:val="20"/>
          <w:szCs w:val="20"/>
        </w:rPr>
        <w:t xml:space="preserve"> </w:t>
      </w:r>
      <w:r w:rsidR="002B0C4A">
        <w:rPr>
          <w:rFonts w:ascii="Palatino Linotype" w:hAnsi="Palatino Linotype" w:cstheme="minorHAnsi"/>
          <w:sz w:val="20"/>
          <w:szCs w:val="20"/>
        </w:rPr>
        <w:t>6.</w:t>
      </w:r>
      <w:r w:rsidR="009C3303">
        <w:rPr>
          <w:rFonts w:ascii="Palatino Linotype" w:hAnsi="Palatino Linotype" w:cstheme="minorHAnsi"/>
          <w:sz w:val="20"/>
          <w:szCs w:val="20"/>
        </w:rPr>
        <w:t xml:space="preserve"> </w:t>
      </w:r>
      <w:r w:rsidR="002B0C4A">
        <w:rPr>
          <w:rFonts w:ascii="Palatino Linotype" w:hAnsi="Palatino Linotype" w:cstheme="minorHAnsi"/>
          <w:sz w:val="20"/>
          <w:szCs w:val="20"/>
        </w:rPr>
        <w:t>2017</w:t>
      </w:r>
      <w:r w:rsidR="00027C8E">
        <w:rPr>
          <w:rFonts w:ascii="Palatino Linotype" w:hAnsi="Palatino Linotype" w:cstheme="minorHAnsi"/>
          <w:sz w:val="20"/>
          <w:szCs w:val="20"/>
        </w:rPr>
        <w:t xml:space="preserve"> uhradit třetím subjektům na uvedené bankovní účty s uvedenými variabilními symboly nejpozději do 10 dnů od účinnosti této smlouvy. </w:t>
      </w:r>
    </w:p>
    <w:p w:rsidR="00027C8E" w:rsidRDefault="00027C8E" w:rsidP="009C3303">
      <w:pPr>
        <w:widowControl w:val="0"/>
        <w:numPr>
          <w:ilvl w:val="1"/>
          <w:numId w:val="17"/>
        </w:numPr>
        <w:spacing w:before="60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Pro evidenční účely postupitele postupník úhrady uvedených závazků postupiteli doloží kopiemi příkazů k úhradě nejpozději do 10 dnů od provedení jednotlivých plateb.</w:t>
      </w:r>
    </w:p>
    <w:p w:rsidR="0025369D" w:rsidRDefault="0025369D" w:rsidP="009C3303">
      <w:pPr>
        <w:pStyle w:val="Odstavecseseznamem"/>
        <w:widowControl w:val="0"/>
        <w:spacing w:before="120"/>
        <w:ind w:left="357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8673A2" w:rsidRDefault="008673A2" w:rsidP="008673A2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EB5A4B">
        <w:rPr>
          <w:rFonts w:ascii="Palatino Linotype" w:hAnsi="Palatino Linotype" w:cstheme="minorHAnsi"/>
          <w:b/>
          <w:sz w:val="20"/>
          <w:szCs w:val="20"/>
        </w:rPr>
        <w:t>V</w:t>
      </w:r>
      <w:r>
        <w:rPr>
          <w:rFonts w:ascii="Palatino Linotype" w:hAnsi="Palatino Linotype" w:cstheme="minorHAnsi"/>
          <w:b/>
          <w:sz w:val="20"/>
          <w:szCs w:val="20"/>
        </w:rPr>
        <w:t>I</w:t>
      </w:r>
      <w:r w:rsidRPr="00EB5A4B">
        <w:rPr>
          <w:rFonts w:ascii="Palatino Linotype" w:hAnsi="Palatino Linotype" w:cstheme="minorHAnsi"/>
          <w:b/>
          <w:sz w:val="20"/>
          <w:szCs w:val="20"/>
        </w:rPr>
        <w:t>.</w:t>
      </w:r>
    </w:p>
    <w:p w:rsidR="008673A2" w:rsidRDefault="008673A2" w:rsidP="008673A2">
      <w:pPr>
        <w:widowControl w:val="0"/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Výsledná bilance</w:t>
      </w:r>
    </w:p>
    <w:p w:rsidR="0025369D" w:rsidRDefault="0025369D" w:rsidP="00F50925">
      <w:pPr>
        <w:pStyle w:val="Odstavecseseznamem"/>
        <w:widowControl w:val="0"/>
        <w:ind w:left="360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8673A2" w:rsidRDefault="008673A2" w:rsidP="00175CC5">
      <w:pPr>
        <w:pStyle w:val="Odstavecseseznamem"/>
        <w:widowControl w:val="0"/>
        <w:numPr>
          <w:ilvl w:val="1"/>
          <w:numId w:val="13"/>
        </w:numPr>
        <w:spacing w:before="60"/>
        <w:ind w:hanging="644"/>
        <w:jc w:val="both"/>
        <w:rPr>
          <w:rFonts w:ascii="Palatino Linotype" w:hAnsi="Palatino Linotype" w:cstheme="minorHAnsi"/>
          <w:sz w:val="20"/>
          <w:szCs w:val="20"/>
        </w:rPr>
      </w:pPr>
      <w:r w:rsidRPr="008673A2">
        <w:rPr>
          <w:rFonts w:ascii="Palatino Linotype" w:hAnsi="Palatino Linotype" w:cstheme="minorHAnsi"/>
          <w:sz w:val="20"/>
          <w:szCs w:val="20"/>
        </w:rPr>
        <w:t>Po</w:t>
      </w:r>
      <w:r>
        <w:rPr>
          <w:rFonts w:ascii="Palatino Linotype" w:hAnsi="Palatino Linotype" w:cstheme="minorHAnsi"/>
          <w:sz w:val="20"/>
          <w:szCs w:val="20"/>
        </w:rPr>
        <w:t xml:space="preserve">stupitel s postupníkem shodně konstatují, že k datu uzavření </w:t>
      </w:r>
      <w:r w:rsidR="002B0C4A">
        <w:rPr>
          <w:rFonts w:ascii="Palatino Linotype" w:hAnsi="Palatino Linotype" w:cstheme="minorHAnsi"/>
          <w:sz w:val="20"/>
          <w:szCs w:val="20"/>
        </w:rPr>
        <w:t>tohoto dodatku č. 1</w:t>
      </w:r>
      <w:r>
        <w:rPr>
          <w:rFonts w:ascii="Palatino Linotype" w:hAnsi="Palatino Linotype" w:cstheme="minorHAnsi"/>
          <w:sz w:val="20"/>
          <w:szCs w:val="20"/>
        </w:rPr>
        <w:t xml:space="preserve"> byla vůči pohledávce postupitele započtena pohledávka postupníka v celkové výši </w:t>
      </w:r>
      <w:r w:rsidR="002B0C4A">
        <w:rPr>
          <w:rFonts w:ascii="Palatino Linotype" w:hAnsi="Palatino Linotype" w:cstheme="minorHAnsi"/>
          <w:sz w:val="20"/>
          <w:szCs w:val="20"/>
        </w:rPr>
        <w:t>30.250,00</w:t>
      </w:r>
      <w:r>
        <w:rPr>
          <w:rFonts w:ascii="Palatino Linotype" w:hAnsi="Palatino Linotype" w:cstheme="minorHAnsi"/>
          <w:sz w:val="20"/>
          <w:szCs w:val="20"/>
        </w:rPr>
        <w:t xml:space="preserve"> Kč a</w:t>
      </w:r>
      <w:r w:rsidR="009C3303">
        <w:rPr>
          <w:rFonts w:ascii="Palatino Linotype" w:hAnsi="Palatino Linotype" w:cstheme="minorHAnsi"/>
          <w:sz w:val="20"/>
          <w:szCs w:val="20"/>
        </w:rPr>
        <w:t> </w:t>
      </w:r>
      <w:r>
        <w:rPr>
          <w:rFonts w:ascii="Palatino Linotype" w:hAnsi="Palatino Linotype" w:cstheme="minorHAnsi"/>
          <w:sz w:val="20"/>
          <w:szCs w:val="20"/>
        </w:rPr>
        <w:t xml:space="preserve">postupník přistoupil k závazkům postupitele v celkové výši </w:t>
      </w:r>
      <w:r w:rsidR="002B0C4A">
        <w:rPr>
          <w:rFonts w:ascii="Palatino Linotype" w:hAnsi="Palatino Linotype" w:cstheme="minorHAnsi"/>
          <w:sz w:val="20"/>
          <w:szCs w:val="20"/>
        </w:rPr>
        <w:t>90.123,96</w:t>
      </w:r>
      <w:r>
        <w:rPr>
          <w:rFonts w:ascii="Palatino Linotype" w:hAnsi="Palatino Linotype" w:cstheme="minorHAnsi"/>
          <w:sz w:val="20"/>
          <w:szCs w:val="20"/>
        </w:rPr>
        <w:t xml:space="preserve"> Kč. </w:t>
      </w:r>
    </w:p>
    <w:p w:rsidR="008673A2" w:rsidRPr="008673A2" w:rsidRDefault="008673A2" w:rsidP="008673A2">
      <w:pPr>
        <w:pStyle w:val="Odstavecseseznamem"/>
        <w:widowControl w:val="0"/>
        <w:numPr>
          <w:ilvl w:val="1"/>
          <w:numId w:val="13"/>
        </w:numPr>
        <w:spacing w:before="240" w:after="240"/>
        <w:ind w:hanging="644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Celková cena za postoupení pohledávky ve výši 1.485.941,17 Kč</w:t>
      </w:r>
      <w:r w:rsidR="002B0C4A">
        <w:rPr>
          <w:rFonts w:ascii="Palatino Linotype" w:hAnsi="Palatino Linotype" w:cstheme="minorHAnsi"/>
          <w:sz w:val="20"/>
          <w:szCs w:val="20"/>
        </w:rPr>
        <w:t>,</w:t>
      </w:r>
      <w:r>
        <w:rPr>
          <w:rFonts w:ascii="Palatino Linotype" w:hAnsi="Palatino Linotype" w:cstheme="minorHAnsi"/>
          <w:sz w:val="20"/>
          <w:szCs w:val="20"/>
        </w:rPr>
        <w:t xml:space="preserve"> tak může být v budoucnu navýšena o zápočty pohledávek postupníka nebo prostřednictvím přistoupení postupníka k závazkům postupitele maximálně do výše </w:t>
      </w:r>
      <w:r w:rsidR="002B0C4A">
        <w:rPr>
          <w:rFonts w:ascii="Palatino Linotype" w:hAnsi="Palatino Linotype" w:cstheme="minorHAnsi"/>
          <w:sz w:val="20"/>
          <w:szCs w:val="20"/>
        </w:rPr>
        <w:t>99.434,81</w:t>
      </w:r>
      <w:r>
        <w:rPr>
          <w:rFonts w:ascii="Palatino Linotype" w:hAnsi="Palatino Linotype" w:cstheme="minorHAnsi"/>
          <w:sz w:val="20"/>
          <w:szCs w:val="20"/>
        </w:rPr>
        <w:t xml:space="preserve"> Kč, a to výlučně písemnými číslovanými dodatky dohody.</w:t>
      </w:r>
    </w:p>
    <w:p w:rsidR="0025369D" w:rsidRDefault="0025369D" w:rsidP="009C3303">
      <w:pPr>
        <w:pStyle w:val="Odstavecseseznamem"/>
        <w:widowControl w:val="0"/>
        <w:spacing w:before="120"/>
        <w:ind w:left="357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25369D" w:rsidRDefault="008673A2" w:rsidP="00F50925">
      <w:pPr>
        <w:pStyle w:val="Odstavecseseznamem"/>
        <w:widowControl w:val="0"/>
        <w:ind w:left="360"/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VI</w:t>
      </w:r>
      <w:r w:rsidR="009C3303">
        <w:rPr>
          <w:rFonts w:ascii="Palatino Linotype" w:hAnsi="Palatino Linotype" w:cstheme="minorHAnsi"/>
          <w:b/>
          <w:sz w:val="20"/>
          <w:szCs w:val="20"/>
        </w:rPr>
        <w:t>I</w:t>
      </w:r>
      <w:r>
        <w:rPr>
          <w:rFonts w:ascii="Palatino Linotype" w:hAnsi="Palatino Linotype" w:cstheme="minorHAnsi"/>
          <w:b/>
          <w:sz w:val="20"/>
          <w:szCs w:val="20"/>
        </w:rPr>
        <w:t>.</w:t>
      </w:r>
    </w:p>
    <w:p w:rsidR="00F50925" w:rsidRDefault="00F50925" w:rsidP="00F50925">
      <w:pPr>
        <w:pStyle w:val="Odstavecseseznamem"/>
        <w:widowControl w:val="0"/>
        <w:ind w:left="360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EB5A4B">
        <w:rPr>
          <w:rFonts w:ascii="Palatino Linotype" w:hAnsi="Palatino Linotype" w:cstheme="minorHAnsi"/>
          <w:b/>
          <w:sz w:val="20"/>
          <w:szCs w:val="20"/>
        </w:rPr>
        <w:t>Ustanovení společná a závěrečná</w:t>
      </w:r>
    </w:p>
    <w:p w:rsidR="009C3303" w:rsidRDefault="009C3303" w:rsidP="00F50925">
      <w:pPr>
        <w:pStyle w:val="Odstavecseseznamem"/>
        <w:widowControl w:val="0"/>
        <w:ind w:left="360"/>
        <w:jc w:val="center"/>
        <w:rPr>
          <w:rFonts w:ascii="Palatino Linotype" w:hAnsi="Palatino Linotype" w:cstheme="minorHAnsi"/>
          <w:b/>
          <w:sz w:val="20"/>
          <w:szCs w:val="20"/>
        </w:rPr>
      </w:pPr>
    </w:p>
    <w:p w:rsidR="00175CC5" w:rsidRDefault="00175CC5" w:rsidP="009C3303">
      <w:pPr>
        <w:pStyle w:val="Odstavecseseznamem"/>
        <w:numPr>
          <w:ilvl w:val="1"/>
          <w:numId w:val="18"/>
        </w:numPr>
        <w:spacing w:before="60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Smluvní strany výslovně souhlasí </w:t>
      </w:r>
      <w:r w:rsidRPr="00AF4C2F">
        <w:rPr>
          <w:rFonts w:ascii="Palatino Linotype" w:hAnsi="Palatino Linotype" w:cstheme="minorHAnsi"/>
          <w:sz w:val="20"/>
          <w:szCs w:val="20"/>
        </w:rPr>
        <w:t>s uveřejněním této smlouvy v registru smluv vedeném Ministerstvem vnitra České republiky v souladu se zákonem č. 340/2015 Sb., o zvláštních podmínkách účinnosti některých smluv, uveřejňování těchto smluv a o registru smluv (dále „zákon o registru smluv“), v platném znění.</w:t>
      </w:r>
    </w:p>
    <w:p w:rsidR="00175CC5" w:rsidRDefault="00175CC5" w:rsidP="009C3303">
      <w:pPr>
        <w:pStyle w:val="Odstavecseseznamem"/>
        <w:spacing w:before="60"/>
        <w:ind w:left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Smluvní strany se dohodly, že </w:t>
      </w:r>
      <w:r w:rsidRPr="00AF4C2F">
        <w:rPr>
          <w:rFonts w:ascii="Palatino Linotype" w:hAnsi="Palatino Linotype" w:cstheme="minorHAnsi"/>
          <w:sz w:val="20"/>
          <w:szCs w:val="20"/>
        </w:rPr>
        <w:t xml:space="preserve">uveřejnění této smlouvy dle předchozí věty zajistí </w:t>
      </w:r>
      <w:r>
        <w:rPr>
          <w:rFonts w:ascii="Palatino Linotype" w:hAnsi="Palatino Linotype" w:cstheme="minorHAnsi"/>
          <w:sz w:val="20"/>
          <w:szCs w:val="20"/>
        </w:rPr>
        <w:t>M</w:t>
      </w:r>
      <w:r w:rsidRPr="00AF4C2F">
        <w:rPr>
          <w:rFonts w:ascii="Palatino Linotype" w:hAnsi="Palatino Linotype" w:cstheme="minorHAnsi"/>
          <w:sz w:val="20"/>
          <w:szCs w:val="20"/>
        </w:rPr>
        <w:t xml:space="preserve">ěstská část Praha 18 ve lhůtě 15 kalendářních dnů ode dne uzavření této smlouvy.  Druhá smluvní strana bude </w:t>
      </w:r>
      <w:r>
        <w:rPr>
          <w:rFonts w:ascii="Palatino Linotype" w:hAnsi="Palatino Linotype" w:cstheme="minorHAnsi"/>
          <w:sz w:val="20"/>
          <w:szCs w:val="20"/>
        </w:rPr>
        <w:t>M</w:t>
      </w:r>
      <w:r w:rsidRPr="00AF4C2F">
        <w:rPr>
          <w:rFonts w:ascii="Palatino Linotype" w:hAnsi="Palatino Linotype" w:cstheme="minorHAnsi"/>
          <w:sz w:val="20"/>
          <w:szCs w:val="20"/>
        </w:rPr>
        <w:t xml:space="preserve">ěstskou částí Praha 18 písemně informována o splnění této povinnosti, nejpozději ve lhůtě 3 kalendářních dnů ode dne uveřejnění této smlouvy v registru smluv, a to oznámením na emailovou adresu: </w:t>
      </w:r>
      <w:proofErr w:type="spellStart"/>
      <w:r w:rsidR="0021136C">
        <w:t>xxxxxxxxxxxxxxx</w:t>
      </w:r>
      <w:proofErr w:type="spellEnd"/>
      <w:r w:rsidR="0021136C">
        <w:t xml:space="preserve"> </w:t>
      </w:r>
      <w:r w:rsidRPr="00AF4C2F">
        <w:rPr>
          <w:rFonts w:ascii="Palatino Linotype" w:hAnsi="Palatino Linotype" w:cstheme="minorHAnsi"/>
          <w:sz w:val="20"/>
          <w:szCs w:val="20"/>
        </w:rPr>
        <w:t xml:space="preserve">Pokud druhá smluvní strana neobdrží do 20 kalendářních dnů ode dne uzavření této smlouvy písemné oznámení o uveřejnění této smlouvy v registru smluv dle předchozí věty, je po uplynutí této lhůty tato druhá smluvní strana povinna ve lhůtě 3 kalendářních dnů zajistit uveřejnění této smlouvy v souladu se zákonem o registru smluv. V takovém případě je o zveřejnění této smlouvy druhá smluvní strana povinna písemně informovat </w:t>
      </w:r>
      <w:r>
        <w:rPr>
          <w:rFonts w:ascii="Palatino Linotype" w:hAnsi="Palatino Linotype" w:cstheme="minorHAnsi"/>
          <w:sz w:val="20"/>
          <w:szCs w:val="20"/>
        </w:rPr>
        <w:t>M</w:t>
      </w:r>
      <w:r w:rsidRPr="00AF4C2F">
        <w:rPr>
          <w:rFonts w:ascii="Palatino Linotype" w:hAnsi="Palatino Linotype" w:cstheme="minorHAnsi"/>
          <w:sz w:val="20"/>
          <w:szCs w:val="20"/>
        </w:rPr>
        <w:t>ěstskou část Praha 18 ve lhůtě 3 kalendářních dnů ode dne uveřejnění této smlouvy v registru smluv oznámením na emailovou adresu</w:t>
      </w:r>
      <w:r w:rsidR="0021136C">
        <w:rPr>
          <w:rFonts w:ascii="Palatino Linotype" w:hAnsi="Palatino Linotype" w:cstheme="minorHAnsi"/>
          <w:sz w:val="20"/>
          <w:szCs w:val="20"/>
        </w:rPr>
        <w:t xml:space="preserve">: </w:t>
      </w:r>
      <w:bookmarkStart w:id="0" w:name="_GoBack"/>
      <w:bookmarkEnd w:id="0"/>
      <w:r w:rsidR="0021136C">
        <w:rPr>
          <w:rFonts w:ascii="Palatino Linotype" w:hAnsi="Palatino Linotype" w:cstheme="minorHAnsi"/>
          <w:sz w:val="20"/>
          <w:szCs w:val="20"/>
        </w:rPr>
        <w:t>xxxxxxxxxxxx</w:t>
      </w:r>
      <w:r w:rsidR="00A20B8E">
        <w:rPr>
          <w:rFonts w:ascii="Palatino Linotype" w:hAnsi="Palatino Linotype" w:cstheme="minorHAnsi"/>
          <w:sz w:val="20"/>
          <w:szCs w:val="20"/>
        </w:rPr>
        <w:t xml:space="preserve"> </w:t>
      </w:r>
      <w:r w:rsidRPr="00AF4C2F">
        <w:rPr>
          <w:rFonts w:ascii="Palatino Linotype" w:hAnsi="Palatino Linotype" w:cstheme="minorHAnsi"/>
          <w:sz w:val="20"/>
          <w:szCs w:val="20"/>
        </w:rPr>
        <w:t>Smluvní strany prohlašují, že si tuto smlouvu před jejím podpisem podrobně přečetly, rozumějí jí a s jejím obsahem souhlasí, že tato smlouva byla uzavřena po vzájemném projednání podle jejich svobodné a pravé vůle, vážně a srozumitelně, nikoliv v tísni za nápadně nevýhodných podmínek pro jednu ze smluvních stran. Na důkaz toho připojují níže své vlastnoruční podpisy.</w:t>
      </w:r>
    </w:p>
    <w:p w:rsidR="00175CC5" w:rsidRDefault="00175CC5" w:rsidP="009C3303">
      <w:pPr>
        <w:pStyle w:val="Odstavecseseznamem"/>
        <w:numPr>
          <w:ilvl w:val="1"/>
          <w:numId w:val="18"/>
        </w:numPr>
        <w:spacing w:before="60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Smluvní strany </w:t>
      </w:r>
      <w:r w:rsidRPr="00AF4C2F">
        <w:rPr>
          <w:rFonts w:ascii="Palatino Linotype" w:hAnsi="Palatino Linotype" w:cstheme="minorHAnsi"/>
          <w:sz w:val="20"/>
          <w:szCs w:val="20"/>
        </w:rPr>
        <w:t>souhlasí se zveřejněním veškerých údajů týkajících se či souvisejících s plněním této smlouvy podle zákona č.</w:t>
      </w:r>
      <w:r>
        <w:rPr>
          <w:rFonts w:ascii="Palatino Linotype" w:hAnsi="Palatino Linotype" w:cstheme="minorHAnsi"/>
          <w:sz w:val="20"/>
          <w:szCs w:val="20"/>
        </w:rPr>
        <w:t xml:space="preserve"> </w:t>
      </w:r>
      <w:r w:rsidRPr="00AF4C2F">
        <w:rPr>
          <w:rFonts w:ascii="Palatino Linotype" w:hAnsi="Palatino Linotype" w:cstheme="minorHAnsi"/>
          <w:sz w:val="20"/>
          <w:szCs w:val="20"/>
        </w:rPr>
        <w:t>106/1999 Sb., o svobodném přístupu k informacím, ve znění pozdějších předpisů, a zákona č.101/2000 Sb., o ochraně osobních údajů a o změně některých zákonů, ve znění pozdějších předpisů.</w:t>
      </w:r>
    </w:p>
    <w:p w:rsidR="00175CC5" w:rsidRDefault="009C3303" w:rsidP="009C3303">
      <w:pPr>
        <w:pStyle w:val="Odstavecseseznamem"/>
        <w:numPr>
          <w:ilvl w:val="1"/>
          <w:numId w:val="18"/>
        </w:numPr>
        <w:spacing w:before="60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lastRenderedPageBreak/>
        <w:t>S</w:t>
      </w:r>
      <w:r w:rsidR="00175CC5">
        <w:rPr>
          <w:rFonts w:ascii="Palatino Linotype" w:hAnsi="Palatino Linotype" w:cstheme="minorHAnsi"/>
          <w:sz w:val="20"/>
          <w:szCs w:val="20"/>
        </w:rPr>
        <w:t xml:space="preserve">mluvní strany prohlašují, že </w:t>
      </w:r>
      <w:r w:rsidR="00175CC5" w:rsidRPr="00AF4C2F">
        <w:rPr>
          <w:rFonts w:ascii="Palatino Linotype" w:hAnsi="Palatino Linotype" w:cstheme="minorHAnsi"/>
          <w:sz w:val="20"/>
          <w:szCs w:val="20"/>
        </w:rPr>
        <w:t>skutečnosti uvedené v této smlouvě nepovažují za obchodní tajemství ve smyslu § 504 občanského zákoníku a udělují svolení k jejich užití a zveřejnění bez stanovení jakýchkoliv dalších podmínek.</w:t>
      </w:r>
    </w:p>
    <w:p w:rsidR="00175CC5" w:rsidRPr="00462769" w:rsidRDefault="00175CC5" w:rsidP="009C3303">
      <w:pPr>
        <w:pStyle w:val="Odstavecseseznamem"/>
        <w:numPr>
          <w:ilvl w:val="1"/>
          <w:numId w:val="18"/>
        </w:numPr>
        <w:spacing w:before="60"/>
        <w:ind w:left="567" w:hanging="567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Převodce prohlašuje dle ustanovení</w:t>
      </w:r>
      <w:r w:rsidRPr="00AF4C2F">
        <w:rPr>
          <w:rFonts w:ascii="Palatino Linotype" w:hAnsi="Palatino Linotype" w:cstheme="minorHAnsi"/>
          <w:sz w:val="20"/>
          <w:szCs w:val="20"/>
        </w:rPr>
        <w:t xml:space="preserve"> § 43 odst. 1 zákona č. 131/2000 Sb., o hlavním městě Praze (</w:t>
      </w:r>
      <w:proofErr w:type="spellStart"/>
      <w:r w:rsidRPr="00AF4C2F">
        <w:rPr>
          <w:rFonts w:ascii="Palatino Linotype" w:hAnsi="Palatino Linotype" w:cstheme="minorHAnsi"/>
          <w:sz w:val="20"/>
          <w:szCs w:val="20"/>
        </w:rPr>
        <w:t>ZoHMP</w:t>
      </w:r>
      <w:proofErr w:type="spellEnd"/>
      <w:r w:rsidRPr="00AF4C2F">
        <w:rPr>
          <w:rFonts w:ascii="Palatino Linotype" w:hAnsi="Palatino Linotype" w:cstheme="minorHAnsi"/>
          <w:sz w:val="20"/>
          <w:szCs w:val="20"/>
        </w:rPr>
        <w:t xml:space="preserve">), ve znění pozdějších předpisů, že podmínky pro platnost tohoto právního jednání byly </w:t>
      </w:r>
      <w:r w:rsidRPr="00462769">
        <w:rPr>
          <w:rFonts w:ascii="Palatino Linotype" w:hAnsi="Palatino Linotype" w:cstheme="minorHAnsi"/>
          <w:sz w:val="20"/>
          <w:szCs w:val="20"/>
        </w:rPr>
        <w:t xml:space="preserve">splněny. Uzavření této smlouvy bylo schváleno </w:t>
      </w:r>
      <w:r w:rsidR="00A20B8E" w:rsidRPr="00462769">
        <w:rPr>
          <w:rFonts w:ascii="Palatino Linotype" w:hAnsi="Palatino Linotype" w:cstheme="minorHAnsi"/>
          <w:sz w:val="20"/>
          <w:szCs w:val="20"/>
        </w:rPr>
        <w:t xml:space="preserve">usnesením </w:t>
      </w:r>
      <w:r w:rsidRPr="00462769">
        <w:rPr>
          <w:rFonts w:ascii="Palatino Linotype" w:hAnsi="Palatino Linotype" w:cstheme="minorHAnsi"/>
          <w:sz w:val="20"/>
          <w:szCs w:val="20"/>
        </w:rPr>
        <w:t>ZMČ č. </w:t>
      </w:r>
      <w:r w:rsidR="00462769" w:rsidRPr="00462769">
        <w:rPr>
          <w:rFonts w:ascii="Palatino Linotype" w:hAnsi="Palatino Linotype" w:cstheme="minorHAnsi"/>
          <w:sz w:val="20"/>
          <w:szCs w:val="20"/>
        </w:rPr>
        <w:t>084/Z8/17</w:t>
      </w:r>
      <w:r w:rsidRPr="00462769">
        <w:rPr>
          <w:rFonts w:ascii="Palatino Linotype" w:hAnsi="Palatino Linotype" w:cstheme="minorHAnsi"/>
          <w:sz w:val="20"/>
          <w:szCs w:val="20"/>
        </w:rPr>
        <w:t xml:space="preserve"> ze dne </w:t>
      </w:r>
      <w:r w:rsidR="00A20B8E" w:rsidRPr="00462769">
        <w:rPr>
          <w:rFonts w:ascii="Palatino Linotype" w:hAnsi="Palatino Linotype" w:cstheme="minorHAnsi"/>
          <w:sz w:val="20"/>
          <w:szCs w:val="20"/>
        </w:rPr>
        <w:t>23. 10. 2017</w:t>
      </w:r>
      <w:r w:rsidRPr="00462769">
        <w:rPr>
          <w:rFonts w:ascii="Palatino Linotype" w:hAnsi="Palatino Linotype" w:cstheme="minorHAnsi"/>
          <w:sz w:val="20"/>
          <w:szCs w:val="20"/>
        </w:rPr>
        <w:t>.</w:t>
      </w:r>
    </w:p>
    <w:p w:rsidR="00175CC5" w:rsidRPr="00720606" w:rsidRDefault="00175CC5" w:rsidP="009C3303">
      <w:pPr>
        <w:pStyle w:val="Odstavecseseznamem"/>
        <w:numPr>
          <w:ilvl w:val="1"/>
          <w:numId w:val="18"/>
        </w:numPr>
        <w:spacing w:before="60"/>
        <w:ind w:left="426" w:hanging="426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Smlouva nabývá platnosti a účinnosti dnem podpisu oběma smluvními stranami. Změny a</w:t>
      </w:r>
      <w:r w:rsidR="009C3303">
        <w:rPr>
          <w:rFonts w:ascii="Palatino Linotype" w:hAnsi="Palatino Linotype" w:cstheme="minorHAnsi"/>
          <w:sz w:val="20"/>
          <w:szCs w:val="20"/>
        </w:rPr>
        <w:t> </w:t>
      </w:r>
      <w:r w:rsidRPr="00720606">
        <w:rPr>
          <w:rFonts w:ascii="Palatino Linotype" w:hAnsi="Palatino Linotype" w:cstheme="minorHAnsi"/>
          <w:sz w:val="20"/>
          <w:szCs w:val="20"/>
        </w:rPr>
        <w:t>dodatky této smlouvy musí mít písemnou formu.</w:t>
      </w:r>
    </w:p>
    <w:p w:rsidR="00175CC5" w:rsidRPr="00720606" w:rsidRDefault="00175CC5" w:rsidP="009C3303">
      <w:pPr>
        <w:pStyle w:val="Odstavecseseznamem"/>
        <w:numPr>
          <w:ilvl w:val="1"/>
          <w:numId w:val="18"/>
        </w:numPr>
        <w:spacing w:before="60"/>
        <w:ind w:left="426" w:hanging="426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 xml:space="preserve">Pokud jedno z ustanovení této smlouvy se stane neplatné nebo neúčinné, zavazují se smluvní strany nahradit ho ustanovením platným a účinným, které svým hospodářským významem bude co nejblíže neplatnému ustanovení. </w:t>
      </w:r>
    </w:p>
    <w:p w:rsidR="00175CC5" w:rsidRPr="00720606" w:rsidRDefault="00175CC5" w:rsidP="009C3303">
      <w:pPr>
        <w:pStyle w:val="Odstavecseseznamem"/>
        <w:numPr>
          <w:ilvl w:val="1"/>
          <w:numId w:val="18"/>
        </w:numPr>
        <w:spacing w:before="60"/>
        <w:ind w:left="426" w:hanging="426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Práva a povinnosti smluvních stran, neupravená v této Smlouvě, se v dalším řídí příslušným ustanovením zákona č. 89/2012 Sb., občanský zákoník v platném znění.</w:t>
      </w:r>
    </w:p>
    <w:p w:rsidR="00175CC5" w:rsidRPr="00720606" w:rsidRDefault="00175CC5" w:rsidP="009C3303">
      <w:pPr>
        <w:pStyle w:val="Odstavecseseznamem"/>
        <w:numPr>
          <w:ilvl w:val="1"/>
          <w:numId w:val="18"/>
        </w:numPr>
        <w:spacing w:before="60"/>
        <w:ind w:left="426" w:hanging="426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Veškeré spory vzniklé z této smlouvy budou řešeny před příslušným soudem České republiky.</w:t>
      </w:r>
    </w:p>
    <w:p w:rsidR="00175CC5" w:rsidRPr="00720606" w:rsidRDefault="00175CC5" w:rsidP="009C3303">
      <w:pPr>
        <w:pStyle w:val="Odstavecseseznamem"/>
        <w:numPr>
          <w:ilvl w:val="1"/>
          <w:numId w:val="18"/>
        </w:numPr>
        <w:spacing w:before="60"/>
        <w:ind w:left="426" w:hanging="426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Smluvní strany prohlašují a stvrzují svými podpisy, že tuto smlouvu uzavírají ze své vůle, svobodně a vážně, že ji neuzavírají v tísni ani za jinak nápadně nevýhodných podmínek, že si ji před podpisem řádně přečetly a jsou srozuměni s jejím obsahem.</w:t>
      </w:r>
    </w:p>
    <w:p w:rsidR="00175CC5" w:rsidRPr="00720606" w:rsidRDefault="00175CC5" w:rsidP="009C3303">
      <w:pPr>
        <w:pStyle w:val="Odstavecseseznamem"/>
        <w:numPr>
          <w:ilvl w:val="1"/>
          <w:numId w:val="18"/>
        </w:numPr>
        <w:spacing w:before="60"/>
        <w:ind w:left="426" w:hanging="426"/>
        <w:jc w:val="both"/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Tato smlouva se vyhotovuje ve čtyřech stejnopisech, z nichž každá smluvní strana obdrží dva.</w:t>
      </w:r>
    </w:p>
    <w:p w:rsidR="00F50925" w:rsidRDefault="00F50925" w:rsidP="00970C68">
      <w:pPr>
        <w:rPr>
          <w:rFonts w:ascii="Palatino Linotype" w:hAnsi="Palatino Linotype" w:cstheme="minorHAnsi"/>
          <w:sz w:val="20"/>
          <w:szCs w:val="20"/>
        </w:rPr>
      </w:pPr>
    </w:p>
    <w:p w:rsidR="00B916B5" w:rsidRDefault="00B916B5" w:rsidP="00970C68">
      <w:pPr>
        <w:rPr>
          <w:rFonts w:ascii="Palatino Linotype" w:hAnsi="Palatino Linotype" w:cstheme="minorHAnsi"/>
          <w:sz w:val="20"/>
          <w:szCs w:val="20"/>
        </w:rPr>
      </w:pPr>
    </w:p>
    <w:p w:rsidR="00B916B5" w:rsidRPr="00EB5A4B" w:rsidRDefault="00B916B5" w:rsidP="00970C68">
      <w:pPr>
        <w:rPr>
          <w:rFonts w:ascii="Palatino Linotype" w:hAnsi="Palatino Linotype" w:cstheme="minorHAnsi"/>
          <w:sz w:val="20"/>
          <w:szCs w:val="20"/>
        </w:rPr>
      </w:pPr>
    </w:p>
    <w:p w:rsidR="00970C68" w:rsidRPr="00EB5A4B" w:rsidRDefault="00970C68" w:rsidP="00970C68">
      <w:pPr>
        <w:rPr>
          <w:rFonts w:ascii="Palatino Linotype" w:hAnsi="Palatino Linotype" w:cstheme="minorHAnsi"/>
          <w:sz w:val="20"/>
          <w:szCs w:val="20"/>
        </w:rPr>
      </w:pPr>
      <w:r w:rsidRPr="00EB5A4B">
        <w:rPr>
          <w:rFonts w:ascii="Palatino Linotype" w:hAnsi="Palatino Linotype" w:cstheme="minorHAnsi"/>
          <w:sz w:val="20"/>
          <w:szCs w:val="20"/>
        </w:rPr>
        <w:t>V </w:t>
      </w:r>
      <w:r w:rsidR="00F17EC6" w:rsidRPr="00EB5A4B">
        <w:rPr>
          <w:rFonts w:ascii="Palatino Linotype" w:hAnsi="Palatino Linotype" w:cstheme="minorHAnsi"/>
          <w:sz w:val="20"/>
          <w:szCs w:val="20"/>
        </w:rPr>
        <w:t>Praze</w:t>
      </w:r>
      <w:r w:rsidRPr="00EB5A4B">
        <w:rPr>
          <w:rFonts w:ascii="Palatino Linotype" w:hAnsi="Palatino Linotype" w:cstheme="minorHAnsi"/>
          <w:sz w:val="20"/>
          <w:szCs w:val="20"/>
        </w:rPr>
        <w:t xml:space="preserve"> dne </w:t>
      </w:r>
      <w:r w:rsidR="007B762E">
        <w:rPr>
          <w:rFonts w:ascii="Palatino Linotype" w:hAnsi="Palatino Linotype" w:cstheme="minorHAnsi"/>
          <w:sz w:val="20"/>
          <w:szCs w:val="20"/>
        </w:rPr>
        <w:tab/>
      </w:r>
      <w:r w:rsidR="007B762E">
        <w:rPr>
          <w:rFonts w:ascii="Palatino Linotype" w:hAnsi="Palatino Linotype" w:cstheme="minorHAnsi"/>
          <w:sz w:val="20"/>
          <w:szCs w:val="20"/>
        </w:rPr>
        <w:tab/>
      </w:r>
      <w:r w:rsidR="00470B63" w:rsidRPr="00EB5A4B">
        <w:rPr>
          <w:rFonts w:ascii="Palatino Linotype" w:hAnsi="Palatino Linotype" w:cstheme="minorHAnsi"/>
          <w:sz w:val="20"/>
          <w:szCs w:val="20"/>
        </w:rPr>
        <w:tab/>
      </w:r>
      <w:r w:rsidR="00470B63" w:rsidRPr="00EB5A4B">
        <w:rPr>
          <w:rFonts w:ascii="Palatino Linotype" w:hAnsi="Palatino Linotype" w:cstheme="minorHAnsi"/>
          <w:sz w:val="20"/>
          <w:szCs w:val="20"/>
        </w:rPr>
        <w:tab/>
      </w:r>
      <w:r w:rsidR="00F17EC6" w:rsidRPr="00EB5A4B">
        <w:rPr>
          <w:rFonts w:ascii="Palatino Linotype" w:hAnsi="Palatino Linotype" w:cstheme="minorHAnsi"/>
          <w:sz w:val="20"/>
          <w:szCs w:val="20"/>
        </w:rPr>
        <w:tab/>
      </w:r>
      <w:r w:rsidR="00F17EC6" w:rsidRPr="00EB5A4B">
        <w:rPr>
          <w:rFonts w:ascii="Palatino Linotype" w:hAnsi="Palatino Linotype" w:cstheme="minorHAnsi"/>
          <w:sz w:val="20"/>
          <w:szCs w:val="20"/>
        </w:rPr>
        <w:tab/>
      </w:r>
      <w:r w:rsidRPr="00EB5A4B">
        <w:rPr>
          <w:rFonts w:ascii="Palatino Linotype" w:hAnsi="Palatino Linotype" w:cstheme="minorHAnsi"/>
          <w:sz w:val="20"/>
          <w:szCs w:val="20"/>
        </w:rPr>
        <w:t>V </w:t>
      </w:r>
      <w:r w:rsidR="00F17EC6" w:rsidRPr="00EB5A4B">
        <w:rPr>
          <w:rFonts w:ascii="Palatino Linotype" w:hAnsi="Palatino Linotype" w:cstheme="minorHAnsi"/>
          <w:sz w:val="20"/>
          <w:szCs w:val="20"/>
        </w:rPr>
        <w:t>Praze</w:t>
      </w:r>
      <w:r w:rsidRPr="00EB5A4B">
        <w:rPr>
          <w:rFonts w:ascii="Palatino Linotype" w:hAnsi="Palatino Linotype" w:cstheme="minorHAnsi"/>
          <w:sz w:val="20"/>
          <w:szCs w:val="20"/>
        </w:rPr>
        <w:t xml:space="preserve"> dne </w:t>
      </w:r>
    </w:p>
    <w:p w:rsidR="00970C68" w:rsidRPr="00EB5A4B" w:rsidRDefault="00970C68" w:rsidP="00970C68">
      <w:pPr>
        <w:rPr>
          <w:rFonts w:ascii="Palatino Linotype" w:hAnsi="Palatino Linotype" w:cstheme="minorHAnsi"/>
          <w:sz w:val="20"/>
          <w:szCs w:val="20"/>
        </w:rPr>
      </w:pPr>
    </w:p>
    <w:p w:rsidR="00F50925" w:rsidRPr="00EB5A4B" w:rsidRDefault="00F50925" w:rsidP="00970C68">
      <w:pPr>
        <w:rPr>
          <w:rFonts w:ascii="Palatino Linotype" w:hAnsi="Palatino Linotype" w:cstheme="minorHAnsi"/>
          <w:sz w:val="20"/>
          <w:szCs w:val="20"/>
        </w:rPr>
      </w:pPr>
    </w:p>
    <w:p w:rsidR="00970C68" w:rsidRPr="00EB5A4B" w:rsidRDefault="00970C68" w:rsidP="00970C68">
      <w:pPr>
        <w:rPr>
          <w:rFonts w:ascii="Palatino Linotype" w:hAnsi="Palatino Linotype" w:cstheme="minorHAnsi"/>
          <w:sz w:val="20"/>
          <w:szCs w:val="20"/>
        </w:rPr>
      </w:pPr>
    </w:p>
    <w:p w:rsidR="00365D99" w:rsidRPr="00EB5A4B" w:rsidRDefault="00365D99" w:rsidP="00970C68">
      <w:pPr>
        <w:rPr>
          <w:rFonts w:ascii="Palatino Linotype" w:hAnsi="Palatino Linotype" w:cstheme="minorHAnsi"/>
          <w:sz w:val="20"/>
          <w:szCs w:val="20"/>
        </w:rPr>
      </w:pPr>
    </w:p>
    <w:p w:rsidR="00470B63" w:rsidRPr="00EB5A4B" w:rsidRDefault="00470B63" w:rsidP="00970C68">
      <w:pPr>
        <w:rPr>
          <w:rFonts w:ascii="Palatino Linotype" w:hAnsi="Palatino Linotype" w:cstheme="minorHAnsi"/>
          <w:sz w:val="20"/>
          <w:szCs w:val="20"/>
        </w:rPr>
      </w:pPr>
    </w:p>
    <w:p w:rsidR="00470B63" w:rsidRPr="00EB5A4B" w:rsidRDefault="00470B63" w:rsidP="00970C68">
      <w:pPr>
        <w:rPr>
          <w:rFonts w:ascii="Palatino Linotype" w:hAnsi="Palatino Linotype" w:cstheme="minorHAnsi"/>
          <w:sz w:val="20"/>
          <w:szCs w:val="20"/>
        </w:rPr>
      </w:pPr>
    </w:p>
    <w:p w:rsidR="00470B63" w:rsidRPr="00EB5A4B" w:rsidRDefault="00470B63" w:rsidP="00970C68">
      <w:pPr>
        <w:rPr>
          <w:rFonts w:ascii="Palatino Linotype" w:hAnsi="Palatino Linotype" w:cstheme="minorHAnsi"/>
          <w:sz w:val="20"/>
          <w:szCs w:val="20"/>
        </w:rPr>
      </w:pPr>
    </w:p>
    <w:p w:rsidR="007B762E" w:rsidRPr="00720606" w:rsidRDefault="007B762E" w:rsidP="007B762E">
      <w:pPr>
        <w:rPr>
          <w:rFonts w:ascii="Palatino Linotype" w:hAnsi="Palatino Linotype" w:cstheme="minorHAnsi"/>
          <w:sz w:val="20"/>
          <w:szCs w:val="20"/>
        </w:rPr>
      </w:pPr>
      <w:r w:rsidRPr="00720606">
        <w:rPr>
          <w:rFonts w:ascii="Palatino Linotype" w:hAnsi="Palatino Linotype" w:cstheme="minorHAnsi"/>
          <w:sz w:val="20"/>
          <w:szCs w:val="20"/>
        </w:rPr>
        <w:t>________________________________</w:t>
      </w:r>
      <w:r w:rsidRPr="00720606">
        <w:rPr>
          <w:rFonts w:ascii="Palatino Linotype" w:hAnsi="Palatino Linotype" w:cstheme="minorHAnsi"/>
          <w:sz w:val="20"/>
          <w:szCs w:val="20"/>
        </w:rPr>
        <w:tab/>
      </w:r>
      <w:r w:rsidRPr="00720606">
        <w:rPr>
          <w:rFonts w:ascii="Palatino Linotype" w:hAnsi="Palatino Linotype" w:cstheme="minorHAnsi"/>
          <w:sz w:val="20"/>
          <w:szCs w:val="20"/>
        </w:rPr>
        <w:tab/>
      </w:r>
      <w:r>
        <w:rPr>
          <w:rFonts w:ascii="Palatino Linotype" w:hAnsi="Palatino Linotype" w:cstheme="minorHAnsi"/>
          <w:sz w:val="20"/>
          <w:szCs w:val="20"/>
        </w:rPr>
        <w:tab/>
      </w:r>
      <w:r w:rsidRPr="00720606">
        <w:rPr>
          <w:rFonts w:ascii="Palatino Linotype" w:hAnsi="Palatino Linotype" w:cstheme="minorHAnsi"/>
          <w:sz w:val="20"/>
          <w:szCs w:val="20"/>
        </w:rPr>
        <w:t>_______________________________</w:t>
      </w:r>
    </w:p>
    <w:p w:rsidR="007B762E" w:rsidRPr="00720606" w:rsidRDefault="007B762E" w:rsidP="007B762E">
      <w:pPr>
        <w:tabs>
          <w:tab w:val="left" w:pos="4962"/>
        </w:tabs>
        <w:jc w:val="both"/>
        <w:rPr>
          <w:rStyle w:val="Siln"/>
          <w:rFonts w:ascii="Palatino Linotype" w:hAnsi="Palatino Linotype" w:cstheme="minorHAnsi"/>
          <w:bCs w:val="0"/>
          <w:sz w:val="20"/>
          <w:szCs w:val="20"/>
        </w:rPr>
      </w:pPr>
      <w:r>
        <w:rPr>
          <w:rFonts w:ascii="Palatino Linotype" w:eastAsia="Calibri" w:hAnsi="Palatino Linotype" w:cstheme="minorHAnsi"/>
          <w:b/>
          <w:sz w:val="20"/>
          <w:szCs w:val="20"/>
        </w:rPr>
        <w:t>Letňanská sportovně kulturní s.r.o. v</w:t>
      </w:r>
      <w:r w:rsidR="009C3303">
        <w:rPr>
          <w:rFonts w:ascii="Palatino Linotype" w:eastAsia="Calibri" w:hAnsi="Palatino Linotype" w:cstheme="minorHAnsi"/>
          <w:b/>
          <w:sz w:val="20"/>
          <w:szCs w:val="20"/>
        </w:rPr>
        <w:t> </w:t>
      </w:r>
      <w:r>
        <w:rPr>
          <w:rFonts w:ascii="Palatino Linotype" w:eastAsia="Calibri" w:hAnsi="Palatino Linotype" w:cstheme="minorHAnsi"/>
          <w:b/>
          <w:sz w:val="20"/>
          <w:szCs w:val="20"/>
        </w:rPr>
        <w:t>likvidaci</w:t>
      </w:r>
      <w:r w:rsidR="009C3303">
        <w:rPr>
          <w:rFonts w:ascii="Palatino Linotype" w:eastAsia="Calibri" w:hAnsi="Palatino Linotype" w:cstheme="minorHAnsi"/>
          <w:b/>
          <w:sz w:val="20"/>
          <w:szCs w:val="20"/>
        </w:rPr>
        <w:tab/>
      </w:r>
      <w:r>
        <w:rPr>
          <w:rFonts w:ascii="Palatino Linotype" w:hAnsi="Palatino Linotype" w:cstheme="minorHAnsi"/>
          <w:b/>
          <w:sz w:val="20"/>
          <w:szCs w:val="20"/>
        </w:rPr>
        <w:t>Městská část Praha 18</w:t>
      </w:r>
    </w:p>
    <w:p w:rsidR="00302860" w:rsidRPr="00EB5A4B" w:rsidRDefault="007B762E" w:rsidP="009C3303">
      <w:pPr>
        <w:rPr>
          <w:rFonts w:ascii="Palatino Linotype" w:hAnsi="Palatino Linotype" w:cstheme="minorHAnsi"/>
          <w:sz w:val="20"/>
          <w:szCs w:val="20"/>
        </w:rPr>
      </w:pPr>
      <w:r>
        <w:rPr>
          <w:rStyle w:val="Siln"/>
          <w:rFonts w:ascii="Palatino Linotype" w:hAnsi="Palatino Linotype" w:cstheme="minorHAnsi"/>
          <w:sz w:val="20"/>
          <w:szCs w:val="20"/>
        </w:rPr>
        <w:t>Mgr. Martina Krumichová, likvidátor</w:t>
      </w:r>
      <w:r>
        <w:rPr>
          <w:rStyle w:val="Siln"/>
          <w:rFonts w:ascii="Palatino Linotype" w:hAnsi="Palatino Linotype" w:cstheme="minorHAnsi"/>
          <w:sz w:val="20"/>
          <w:szCs w:val="20"/>
        </w:rPr>
        <w:tab/>
      </w:r>
      <w:r>
        <w:rPr>
          <w:rStyle w:val="Siln"/>
          <w:rFonts w:ascii="Palatino Linotype" w:hAnsi="Palatino Linotype" w:cstheme="minorHAnsi"/>
          <w:sz w:val="20"/>
          <w:szCs w:val="20"/>
        </w:rPr>
        <w:tab/>
      </w:r>
      <w:r>
        <w:rPr>
          <w:rStyle w:val="Siln"/>
          <w:rFonts w:ascii="Palatino Linotype" w:hAnsi="Palatino Linotype" w:cstheme="minorHAnsi"/>
          <w:sz w:val="20"/>
          <w:szCs w:val="20"/>
        </w:rPr>
        <w:tab/>
        <w:t>Mgr. Ivan Kabický, starosta</w:t>
      </w:r>
    </w:p>
    <w:sectPr w:rsidR="00302860" w:rsidRPr="00EB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D9B"/>
    <w:multiLevelType w:val="multilevel"/>
    <w:tmpl w:val="391C614C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00062"/>
    <w:multiLevelType w:val="multilevel"/>
    <w:tmpl w:val="6D5CF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4E3DF5"/>
    <w:multiLevelType w:val="multilevel"/>
    <w:tmpl w:val="21AAF1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3" w15:restartNumberingAfterBreak="0">
    <w:nsid w:val="2FE81C3F"/>
    <w:multiLevelType w:val="multilevel"/>
    <w:tmpl w:val="391C614C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685E63"/>
    <w:multiLevelType w:val="multilevel"/>
    <w:tmpl w:val="918E98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51F373A"/>
    <w:multiLevelType w:val="multilevel"/>
    <w:tmpl w:val="8CB45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A009E5"/>
    <w:multiLevelType w:val="hybridMultilevel"/>
    <w:tmpl w:val="760C34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9A7E58"/>
    <w:multiLevelType w:val="multilevel"/>
    <w:tmpl w:val="391C6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76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233A6B"/>
    <w:multiLevelType w:val="multilevel"/>
    <w:tmpl w:val="90A80F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8" w:hanging="1440"/>
      </w:pPr>
      <w:rPr>
        <w:rFonts w:hint="default"/>
      </w:rPr>
    </w:lvl>
  </w:abstractNum>
  <w:abstractNum w:abstractNumId="9" w15:restartNumberingAfterBreak="0">
    <w:nsid w:val="50E11EE0"/>
    <w:multiLevelType w:val="multilevel"/>
    <w:tmpl w:val="683E7F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1440"/>
      </w:pPr>
      <w:rPr>
        <w:rFonts w:hint="default"/>
      </w:rPr>
    </w:lvl>
  </w:abstractNum>
  <w:abstractNum w:abstractNumId="10" w15:restartNumberingAfterBreak="0">
    <w:nsid w:val="5F05082A"/>
    <w:multiLevelType w:val="multilevel"/>
    <w:tmpl w:val="391C614C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715A17"/>
    <w:multiLevelType w:val="multilevel"/>
    <w:tmpl w:val="6F36CFF2"/>
    <w:numStyleLink w:val="Styl1"/>
  </w:abstractNum>
  <w:abstractNum w:abstractNumId="12" w15:restartNumberingAfterBreak="0">
    <w:nsid w:val="63C71A0D"/>
    <w:multiLevelType w:val="multilevel"/>
    <w:tmpl w:val="391C614C"/>
    <w:numStyleLink w:val="Styl2"/>
  </w:abstractNum>
  <w:abstractNum w:abstractNumId="13" w15:restartNumberingAfterBreak="0">
    <w:nsid w:val="688744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B110AC"/>
    <w:multiLevelType w:val="multilevel"/>
    <w:tmpl w:val="B59A75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6E4B0788"/>
    <w:multiLevelType w:val="multilevel"/>
    <w:tmpl w:val="6F36CFF2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9395C4D"/>
    <w:multiLevelType w:val="multilevel"/>
    <w:tmpl w:val="391C614C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</w:num>
  <w:num w:numId="7">
    <w:abstractNumId w:val="15"/>
  </w:num>
  <w:num w:numId="8">
    <w:abstractNumId w:val="0"/>
  </w:num>
  <w:num w:numId="9">
    <w:abstractNumId w:val="10"/>
  </w:num>
  <w:num w:numId="10">
    <w:abstractNumId w:val="16"/>
  </w:num>
  <w:num w:numId="11">
    <w:abstractNumId w:val="3"/>
  </w:num>
  <w:num w:numId="12">
    <w:abstractNumId w:val="1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4D"/>
    <w:rsid w:val="00000B63"/>
    <w:rsid w:val="00027C8E"/>
    <w:rsid w:val="00035924"/>
    <w:rsid w:val="00055874"/>
    <w:rsid w:val="00063540"/>
    <w:rsid w:val="0010265F"/>
    <w:rsid w:val="00122FDA"/>
    <w:rsid w:val="00131C39"/>
    <w:rsid w:val="001563CC"/>
    <w:rsid w:val="00173646"/>
    <w:rsid w:val="00175CC5"/>
    <w:rsid w:val="0018406F"/>
    <w:rsid w:val="001B21AD"/>
    <w:rsid w:val="001F20A7"/>
    <w:rsid w:val="001F440C"/>
    <w:rsid w:val="0021136C"/>
    <w:rsid w:val="00251419"/>
    <w:rsid w:val="0025369D"/>
    <w:rsid w:val="0025395F"/>
    <w:rsid w:val="002A6D64"/>
    <w:rsid w:val="002B0C4A"/>
    <w:rsid w:val="002E3D4D"/>
    <w:rsid w:val="00302860"/>
    <w:rsid w:val="00310CFF"/>
    <w:rsid w:val="003448C7"/>
    <w:rsid w:val="0036213F"/>
    <w:rsid w:val="00365D99"/>
    <w:rsid w:val="003703CA"/>
    <w:rsid w:val="0040156E"/>
    <w:rsid w:val="004201FE"/>
    <w:rsid w:val="0043759A"/>
    <w:rsid w:val="00462769"/>
    <w:rsid w:val="00470B63"/>
    <w:rsid w:val="004B5257"/>
    <w:rsid w:val="00503D76"/>
    <w:rsid w:val="00553E0A"/>
    <w:rsid w:val="00582867"/>
    <w:rsid w:val="00587C7A"/>
    <w:rsid w:val="005A4857"/>
    <w:rsid w:val="00655358"/>
    <w:rsid w:val="006A3A33"/>
    <w:rsid w:val="006C5AF6"/>
    <w:rsid w:val="007566E0"/>
    <w:rsid w:val="007A0DDC"/>
    <w:rsid w:val="007B4715"/>
    <w:rsid w:val="007B762E"/>
    <w:rsid w:val="007C0655"/>
    <w:rsid w:val="008165F4"/>
    <w:rsid w:val="008673A2"/>
    <w:rsid w:val="008C14D6"/>
    <w:rsid w:val="00935CE2"/>
    <w:rsid w:val="00970C68"/>
    <w:rsid w:val="009C3303"/>
    <w:rsid w:val="00A20B8E"/>
    <w:rsid w:val="00A964FC"/>
    <w:rsid w:val="00AD7407"/>
    <w:rsid w:val="00AE1E3A"/>
    <w:rsid w:val="00AF7973"/>
    <w:rsid w:val="00B1606A"/>
    <w:rsid w:val="00B51196"/>
    <w:rsid w:val="00B85C62"/>
    <w:rsid w:val="00B916B5"/>
    <w:rsid w:val="00BA74CA"/>
    <w:rsid w:val="00BE505B"/>
    <w:rsid w:val="00C26726"/>
    <w:rsid w:val="00CE66F8"/>
    <w:rsid w:val="00D323C8"/>
    <w:rsid w:val="00D52928"/>
    <w:rsid w:val="00DB5B38"/>
    <w:rsid w:val="00E007BB"/>
    <w:rsid w:val="00E11487"/>
    <w:rsid w:val="00E74C1F"/>
    <w:rsid w:val="00EB5A4B"/>
    <w:rsid w:val="00EF6156"/>
    <w:rsid w:val="00F17EC6"/>
    <w:rsid w:val="00F50925"/>
    <w:rsid w:val="00F6651D"/>
    <w:rsid w:val="00F91333"/>
    <w:rsid w:val="00F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52B4A-0A75-4A12-B028-5F698C71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rsid w:val="002E3D4D"/>
  </w:style>
  <w:style w:type="character" w:styleId="Siln">
    <w:name w:val="Strong"/>
    <w:uiPriority w:val="22"/>
    <w:qFormat/>
    <w:rsid w:val="002E3D4D"/>
    <w:rPr>
      <w:b/>
      <w:bCs/>
    </w:rPr>
  </w:style>
  <w:style w:type="paragraph" w:customStyle="1" w:styleId="Textlnku">
    <w:name w:val="Text článku"/>
    <w:basedOn w:val="Normln"/>
    <w:rsid w:val="00302860"/>
    <w:pPr>
      <w:spacing w:before="240"/>
      <w:ind w:firstLine="425"/>
      <w:jc w:val="both"/>
      <w:outlineLvl w:val="5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0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05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26726"/>
    <w:pPr>
      <w:ind w:left="720"/>
      <w:contextualSpacing/>
    </w:pPr>
  </w:style>
  <w:style w:type="character" w:customStyle="1" w:styleId="platne1">
    <w:name w:val="platne1"/>
    <w:basedOn w:val="Standardnpsmoodstavce"/>
    <w:rsid w:val="008C14D6"/>
  </w:style>
  <w:style w:type="numbering" w:customStyle="1" w:styleId="Styl1">
    <w:name w:val="Styl1"/>
    <w:uiPriority w:val="99"/>
    <w:rsid w:val="00035924"/>
    <w:pPr>
      <w:numPr>
        <w:numId w:val="7"/>
      </w:numPr>
    </w:pPr>
  </w:style>
  <w:style w:type="numbering" w:customStyle="1" w:styleId="Styl2">
    <w:name w:val="Styl2"/>
    <w:uiPriority w:val="99"/>
    <w:rsid w:val="00035924"/>
    <w:pPr>
      <w:numPr>
        <w:numId w:val="8"/>
      </w:numPr>
    </w:pPr>
  </w:style>
  <w:style w:type="character" w:styleId="Hypertextovodkaz">
    <w:name w:val="Hyperlink"/>
    <w:basedOn w:val="Standardnpsmoodstavce"/>
    <w:uiPriority w:val="99"/>
    <w:unhideWhenUsed/>
    <w:rsid w:val="00175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Blazkova</dc:creator>
  <cp:lastModifiedBy>Zuzana Gladišová</cp:lastModifiedBy>
  <cp:revision>3</cp:revision>
  <cp:lastPrinted>2017-10-31T11:10:00Z</cp:lastPrinted>
  <dcterms:created xsi:type="dcterms:W3CDTF">2017-11-13T14:38:00Z</dcterms:created>
  <dcterms:modified xsi:type="dcterms:W3CDTF">2017-11-13T14:39:00Z</dcterms:modified>
</cp:coreProperties>
</file>