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D0" w:rsidRPr="009211D0" w:rsidRDefault="009211D0" w:rsidP="009211D0">
      <w:pPr>
        <w:keepNext/>
        <w:overflowPunct w:val="0"/>
        <w:autoSpaceDE w:val="0"/>
        <w:autoSpaceDN w:val="0"/>
        <w:adjustRightInd w:val="0"/>
        <w:spacing w:after="0" w:line="240" w:lineRule="auto"/>
        <w:jc w:val="both"/>
        <w:textAlignment w:val="baseline"/>
        <w:outlineLvl w:val="2"/>
        <w:rPr>
          <w:rFonts w:eastAsia="Times New Roman" w:cs="Times New Roman"/>
          <w:lang w:eastAsia="cs-CZ"/>
        </w:rPr>
      </w:pPr>
      <w:r w:rsidRPr="009211D0">
        <w:rPr>
          <w:rFonts w:eastAsia="Times New Roman" w:cs="Times New Roman"/>
          <w:lang w:eastAsia="cs-CZ"/>
        </w:rPr>
        <w:t>Ministerstvo průmyslu a obchodu</w:t>
      </w:r>
    </w:p>
    <w:p w:rsidR="009211D0" w:rsidRPr="009211D0" w:rsidRDefault="009211D0" w:rsidP="009211D0">
      <w:pPr>
        <w:keepNext/>
        <w:overflowPunct w:val="0"/>
        <w:autoSpaceDE w:val="0"/>
        <w:autoSpaceDN w:val="0"/>
        <w:adjustRightInd w:val="0"/>
        <w:spacing w:after="0" w:line="240" w:lineRule="auto"/>
        <w:jc w:val="both"/>
        <w:textAlignment w:val="baseline"/>
        <w:outlineLvl w:val="2"/>
        <w:rPr>
          <w:rFonts w:eastAsia="Times New Roman" w:cs="Times New Roman"/>
          <w:lang w:eastAsia="cs-CZ"/>
        </w:rPr>
      </w:pPr>
      <w:r w:rsidRPr="009211D0">
        <w:rPr>
          <w:rFonts w:eastAsia="Times New Roman" w:cs="Times New Roman"/>
          <w:lang w:eastAsia="cs-CZ"/>
        </w:rPr>
        <w:t xml:space="preserve">Sekce fondů EU, </w:t>
      </w:r>
      <w:proofErr w:type="spellStart"/>
      <w:r w:rsidRPr="009211D0">
        <w:rPr>
          <w:rFonts w:eastAsia="Times New Roman" w:cs="Times New Roman"/>
          <w:lang w:eastAsia="cs-CZ"/>
        </w:rPr>
        <w:t>VaVaI</w:t>
      </w:r>
      <w:proofErr w:type="spellEnd"/>
      <w:r w:rsidRPr="009211D0">
        <w:rPr>
          <w:rFonts w:eastAsia="Times New Roman" w:cs="Times New Roman"/>
          <w:lang w:eastAsia="cs-CZ"/>
        </w:rPr>
        <w:t xml:space="preserve"> a investičních pobídek</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Na Františku 32</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110 15 Praha 1</w:t>
      </w:r>
    </w:p>
    <w:p w:rsidR="009211D0" w:rsidRPr="009211D0" w:rsidRDefault="009211D0" w:rsidP="009211D0">
      <w:pPr>
        <w:keepNext/>
        <w:overflowPunct w:val="0"/>
        <w:autoSpaceDE w:val="0"/>
        <w:autoSpaceDN w:val="0"/>
        <w:adjustRightInd w:val="0"/>
        <w:spacing w:before="120" w:after="120" w:line="240" w:lineRule="auto"/>
        <w:jc w:val="right"/>
        <w:textAlignment w:val="baseline"/>
        <w:outlineLvl w:val="0"/>
        <w:rPr>
          <w:rFonts w:eastAsia="Times New Roman" w:cs="Times New Roman"/>
          <w:lang w:eastAsia="cs-CZ"/>
        </w:rPr>
      </w:pPr>
    </w:p>
    <w:p w:rsidR="009211D0" w:rsidRPr="009211D0" w:rsidRDefault="009211D0" w:rsidP="009211D0">
      <w:pPr>
        <w:keepNext/>
        <w:overflowPunct w:val="0"/>
        <w:autoSpaceDE w:val="0"/>
        <w:autoSpaceDN w:val="0"/>
        <w:adjustRightInd w:val="0"/>
        <w:spacing w:before="120" w:after="120" w:line="240" w:lineRule="auto"/>
        <w:jc w:val="right"/>
        <w:textAlignment w:val="baseline"/>
        <w:outlineLvl w:val="0"/>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right"/>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Times New Roman"/>
          <w:b/>
          <w:bCs/>
          <w:sz w:val="28"/>
          <w:szCs w:val="28"/>
          <w:u w:val="single"/>
          <w:lang w:eastAsia="cs-CZ"/>
        </w:rPr>
      </w:pPr>
      <w:r w:rsidRPr="009211D0">
        <w:rPr>
          <w:rFonts w:eastAsia="Times New Roman" w:cs="Times New Roman"/>
          <w:b/>
          <w:bCs/>
          <w:sz w:val="28"/>
          <w:szCs w:val="28"/>
          <w:u w:val="single"/>
          <w:lang w:eastAsia="cs-CZ"/>
        </w:rPr>
        <w:t xml:space="preserve">Rozhodnutí o poskytnutí dotace č. j. </w:t>
      </w:r>
      <w:r w:rsidR="00335EF8" w:rsidRPr="00335EF8">
        <w:rPr>
          <w:rFonts w:eastAsia="Times New Roman" w:cs="Arial"/>
          <w:b/>
          <w:sz w:val="28"/>
          <w:szCs w:val="28"/>
          <w:u w:val="single"/>
          <w:lang w:eastAsia="cs-CZ"/>
        </w:rPr>
        <w:t>64622/17/61200</w:t>
      </w:r>
      <w:r w:rsidR="00335EF8">
        <w:rPr>
          <w:rFonts w:eastAsia="Times New Roman" w:cs="Arial"/>
          <w:sz w:val="28"/>
          <w:szCs w:val="28"/>
          <w:u w:val="single"/>
          <w:lang w:eastAsia="cs-CZ"/>
        </w:rPr>
        <w:t xml:space="preserve"> </w:t>
      </w:r>
      <w:r w:rsidRPr="009211D0">
        <w:rPr>
          <w:rFonts w:eastAsia="Times New Roman" w:cs="Times New Roman"/>
          <w:b/>
          <w:bCs/>
          <w:sz w:val="28"/>
          <w:szCs w:val="28"/>
          <w:u w:val="single"/>
          <w:lang w:eastAsia="cs-CZ"/>
        </w:rPr>
        <w:t xml:space="preserve">vydané dle </w:t>
      </w:r>
      <w:r w:rsidRPr="009211D0">
        <w:rPr>
          <w:rFonts w:eastAsia="Times New Roman" w:cs="Times New Roman"/>
          <w:b/>
          <w:bCs/>
          <w:sz w:val="28"/>
          <w:szCs w:val="28"/>
          <w:u w:val="single"/>
          <w:lang w:eastAsia="cs-CZ"/>
        </w:rPr>
        <w:br/>
        <w:t>§ 14 zákona č.218/2000 Sb., o rozpočtových pravidlech a o změně některých souvisejících zákonů, ve znění pozdějších předpisů,</w:t>
      </w:r>
    </w:p>
    <w:p w:rsidR="009211D0" w:rsidRPr="009211D0" w:rsidRDefault="009211D0" w:rsidP="009211D0">
      <w:pPr>
        <w:overflowPunct w:val="0"/>
        <w:autoSpaceDE w:val="0"/>
        <w:autoSpaceDN w:val="0"/>
        <w:adjustRightInd w:val="0"/>
        <w:spacing w:before="120" w:after="120" w:line="240" w:lineRule="auto"/>
        <w:jc w:val="center"/>
        <w:textAlignment w:val="baseline"/>
        <w:rPr>
          <w:rFonts w:eastAsia="Times New Roman" w:cs="Times New Roman"/>
          <w:b/>
          <w:bCs/>
          <w:sz w:val="28"/>
          <w:szCs w:val="28"/>
          <w:u w:val="single"/>
          <w:lang w:eastAsia="cs-CZ"/>
        </w:rPr>
      </w:pPr>
      <w:r w:rsidRPr="009211D0">
        <w:rPr>
          <w:rFonts w:eastAsia="Times New Roman" w:cs="Times New Roman"/>
          <w:b/>
          <w:bCs/>
          <w:sz w:val="28"/>
          <w:szCs w:val="28"/>
          <w:u w:val="single"/>
          <w:lang w:eastAsia="cs-CZ"/>
        </w:rPr>
        <w:t>v rámci Operačního programu Podnikání a inovace pro konkurenceschopnost (OP PIK)</w:t>
      </w: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ab/>
        <w:t>Na základě žádosti o podporu ze dne 16. 2. 2017, v souladu s § 14 zákona č. 218/2000 Sb., o rozpočtových pravidlech a o změně některých souvisejících zákonů, a v souladu s interními postupy Ministerstva průmyslu a obchodu pro hodnocení projektů, byl uznán níže uvedený projekt za přijatelný a způsobilý k poskytnutí dotace v souladu s cíli programu podpory OP PIK ICT a sdílené služby a bylo rozhodnuto o poskytnutí dotace na tento stanovený účel:</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6095"/>
      </w:tblGrid>
      <w:tr w:rsidR="009211D0" w:rsidRPr="009211D0" w:rsidTr="00335EF8">
        <w:tc>
          <w:tcPr>
            <w:tcW w:w="3189"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Název projektu</w:t>
            </w:r>
          </w:p>
        </w:tc>
        <w:tc>
          <w:tcPr>
            <w:tcW w:w="6095"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Modernizace informačního systému osobní přepravy</w:t>
            </w:r>
          </w:p>
        </w:tc>
      </w:tr>
      <w:tr w:rsidR="009211D0" w:rsidRPr="009211D0" w:rsidTr="00335EF8">
        <w:trPr>
          <w:cantSplit/>
        </w:trPr>
        <w:tc>
          <w:tcPr>
            <w:tcW w:w="3189"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Registrační číslo projektu (MS2014+)</w:t>
            </w:r>
          </w:p>
        </w:tc>
        <w:tc>
          <w:tcPr>
            <w:tcW w:w="6095"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CZ.01.4.04/0.0/0.0/16_076/0009573</w:t>
            </w:r>
          </w:p>
        </w:tc>
      </w:tr>
      <w:tr w:rsidR="009211D0" w:rsidRPr="009211D0" w:rsidTr="00335EF8">
        <w:trPr>
          <w:cantSplit/>
        </w:trPr>
        <w:tc>
          <w:tcPr>
            <w:tcW w:w="3189"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Číslo a název prioritní osy OP PIK</w:t>
            </w:r>
          </w:p>
        </w:tc>
        <w:tc>
          <w:tcPr>
            <w:tcW w:w="6095"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PO-4 „Rozvoj vysokorychlostních přístupových sítí k internetu a informačních a komunikačních technologií“</w:t>
            </w:r>
          </w:p>
        </w:tc>
      </w:tr>
      <w:tr w:rsidR="009211D0" w:rsidRPr="009211D0" w:rsidTr="00335EF8">
        <w:trPr>
          <w:cantSplit/>
        </w:trPr>
        <w:tc>
          <w:tcPr>
            <w:tcW w:w="3189"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Místo realizace projektu</w:t>
            </w:r>
            <w:r w:rsidRPr="009211D0">
              <w:rPr>
                <w:rFonts w:eastAsia="Times New Roman" w:cs="Times New Roman"/>
                <w:vertAlign w:val="superscript"/>
                <w:lang w:eastAsia="cs-CZ"/>
              </w:rPr>
              <w:footnoteReference w:id="1"/>
            </w:r>
          </w:p>
        </w:tc>
        <w:tc>
          <w:tcPr>
            <w:tcW w:w="6095"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Kounicova 688/26, 602 00 Brno</w:t>
            </w:r>
          </w:p>
        </w:tc>
      </w:tr>
      <w:tr w:rsidR="009211D0" w:rsidRPr="009211D0" w:rsidTr="00335EF8">
        <w:trPr>
          <w:cantSplit/>
        </w:trPr>
        <w:tc>
          <w:tcPr>
            <w:tcW w:w="3189"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 xml:space="preserve">Název příjemce </w:t>
            </w:r>
          </w:p>
        </w:tc>
        <w:tc>
          <w:tcPr>
            <w:tcW w:w="6095"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ČD - Informační Systémy, a.s.</w:t>
            </w:r>
          </w:p>
        </w:tc>
      </w:tr>
      <w:tr w:rsidR="009211D0" w:rsidRPr="009211D0" w:rsidTr="00335EF8">
        <w:trPr>
          <w:cantSplit/>
        </w:trPr>
        <w:tc>
          <w:tcPr>
            <w:tcW w:w="3189"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Sídlo příjemce</w:t>
            </w:r>
          </w:p>
        </w:tc>
        <w:tc>
          <w:tcPr>
            <w:tcW w:w="6095"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Pernerova 2819/2a, Žižkov, 130 00 Praha 3</w:t>
            </w:r>
          </w:p>
        </w:tc>
      </w:tr>
      <w:tr w:rsidR="009211D0" w:rsidRPr="009211D0" w:rsidTr="00335EF8">
        <w:trPr>
          <w:cantSplit/>
        </w:trPr>
        <w:tc>
          <w:tcPr>
            <w:tcW w:w="3189"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IČ</w:t>
            </w:r>
          </w:p>
        </w:tc>
        <w:tc>
          <w:tcPr>
            <w:tcW w:w="6095"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lang w:eastAsia="cs-CZ"/>
              </w:rPr>
              <w:t>24829871</w:t>
            </w:r>
          </w:p>
        </w:tc>
      </w:tr>
    </w:tbl>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 xml:space="preserve">v souladu s předloženou žádostí o podporu, a to ve výši maximálně 25 % způsobilých výdajů projektu*. Tyto procentní míry pro jednotlivé položky výdajů jsou uvedeny ve Vymezení způsobilých výdajů pro danou výzvu, které jsou přílohou tohoto rozhodnutí o poskytnutí dotace. Absolutní částka dotace může činit nejvýše: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701"/>
        <w:gridCol w:w="4394"/>
      </w:tblGrid>
      <w:tr w:rsidR="009211D0" w:rsidRPr="009211D0" w:rsidTr="00335EF8">
        <w:tc>
          <w:tcPr>
            <w:tcW w:w="3189" w:type="dxa"/>
          </w:tcPr>
          <w:p w:rsidR="009211D0" w:rsidRPr="009211D0" w:rsidRDefault="009211D0" w:rsidP="009211D0">
            <w:pPr>
              <w:keepNext/>
              <w:overflowPunct w:val="0"/>
              <w:autoSpaceDE w:val="0"/>
              <w:autoSpaceDN w:val="0"/>
              <w:adjustRightInd w:val="0"/>
              <w:spacing w:after="0" w:line="240" w:lineRule="auto"/>
              <w:jc w:val="right"/>
              <w:textAlignment w:val="baseline"/>
              <w:outlineLvl w:val="0"/>
              <w:rPr>
                <w:rFonts w:eastAsia="Times New Roman" w:cs="Times New Roman"/>
                <w:b/>
                <w:lang w:eastAsia="cs-CZ"/>
              </w:rPr>
            </w:pPr>
            <w:r w:rsidRPr="009211D0">
              <w:rPr>
                <w:rFonts w:eastAsia="Times New Roman" w:cs="Times New Roman"/>
                <w:b/>
                <w:lang w:eastAsia="cs-CZ"/>
              </w:rPr>
              <w:t>9 085 200 Kč</w:t>
            </w:r>
          </w:p>
        </w:tc>
        <w:tc>
          <w:tcPr>
            <w:tcW w:w="1701"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b/>
                <w:lang w:eastAsia="cs-CZ"/>
              </w:rPr>
            </w:pPr>
            <w:r w:rsidRPr="009211D0">
              <w:rPr>
                <w:rFonts w:eastAsia="Times New Roman" w:cs="Times New Roman"/>
                <w:b/>
                <w:lang w:eastAsia="cs-CZ"/>
              </w:rPr>
              <w:t>tj. 100 %</w:t>
            </w:r>
          </w:p>
        </w:tc>
        <w:tc>
          <w:tcPr>
            <w:tcW w:w="4394"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lang w:eastAsia="cs-CZ"/>
              </w:rPr>
            </w:pPr>
            <w:r w:rsidRPr="009211D0">
              <w:rPr>
                <w:rFonts w:eastAsia="Times New Roman" w:cs="Times New Roman"/>
                <w:b/>
                <w:bCs/>
                <w:lang w:eastAsia="cs-CZ"/>
              </w:rPr>
              <w:t>ze strukturálních fondů**</w:t>
            </w:r>
          </w:p>
        </w:tc>
      </w:tr>
      <w:tr w:rsidR="009211D0" w:rsidRPr="009211D0" w:rsidTr="00335EF8">
        <w:tc>
          <w:tcPr>
            <w:tcW w:w="3189" w:type="dxa"/>
          </w:tcPr>
          <w:p w:rsidR="009211D0" w:rsidRPr="009211D0" w:rsidRDefault="009211D0" w:rsidP="009211D0">
            <w:pPr>
              <w:overflowPunct w:val="0"/>
              <w:autoSpaceDE w:val="0"/>
              <w:autoSpaceDN w:val="0"/>
              <w:adjustRightInd w:val="0"/>
              <w:spacing w:after="0" w:line="240" w:lineRule="auto"/>
              <w:jc w:val="right"/>
              <w:textAlignment w:val="baseline"/>
              <w:rPr>
                <w:rFonts w:eastAsia="Times New Roman" w:cs="Times New Roman"/>
                <w:b/>
                <w:bCs/>
                <w:lang w:eastAsia="cs-CZ"/>
              </w:rPr>
            </w:pPr>
            <w:r w:rsidRPr="009211D0">
              <w:rPr>
                <w:rFonts w:eastAsia="Times New Roman" w:cs="Times New Roman"/>
                <w:b/>
                <w:bCs/>
                <w:lang w:eastAsia="cs-CZ"/>
              </w:rPr>
              <w:t>9 085 200 Kč</w:t>
            </w:r>
          </w:p>
        </w:tc>
        <w:tc>
          <w:tcPr>
            <w:tcW w:w="1701"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b/>
                <w:bCs/>
                <w:lang w:eastAsia="cs-CZ"/>
              </w:rPr>
            </w:pPr>
            <w:r w:rsidRPr="009211D0">
              <w:rPr>
                <w:rFonts w:eastAsia="Times New Roman" w:cs="Times New Roman"/>
                <w:b/>
                <w:bCs/>
                <w:lang w:eastAsia="cs-CZ"/>
              </w:rPr>
              <w:t>tj. 100 %</w:t>
            </w:r>
          </w:p>
        </w:tc>
        <w:tc>
          <w:tcPr>
            <w:tcW w:w="4394"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b/>
                <w:bCs/>
                <w:lang w:eastAsia="cs-CZ"/>
              </w:rPr>
            </w:pPr>
            <w:r w:rsidRPr="009211D0">
              <w:rPr>
                <w:rFonts w:eastAsia="Times New Roman" w:cs="Times New Roman"/>
                <w:b/>
                <w:bCs/>
                <w:lang w:eastAsia="cs-CZ"/>
              </w:rPr>
              <w:t>Celkem</w:t>
            </w:r>
          </w:p>
        </w:tc>
      </w:tr>
      <w:tr w:rsidR="009211D0" w:rsidRPr="009211D0" w:rsidTr="00335EF8">
        <w:tc>
          <w:tcPr>
            <w:tcW w:w="3189" w:type="dxa"/>
          </w:tcPr>
          <w:p w:rsidR="009211D0" w:rsidRPr="009211D0" w:rsidRDefault="009211D0" w:rsidP="009211D0">
            <w:pPr>
              <w:keepNext/>
              <w:overflowPunct w:val="0"/>
              <w:autoSpaceDE w:val="0"/>
              <w:autoSpaceDN w:val="0"/>
              <w:adjustRightInd w:val="0"/>
              <w:spacing w:after="0" w:line="240" w:lineRule="auto"/>
              <w:jc w:val="right"/>
              <w:textAlignment w:val="baseline"/>
              <w:outlineLvl w:val="4"/>
              <w:rPr>
                <w:rFonts w:eastAsia="Times New Roman" w:cs="Times New Roman"/>
                <w:b/>
                <w:bCs/>
                <w:lang w:eastAsia="cs-CZ"/>
              </w:rPr>
            </w:pPr>
            <w:r w:rsidRPr="009211D0">
              <w:rPr>
                <w:rFonts w:eastAsia="Times New Roman" w:cs="Times New Roman"/>
                <w:b/>
                <w:bCs/>
                <w:lang w:eastAsia="cs-CZ"/>
              </w:rPr>
              <w:t>0 Kč</w:t>
            </w:r>
          </w:p>
        </w:tc>
        <w:tc>
          <w:tcPr>
            <w:tcW w:w="1701"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b/>
                <w:bCs/>
                <w:lang w:eastAsia="cs-CZ"/>
              </w:rPr>
            </w:pPr>
          </w:p>
        </w:tc>
        <w:tc>
          <w:tcPr>
            <w:tcW w:w="4394"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b/>
                <w:bCs/>
                <w:lang w:eastAsia="cs-CZ"/>
              </w:rPr>
            </w:pPr>
            <w:r w:rsidRPr="009211D0">
              <w:rPr>
                <w:rFonts w:eastAsia="Times New Roman" w:cs="Times New Roman"/>
                <w:b/>
                <w:bCs/>
                <w:lang w:eastAsia="cs-CZ"/>
              </w:rPr>
              <w:t xml:space="preserve">z toho de </w:t>
            </w:r>
            <w:proofErr w:type="spellStart"/>
            <w:r w:rsidRPr="009211D0">
              <w:rPr>
                <w:rFonts w:eastAsia="Times New Roman" w:cs="Times New Roman"/>
                <w:b/>
                <w:bCs/>
                <w:lang w:eastAsia="cs-CZ"/>
              </w:rPr>
              <w:t>minimis</w:t>
            </w:r>
            <w:proofErr w:type="spellEnd"/>
            <w:r w:rsidRPr="009211D0">
              <w:rPr>
                <w:rFonts w:eastAsia="Times New Roman" w:cs="Times New Roman"/>
                <w:b/>
                <w:bCs/>
                <w:lang w:eastAsia="cs-CZ"/>
              </w:rPr>
              <w:t xml:space="preserve"> maximálně***</w:t>
            </w:r>
          </w:p>
        </w:tc>
      </w:tr>
    </w:tbl>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Skutečná výše dotace, která bude příjemci dotace proplacena, bude určena na základě skutečně vynaložených, odůvodněných a řádně prokázaných způsobilých výdajů. Stejným způsobem bude vypočten i podíl vlastního spolufinancování příjemce. Skutečná výše dotace nesmí přesáhnout maximální výši dotace stanovenou tímto rozhodnutím o poskytnutí dotace. Dotace bude vyplácena zpětně, na základě již realizovaných způsobilých výdajů doložených příslušnými účetními a jinými doklady (fakturami, dodavatelskými smlouvami, výpisy z účtu apod.).</w:t>
      </w:r>
    </w:p>
    <w:p w:rsidR="009211D0" w:rsidRPr="009211D0" w:rsidRDefault="009211D0" w:rsidP="009211D0">
      <w:pPr>
        <w:tabs>
          <w:tab w:val="center" w:pos="6237"/>
        </w:tabs>
        <w:overflowPunct w:val="0"/>
        <w:autoSpaceDE w:val="0"/>
        <w:autoSpaceDN w:val="0"/>
        <w:adjustRightInd w:val="0"/>
        <w:spacing w:after="120" w:line="240" w:lineRule="auto"/>
        <w:jc w:val="both"/>
        <w:textAlignment w:val="baseline"/>
        <w:rPr>
          <w:rFonts w:eastAsia="Times New Roman" w:cs="Times New Roman"/>
          <w:lang w:eastAsia="cs-CZ"/>
        </w:rPr>
      </w:pPr>
      <w:r w:rsidRPr="009211D0">
        <w:rPr>
          <w:rFonts w:eastAsia="Times New Roman" w:cs="Times New Roman"/>
          <w:lang w:eastAsia="cs-CZ"/>
        </w:rPr>
        <w:tab/>
      </w:r>
      <w:r w:rsidRPr="009211D0">
        <w:rPr>
          <w:rFonts w:eastAsia="Times New Roman" w:cs="Times New Roman"/>
          <w:lang w:eastAsia="cs-CZ"/>
        </w:rPr>
        <w:tab/>
      </w:r>
      <w:r w:rsidRPr="009211D0">
        <w:rPr>
          <w:rFonts w:eastAsia="Times New Roman" w:cs="Times New Roman"/>
          <w:lang w:eastAsia="cs-CZ"/>
        </w:rPr>
        <w:tab/>
      </w:r>
      <w:r w:rsidRPr="009211D0">
        <w:rPr>
          <w:rFonts w:eastAsia="Times New Roman" w:cs="Times New Roman"/>
          <w:lang w:eastAsia="cs-CZ"/>
        </w:rPr>
        <w:tab/>
      </w:r>
      <w:r w:rsidRPr="009211D0">
        <w:rPr>
          <w:rFonts w:eastAsia="Times New Roman" w:cs="Times New Roman"/>
          <w:lang w:eastAsia="cs-CZ"/>
        </w:rPr>
        <w:tab/>
      </w:r>
      <w:r w:rsidRPr="009211D0">
        <w:rPr>
          <w:rFonts w:eastAsia="Times New Roman" w:cs="Times New Roman"/>
          <w:lang w:eastAsia="cs-CZ"/>
        </w:rPr>
        <w:tab/>
        <w:t xml:space="preserve">         </w:t>
      </w:r>
    </w:p>
    <w:p w:rsidR="009211D0" w:rsidRPr="009211D0" w:rsidRDefault="009211D0" w:rsidP="009211D0">
      <w:pPr>
        <w:tabs>
          <w:tab w:val="center" w:pos="6237"/>
        </w:tabs>
        <w:overflowPunct w:val="0"/>
        <w:autoSpaceDE w:val="0"/>
        <w:autoSpaceDN w:val="0"/>
        <w:adjustRightInd w:val="0"/>
        <w:spacing w:after="120" w:line="240" w:lineRule="auto"/>
        <w:jc w:val="both"/>
        <w:textAlignment w:val="baseline"/>
        <w:rPr>
          <w:rFonts w:eastAsia="Times New Roman" w:cs="Times New Roman"/>
          <w:lang w:eastAsia="cs-CZ"/>
        </w:rPr>
      </w:pPr>
      <w:r w:rsidRPr="009211D0">
        <w:rPr>
          <w:rFonts w:eastAsia="Times New Roman" w:cs="Times New Roman"/>
          <w:lang w:eastAsia="cs-CZ"/>
        </w:rPr>
        <w:lastRenderedPageBreak/>
        <w:tab/>
      </w: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 xml:space="preserve">*V případě poskytnutí dotace v režimu veřejné podpory dle Nařízení Komise (EU) č 651/2014 ze dne 17. června 2014, kterým se v souladu s články 107 a 108 Smlouvy prohlašují určité kategorie podpory za slučitelné s vnitřním trhem (tzv. všeobecná bloková výjimka, GBER), přiznané žadateli nenaplňujícímu definici MSP dle Přílohy I tohoto nařízení, bude výsledná míra podpory (a tím i maximální částka přiznané dotace s nezbytným dopadem na rozpočet projektu uvedený dále v podmínkách tohoto Rozhodnutí) odvislá od stanoviska Evropské Komise o způsobu uplatnění čl. 61 Nařízení Evropského parlamentu a Rady (EU) č. 1303/2013 ze dne 17. prosince 2013 o společných ustanoveních týkajících se Evropského fondu pro regionální rozvoj, Evropského sociálního fondu, Fondu soudržnosti, Evropského zemědělského fondu pro rozvoj venkova a Evropského námořního a rybářského fondu, o obecných ustanoveních týkajících se Evropského fondu pro regionální rozvoj, Evropského sociálního fondu a Fondu soudržnosti a o zrušení nařízení Rady (ES) č. 1083/2006 (tzv. obecné nařízení), tj. případné uplatnění paušální sazby, tzv. </w:t>
      </w:r>
      <w:proofErr w:type="spellStart"/>
      <w:r w:rsidRPr="009211D0">
        <w:rPr>
          <w:rFonts w:eastAsia="Times New Roman" w:cs="Times New Roman"/>
          <w:lang w:eastAsia="cs-CZ"/>
        </w:rPr>
        <w:t>flat</w:t>
      </w:r>
      <w:proofErr w:type="spellEnd"/>
      <w:r w:rsidRPr="009211D0">
        <w:rPr>
          <w:rFonts w:eastAsia="Times New Roman" w:cs="Times New Roman"/>
          <w:lang w:eastAsia="cs-CZ"/>
        </w:rPr>
        <w:t xml:space="preserve"> </w:t>
      </w:r>
      <w:proofErr w:type="spellStart"/>
      <w:r w:rsidRPr="009211D0">
        <w:rPr>
          <w:rFonts w:eastAsia="Times New Roman" w:cs="Times New Roman"/>
          <w:lang w:eastAsia="cs-CZ"/>
        </w:rPr>
        <w:t>rate</w:t>
      </w:r>
      <w:proofErr w:type="spellEnd"/>
      <w:r w:rsidRPr="009211D0">
        <w:rPr>
          <w:rFonts w:eastAsia="Times New Roman" w:cs="Times New Roman"/>
          <w:lang w:eastAsia="cs-CZ"/>
        </w:rPr>
        <w:t xml:space="preserve">, ve výši 20 % na celkové způsobilé výdaje u projektů v sektoru výzkumu, vývoje a inovací. V tomto smyslu si Řídicí orgán OP PIK vyhrazuje právo následně upravit, resp. snížit míru a maximální částku dotace tak, aby byla v souladu s evropskou legislativou a stanoviskem Evropské komise, o čemž bude příjemce dotace neprodleně po obdržení stanoviska Evropské komise informován. Výše uvedené se ve smyslu citovaného čl. 61 obecného nařízení týká výhradně projektů nad 1 mil. EUR celkových způsobilých výdajů generujících čisté příjmy a realizovaných jinými podnikatelskými subjekty než MSP.  </w:t>
      </w: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**Maximální výše podpory z prostředků poskytnutých ze státního rozpočtu na předfinancování výdajů, které mají být kryty prostředky z národního fondu (§44 odst. 2 písm. f) zákona č.218/2000 Sb.,</w:t>
      </w: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 xml:space="preserve">***Podpora de </w:t>
      </w:r>
      <w:proofErr w:type="spellStart"/>
      <w:r w:rsidRPr="009211D0">
        <w:rPr>
          <w:rFonts w:eastAsia="Times New Roman" w:cs="Times New Roman"/>
          <w:lang w:eastAsia="cs-CZ"/>
        </w:rPr>
        <w:t>minimis</w:t>
      </w:r>
      <w:proofErr w:type="spellEnd"/>
      <w:r w:rsidRPr="009211D0">
        <w:rPr>
          <w:rFonts w:eastAsia="Times New Roman" w:cs="Times New Roman"/>
          <w:lang w:eastAsia="cs-CZ"/>
        </w:rPr>
        <w:t xml:space="preserve"> nesmí u jednoho příjemce přesáhnout dle Nařízení Komise (ES) č. 1407/2013 Úřední věstník EU L 352, 24. 12. 2013, str. 1-8. částku v CZK, která odpovídá ekvivalentu 200 000 EUR </w:t>
      </w:r>
      <w:r w:rsidRPr="009211D0">
        <w:rPr>
          <w:rFonts w:eastAsia="Times New Roman" w:cs="Times New Roman"/>
          <w:bCs/>
          <w:lang w:eastAsia="cs-CZ"/>
        </w:rPr>
        <w:t>poskytnutých jednomu podniku za období posledních třech po sobě následujících účetních období všemi poskytovateli dotace</w:t>
      </w:r>
      <w:r w:rsidRPr="009211D0">
        <w:rPr>
          <w:rFonts w:eastAsia="Times New Roman" w:cs="Times New Roman"/>
          <w:lang w:eastAsia="cs-CZ"/>
        </w:rPr>
        <w:t>. V případě podpor poskytnutých v jiné měně se použije přepočet dle směnného kurzu vyhlášeného Evropskou centrální bankou na internetových stránkách &lt;</w:t>
      </w:r>
      <w:hyperlink r:id="rId8" w:history="1">
        <w:r w:rsidRPr="009211D0">
          <w:rPr>
            <w:rFonts w:eastAsia="Times New Roman" w:cs="Times New Roman"/>
            <w:color w:val="0000FF"/>
            <w:u w:val="single"/>
            <w:lang w:eastAsia="cs-CZ"/>
          </w:rPr>
          <w:t>http://www.ecb.eu/stats/exchange/eurofxref/html/index.en.html</w:t>
        </w:r>
      </w:hyperlink>
      <w:r w:rsidRPr="009211D0">
        <w:rPr>
          <w:rFonts w:eastAsia="Times New Roman" w:cs="Times New Roman"/>
          <w:lang w:eastAsia="cs-CZ"/>
        </w:rPr>
        <w:t xml:space="preserve">&gt;, platného ke dni poskytnutí podpory. Rozhodným okamžikem pro přepočet je datum vydání rozhodnutí o poskytnutí dotace (od tohoto dne se zakládá vznik právního nároku příjemce na podporu, tj. první možnost příjemce uplatnit svůj nárok prostřednictvím žádosti o platbu). Poskytovatel dotace si vyhrazuje v případě odchylek způsobených nežádoucím vývojem kurzu právo upravit limity vyjádřené v CZK prostřednictvím Dodatku k tomuto Rozhodnutí a právo vyplatit příjemci částku nižší než jakou má uvedenu v Podmínkách poskytnutí dotace vyjádřenou v CZK, avšak pouze z důvodu, aby výše popsaný limit vyjádřený ekvivalentní hodnotou 200 000 EUR nebyl překročen a nedošlo tak k poskytnutí neoprávněné podpory. Přihlíží se rovněž k podporám de </w:t>
      </w:r>
      <w:proofErr w:type="spellStart"/>
      <w:r w:rsidRPr="009211D0">
        <w:rPr>
          <w:rFonts w:eastAsia="Times New Roman" w:cs="Times New Roman"/>
          <w:lang w:eastAsia="cs-CZ"/>
        </w:rPr>
        <w:t>minimis</w:t>
      </w:r>
      <w:proofErr w:type="spellEnd"/>
      <w:r w:rsidRPr="009211D0">
        <w:rPr>
          <w:rFonts w:eastAsia="Times New Roman" w:cs="Times New Roman"/>
          <w:lang w:eastAsia="cs-CZ"/>
        </w:rPr>
        <w:t xml:space="preserve"> získaným podnikateli spojenými s příjemcem podpory (článek 3 Nařízení Komise č. 1407/2013).</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080"/>
      </w:tblGrid>
      <w:tr w:rsidR="009211D0" w:rsidRPr="009211D0" w:rsidTr="00335EF8">
        <w:trPr>
          <w:cantSplit/>
        </w:trPr>
        <w:tc>
          <w:tcPr>
            <w:tcW w:w="9640" w:type="dxa"/>
            <w:gridSpan w:val="2"/>
          </w:tcPr>
          <w:p w:rsidR="009211D0" w:rsidRPr="009211D0" w:rsidRDefault="009211D0" w:rsidP="009211D0">
            <w:pPr>
              <w:keepNext/>
              <w:overflowPunct w:val="0"/>
              <w:autoSpaceDE w:val="0"/>
              <w:autoSpaceDN w:val="0"/>
              <w:adjustRightInd w:val="0"/>
              <w:spacing w:after="0" w:line="240" w:lineRule="auto"/>
              <w:jc w:val="both"/>
              <w:textAlignment w:val="baseline"/>
              <w:outlineLvl w:val="2"/>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textAlignment w:val="baseline"/>
              <w:rPr>
                <w:rFonts w:eastAsia="Times New Roman" w:cs="Times New Roman"/>
                <w:b/>
                <w:lang w:eastAsia="cs-CZ"/>
              </w:rPr>
            </w:pPr>
            <w:r w:rsidRPr="009211D0">
              <w:rPr>
                <w:rFonts w:eastAsia="Times New Roman" w:cs="Times New Roman"/>
                <w:lang w:eastAsia="cs-CZ"/>
              </w:rPr>
              <w:t xml:space="preserve">                                                </w:t>
            </w:r>
            <w:r w:rsidRPr="009211D0">
              <w:rPr>
                <w:rFonts w:eastAsia="Times New Roman" w:cs="Times New Roman"/>
                <w:b/>
                <w:lang w:eastAsia="cs-CZ"/>
              </w:rPr>
              <w:t>Podmínky a ostatní povinnosti příjemce dotace</w:t>
            </w:r>
          </w:p>
          <w:p w:rsidR="009211D0" w:rsidRPr="009211D0" w:rsidRDefault="009211D0" w:rsidP="009211D0">
            <w:pPr>
              <w:overflowPunct w:val="0"/>
              <w:autoSpaceDE w:val="0"/>
              <w:autoSpaceDN w:val="0"/>
              <w:adjustRightInd w:val="0"/>
              <w:spacing w:after="0" w:line="240" w:lineRule="auto"/>
              <w:textAlignment w:val="baseline"/>
              <w:rPr>
                <w:rFonts w:eastAsia="Times New Roman" w:cs="Times New Roman"/>
                <w:lang w:eastAsia="cs-CZ"/>
              </w:rPr>
            </w:pPr>
          </w:p>
        </w:tc>
      </w:tr>
      <w:tr w:rsidR="009211D0" w:rsidRPr="009211D0" w:rsidTr="00335EF8">
        <w:trPr>
          <w:cantSplit/>
        </w:trPr>
        <w:tc>
          <w:tcPr>
            <w:tcW w:w="9640" w:type="dxa"/>
            <w:gridSpan w:val="2"/>
          </w:tcPr>
          <w:p w:rsidR="009211D0" w:rsidRPr="009211D0" w:rsidRDefault="009211D0" w:rsidP="009211D0">
            <w:pPr>
              <w:keepNext/>
              <w:overflowPunct w:val="0"/>
              <w:autoSpaceDE w:val="0"/>
              <w:autoSpaceDN w:val="0"/>
              <w:adjustRightInd w:val="0"/>
              <w:spacing w:after="0" w:line="240" w:lineRule="auto"/>
              <w:jc w:val="both"/>
              <w:textAlignment w:val="baseline"/>
              <w:outlineLvl w:val="2"/>
              <w:rPr>
                <w:rFonts w:eastAsia="Times New Roman" w:cs="Calibri"/>
                <w:lang w:eastAsia="cs-CZ"/>
              </w:rPr>
            </w:pPr>
            <w:r w:rsidRPr="009211D0">
              <w:rPr>
                <w:rFonts w:eastAsia="Times New Roman" w:cs="Calibri"/>
                <w:lang w:eastAsia="cs-CZ"/>
              </w:rPr>
              <w:t>Hlava I. OBECNÁ ČÁST</w:t>
            </w:r>
          </w:p>
        </w:tc>
      </w:tr>
      <w:tr w:rsidR="009211D0" w:rsidRPr="009211D0" w:rsidTr="00335EF8">
        <w:tc>
          <w:tcPr>
            <w:tcW w:w="1560" w:type="dxa"/>
          </w:tcPr>
          <w:p w:rsidR="009211D0" w:rsidRPr="009211D0" w:rsidRDefault="009211D0" w:rsidP="009211D0">
            <w:pPr>
              <w:keepNext/>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Článek I.</w:t>
            </w:r>
          </w:p>
        </w:tc>
        <w:tc>
          <w:tcPr>
            <w:tcW w:w="8080" w:type="dxa"/>
          </w:tcPr>
          <w:p w:rsidR="009211D0" w:rsidRPr="009211D0" w:rsidRDefault="009211D0" w:rsidP="009211D0">
            <w:pPr>
              <w:keepNext/>
              <w:overflowPunct w:val="0"/>
              <w:autoSpaceDE w:val="0"/>
              <w:autoSpaceDN w:val="0"/>
              <w:adjustRightInd w:val="0"/>
              <w:spacing w:after="0" w:line="240" w:lineRule="auto"/>
              <w:jc w:val="both"/>
              <w:textAlignment w:val="baseline"/>
              <w:outlineLvl w:val="2"/>
              <w:rPr>
                <w:rFonts w:eastAsia="Times New Roman" w:cs="Calibri"/>
                <w:b/>
                <w:lang w:eastAsia="cs-CZ"/>
              </w:rPr>
            </w:pPr>
            <w:r w:rsidRPr="009211D0">
              <w:rPr>
                <w:rFonts w:eastAsia="Times New Roman" w:cs="Calibri"/>
                <w:b/>
                <w:lang w:eastAsia="cs-CZ"/>
              </w:rPr>
              <w:t>Úvodní ustanovení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Odstavec (1)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lang w:eastAsia="cs-CZ"/>
              </w:rPr>
            </w:pPr>
            <w:r w:rsidRPr="009211D0">
              <w:rPr>
                <w:rFonts w:eastAsia="Times New Roman" w:cs="Calibri"/>
                <w:lang w:eastAsia="cs-CZ"/>
              </w:rPr>
              <w:t xml:space="preserve">Ministerstvo průmyslu a obchodu (dále jen „Poskytovatel dotace“) v Rozhodnutí o poskytnutí dotace (dále jen „Rozhodnutí“) stanoví dle  § 14 odst. 4 písm. e) g) a k) zákona č. 218/2000 Sb., o rozpočtových pravidlech a o změně některých souvisejících zákonů (dále jen „Rozpočtová pravidla“) lhůtu (viz písm. e), v níž má být účelu dosaženo, podmínky (viz písm. g) a ostatní povinnosti (viz písm. k) které musí příjemce dotace (dále jen „příjemce“) v souvislosti s použitím dotace splnit  přičemž v případě nedodržení těchto ostatních povinností (viz. </w:t>
            </w:r>
            <w:proofErr w:type="gramStart"/>
            <w:r w:rsidRPr="009211D0">
              <w:rPr>
                <w:rFonts w:eastAsia="Times New Roman" w:cs="Calibri"/>
                <w:lang w:eastAsia="cs-CZ"/>
              </w:rPr>
              <w:t>písm.</w:t>
            </w:r>
            <w:proofErr w:type="gramEnd"/>
            <w:r w:rsidRPr="009211D0">
              <w:rPr>
                <w:rFonts w:eastAsia="Times New Roman" w:cs="Calibri"/>
                <w:lang w:eastAsia="cs-CZ"/>
              </w:rPr>
              <w:t xml:space="preserve"> k), se nebude jednat o neoprávněné použití dotace dle § 3 písm. e) Rozpočtových pravidel.  </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Lhůta, ve které má být účelu dotace dosaženo podle § 14 odst. 4 písm. e) Rozpočtových pravidel, je stanovena v Hlavě I. OBECNÁ ČÁST, článku XI. Rozhodnutí. Podmínky podle § 14 odst. 4 písm. g) Rozpočtových pravidel jsou stanoveny v Hlavě I, článku IX. a XII. a Hlavě II. ZVLÁŠTNÍ ČÁST, článku I. Rozhodnutí.</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Ostatní povinnosti podle § 14 odst. 4 písm. k) Rozpočtových pravidel jsou stanoveny v Hlavě I., článcích I-VIII, X, XIII. a Hlavě II. ZVLÁŠTNÍ ČÁST, článku II.  Rozhodnutí. Součástí Rozhodnutí jsou jeho přílohy, jednoznačně vymezující podmínky pro konkrétní program podpory, viz Hlava III. Závěrečná část, článek II Seznam příloh k Rozhodnutí.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lang w:eastAsia="cs-CZ"/>
              </w:rPr>
            </w:pPr>
            <w:r w:rsidRPr="009211D0">
              <w:rPr>
                <w:rFonts w:eastAsia="Times New Roman" w:cs="Calibri"/>
                <w:lang w:eastAsia="cs-CZ"/>
              </w:rPr>
              <w:t xml:space="preserve">Lhůty, podmínky a ostatní povinnosti se stávají závaznými pro příjemce ode dne, kdy bylo vydáno Rozhodnutí. Běh všech lhůt začíná až vydáním Rozhodnutí. Lhůty jsou uvedeny v kalendářních dnech, pokud není uvedeno jinak.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(3)</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lang w:eastAsia="cs-CZ"/>
              </w:rPr>
            </w:pPr>
            <w:r w:rsidRPr="009211D0">
              <w:rPr>
                <w:rFonts w:eastAsia="Times New Roman" w:cs="Calibri"/>
                <w:lang w:eastAsia="cs-CZ"/>
              </w:rPr>
              <w:t>Ustanovení Obecné části Rozhodnutí jsou platná, pokud Zvláštní část nestanoví jinak.</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Cs/>
                <w:lang w:eastAsia="cs-CZ"/>
              </w:rPr>
            </w:pPr>
            <w:r w:rsidRPr="009211D0">
              <w:rPr>
                <w:rFonts w:eastAsia="Times New Roman" w:cs="Calibri"/>
                <w:lang w:eastAsia="cs-CZ"/>
              </w:rPr>
              <w:t>Článek II.</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bCs/>
                <w:lang w:eastAsia="cs-CZ"/>
              </w:rPr>
            </w:pPr>
            <w:r w:rsidRPr="009211D0">
              <w:rPr>
                <w:rFonts w:eastAsia="Times New Roman" w:cs="Calibri"/>
                <w:b/>
                <w:lang w:eastAsia="cs-CZ"/>
              </w:rPr>
              <w:t>Čerpání dotace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lang w:eastAsia="cs-CZ"/>
              </w:rPr>
            </w:pPr>
            <w:r w:rsidRPr="009211D0">
              <w:rPr>
                <w:rFonts w:eastAsia="Times New Roman" w:cs="Calibri"/>
                <w:lang w:eastAsia="cs-CZ"/>
              </w:rPr>
              <w:t>O čerpání dotace rozhoduje Poskytovatel dotace na základě podané žádosti o platbu, kterou je příjemce povinen podat elektronicky prostřednictvím systému MS 2014+ a postupovat dle pokynů v systému uvedených. Součástí žádosti o platbu jsou její přílohy ve formátu stanoveném v Pravidlech pro žadatele a příjemce. Pokud příjemce dotace v žádosti o platbu nárokuje mzdové náklady je povinen spolu s žádostí o platbu předložit vyplněný formulář, Výkaz práce – rozpis mzdových nákladů. Za den podání žádosti o platbu se považuje den jejího odeslání v systému MS2014+.</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O konečné výši vyplacené dotace rozhodne Poskytovatel dotace. Základem pro výpočet částky dotace k proplacení jsou způsobilé výdaje projektu uznané Poskytovatelem dotace a příjemcem řádně doložené a prokázané (v souladu s Pravidly způsobilosti a publicity).</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Na proces proplácení dotace se vztahují postupy dané Rozpočtovými pravidly. Poskytovatel dotace má povinnost informovat příjemce o proplacení/</w:t>
            </w:r>
            <w:r w:rsidRPr="009211D0" w:rsidDel="00950689">
              <w:rPr>
                <w:rFonts w:eastAsia="Times New Roman" w:cs="Calibri"/>
                <w:lang w:eastAsia="cs-CZ"/>
              </w:rPr>
              <w:t xml:space="preserve"> </w:t>
            </w:r>
            <w:r w:rsidRPr="009211D0">
              <w:rPr>
                <w:rFonts w:eastAsia="Times New Roman" w:cs="Calibri"/>
                <w:lang w:eastAsia="cs-CZ"/>
              </w:rPr>
              <w:t>neproplacení dotace a příjemce má možnost proti tomu podat námitky do 15 dnů ode dne, kdy tuto informaci obdržel (§ 14e Rozpočtových pravidel).</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(3)</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Způsobilým výdajem může být jen takový náklad projektu, který nezakládá zakázanou veřejnou podporu. Za způsobilé lze uznat pouze ty výdaje projektu, jež splňují podmínky uvedené v Pravidlech způsobilosti a publicity, která jsou přílohou Rozhodnutí. </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Prvním dnem způsobilosti výdajů projektu je </w:t>
            </w:r>
            <w:r w:rsidRPr="009211D0">
              <w:rPr>
                <w:rFonts w:eastAsia="Times New Roman" w:cs="Times New Roman"/>
                <w:lang w:eastAsia="cs-CZ"/>
              </w:rPr>
              <w:t>16. 2. 2017.</w:t>
            </w:r>
            <w:r w:rsidRPr="009211D0">
              <w:rPr>
                <w:rFonts w:eastAsia="Times New Roman" w:cs="Calibri"/>
                <w:lang w:eastAsia="cs-CZ"/>
              </w:rPr>
              <w:t xml:space="preserve"> Před tímto datem nemohou být práce na projektu zahájeny (zahájením prací se rozumí buď zahájení stavebních prací v rámci investice, nebo první právně vymahatelný závazek objednávky zařízení či jiný závazek, v jehož důsledku se investice stává nezvratnou, podle toho, která událost nastane dříve). Jednotlivý program podpory OP PIK může v textu výzvy nebo zvláštní </w:t>
            </w:r>
            <w:r w:rsidRPr="009211D0">
              <w:rPr>
                <w:rFonts w:eastAsia="Times New Roman" w:cs="Calibri"/>
                <w:lang w:eastAsia="cs-CZ"/>
              </w:rPr>
              <w:lastRenderedPageBreak/>
              <w:t>části tohoto Rozhodnutí stanovit zvláštní úpravu pro specifické situace.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cs-CZ"/>
              </w:rPr>
            </w:pPr>
            <w:r w:rsidRPr="009211D0">
              <w:rPr>
                <w:rFonts w:ascii="Times New Roman" w:eastAsia="Times New Roman" w:hAnsi="Times New Roman" w:cs="Times New Roman"/>
                <w:sz w:val="20"/>
                <w:szCs w:val="20"/>
                <w:lang w:eastAsia="cs-CZ"/>
              </w:rPr>
              <w:t xml:space="preserve">            (4)</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Na stejné způsobilé výdaje projektu není možné získat jinou veřejnou podporu podle článku 107(1) Smlouvy o fungování Evropské unie ani podporu v režimu de </w:t>
            </w:r>
            <w:proofErr w:type="spellStart"/>
            <w:r w:rsidRPr="009211D0">
              <w:rPr>
                <w:rFonts w:eastAsia="Times New Roman" w:cs="Calibri"/>
                <w:lang w:eastAsia="cs-CZ"/>
              </w:rPr>
              <w:t>minimis</w:t>
            </w:r>
            <w:proofErr w:type="spellEnd"/>
            <w:r w:rsidRPr="009211D0">
              <w:rPr>
                <w:rFonts w:eastAsia="Times New Roman" w:cs="Calibri"/>
                <w:lang w:eastAsia="cs-CZ"/>
              </w:rPr>
              <w:t xml:space="preserve"> podle Nařízení Komise (ES) č. 1407/2013.</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(5)</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Příjemce může odstoupit od již podané žádosti o platbu, pokud tato dosud nebyla schválena Poskytovatelem dotace k proplacení. V případě odstoupení od žádosti o platbu zaniká nárok příjemce na výplatu dotace za etapu, za kterou je daná žádost o platbu podávána. Odstoupení od žádosti o platbu je účinné dnem doručení Poskytovateli dotace.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Cs/>
                <w:lang w:eastAsia="cs-CZ"/>
              </w:rPr>
            </w:pPr>
            <w:r w:rsidRPr="009211D0">
              <w:rPr>
                <w:rFonts w:eastAsia="Times New Roman" w:cs="Calibri"/>
                <w:lang w:eastAsia="cs-CZ"/>
              </w:rPr>
              <w:t>Článek III.</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bCs/>
                <w:lang w:eastAsia="cs-CZ"/>
              </w:rPr>
            </w:pPr>
            <w:r w:rsidRPr="009211D0">
              <w:rPr>
                <w:rFonts w:eastAsia="Times New Roman" w:cs="Calibri"/>
                <w:b/>
                <w:lang w:eastAsia="cs-CZ"/>
              </w:rPr>
              <w:t xml:space="preserve">Změny projektu, změny v osobě příjemce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Příjemce může písemně požádat o změnu Rozhodnutí, a to prostřednictvím informačního systému MS2014+ (Žádost o změnu). Tato žádost musí být podána nejpozději 14 kalendářních dnů před uplynutím lhůty, kdy má být daná povinnost splněna. Poskytovatel dotace o této změně rozhodne v souladu § 14 odst. 13 písm. a) Rozpočtových pravidel. Nedodržení této lhůty může vést k zamítnutí uvedené žádosti.</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Příjemce musí požádat o změnu Rozhodnutí v každém případě, kdy je to dle stanovených podmínek pro příjemce nezbytné.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Termín zahájení projektu uvedený v čl. XI Harmonogram je pouze orientační. Termín ukončení projektu je závazný s tím, že projekt lze ukončit před stanoveným termínem. Termín ukončení projektu nelze prodloužit bez souhlasu Poskytovatele dotace. O prodloužení termínu musí příjemce požádat nejpozději 14 kalendářních dnů před plánovaným ukončením projektu.</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(3)</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lang w:eastAsia="cs-CZ"/>
              </w:rPr>
            </w:pPr>
            <w:r w:rsidRPr="009211D0">
              <w:rPr>
                <w:rFonts w:eastAsia="Times New Roman" w:cs="Calibri"/>
                <w:lang w:eastAsia="cs-CZ"/>
              </w:rPr>
              <w:t>Příjemce není oprávněn převést práva a povinnosti vyplývající z Rozhodnutí na jiný subjekt, bez předchozího souhlasu Poskytovatele dotace. Jestliže se příjemce hodlá zúčastnit fúze, rozdělení nebo převodu jmění na společníka jako zanikající obchodní společnost či družstvo a má zájem, aby na právního nástupce přešly práva a povinnosti z Rozhodnutí, je povinen postupovat v souladu s Rozpočtovými pravidly (§ 14a a následující).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(4)</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lang w:eastAsia="cs-CZ"/>
              </w:rPr>
            </w:pPr>
            <w:r w:rsidRPr="009211D0">
              <w:rPr>
                <w:rFonts w:eastAsia="Times New Roman" w:cs="Calibri"/>
                <w:lang w:eastAsia="cs-CZ"/>
              </w:rPr>
              <w:t>Příjemce je povinen dle § 14 odst. 3 písm. e) Rozpočtových pravidel, ve znění pozdějších předpisů (je-li příjemce právnickou osobou), informovat o identifikaci:</w:t>
            </w:r>
          </w:p>
          <w:p w:rsidR="009211D0" w:rsidRPr="009211D0" w:rsidRDefault="009211D0" w:rsidP="009211D0">
            <w:pPr>
              <w:spacing w:after="0" w:line="240" w:lineRule="auto"/>
              <w:jc w:val="both"/>
              <w:rPr>
                <w:rFonts w:eastAsia="Times New Roman" w:cs="Times New Roman"/>
                <w:color w:val="000000"/>
                <w:lang w:eastAsia="cs-CZ"/>
              </w:rPr>
            </w:pPr>
            <w:r w:rsidRPr="009211D0">
              <w:rPr>
                <w:rFonts w:eastAsia="Times New Roman" w:cs="Times New Roman"/>
                <w:bCs/>
                <w:color w:val="000000"/>
                <w:lang w:eastAsia="cs-CZ"/>
              </w:rPr>
              <w:t>a)</w:t>
            </w:r>
            <w:r w:rsidRPr="009211D0">
              <w:rPr>
                <w:rFonts w:eastAsia="Times New Roman" w:cs="Times New Roman"/>
                <w:color w:val="000000"/>
                <w:lang w:eastAsia="cs-CZ"/>
              </w:rPr>
              <w:t xml:space="preserve"> osob jednajících jeho jménem s uvedením, zda jednají jako jeho statutární orgán nebo jednají na základě udělené plné moci,</w:t>
            </w:r>
          </w:p>
          <w:p w:rsidR="009211D0" w:rsidRPr="009211D0" w:rsidRDefault="009211D0" w:rsidP="009211D0">
            <w:pPr>
              <w:spacing w:after="0" w:line="240" w:lineRule="auto"/>
              <w:jc w:val="both"/>
              <w:rPr>
                <w:rFonts w:eastAsia="Times New Roman" w:cs="Times New Roman"/>
                <w:color w:val="000000"/>
                <w:lang w:eastAsia="cs-CZ"/>
              </w:rPr>
            </w:pPr>
            <w:r w:rsidRPr="009211D0">
              <w:rPr>
                <w:rFonts w:eastAsia="Times New Roman" w:cs="Times New Roman"/>
                <w:bCs/>
                <w:color w:val="000000"/>
                <w:lang w:eastAsia="cs-CZ"/>
              </w:rPr>
              <w:t>b)</w:t>
            </w:r>
            <w:r w:rsidRPr="009211D0">
              <w:rPr>
                <w:rFonts w:eastAsia="Times New Roman" w:cs="Times New Roman"/>
                <w:color w:val="000000"/>
                <w:lang w:eastAsia="cs-CZ"/>
              </w:rPr>
              <w:t xml:space="preserve"> osob s podílem v této právnické osobě,</w:t>
            </w:r>
          </w:p>
          <w:p w:rsidR="009211D0" w:rsidRPr="009211D0" w:rsidRDefault="009211D0" w:rsidP="009211D0">
            <w:pPr>
              <w:spacing w:after="0" w:line="240" w:lineRule="auto"/>
              <w:jc w:val="both"/>
              <w:rPr>
                <w:rFonts w:eastAsia="Times New Roman" w:cs="Times New Roman"/>
                <w:color w:val="000000"/>
                <w:lang w:eastAsia="cs-CZ"/>
              </w:rPr>
            </w:pPr>
            <w:r w:rsidRPr="009211D0">
              <w:rPr>
                <w:rFonts w:eastAsia="Times New Roman" w:cs="Times New Roman"/>
                <w:bCs/>
                <w:color w:val="000000"/>
                <w:lang w:eastAsia="cs-CZ"/>
              </w:rPr>
              <w:t xml:space="preserve">c) </w:t>
            </w:r>
            <w:r w:rsidRPr="009211D0">
              <w:rPr>
                <w:rFonts w:eastAsia="Times New Roman" w:cs="Times New Roman"/>
                <w:color w:val="000000"/>
                <w:lang w:eastAsia="cs-CZ"/>
              </w:rPr>
              <w:t>osob, v nichž má podíl, a o výši tohoto podílu.</w:t>
            </w:r>
          </w:p>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lang w:eastAsia="cs-CZ"/>
              </w:rPr>
            </w:pPr>
            <w:r w:rsidRPr="009211D0">
              <w:rPr>
                <w:rFonts w:eastAsia="Times New Roman" w:cs="Calibri"/>
                <w:lang w:eastAsia="cs-CZ"/>
              </w:rPr>
              <w:t xml:space="preserve">Příjemce dotace je dále povinen vést průběžně evidenci o své vlastnické struktuře a jejích změnách a na vyžádání do 10 kalendářních dnů poskytnout Poskytovateli dotace informace o své aktuální vlastnické struktuře až do úrovně skutečného majitele/skutečných majitelů dle § 4 (4) zákona č. 253/2008 Sb., o některých opatřeních proti legalizaci výnosů z trestné činnosti a financování terorismu, a bude-li to Poskytovatelem dotace nebo kontrolními a auditními orgány (např. Auditní orgán, Platební a certifikační orgán, Evropská komise, Evropský účetní dvůr) požadováno, toto v daném termínu doložit i dokumenty stvrzujícími poskytnuté údaje o vlastnické struktuře. Skutečným majitelem se rozumí např. fyzická osoba, stát, obec, tedy osoba, která již není ovládána další osobou. </w:t>
            </w:r>
          </w:p>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lang w:eastAsia="cs-CZ"/>
              </w:rPr>
            </w:pPr>
            <w:r w:rsidRPr="009211D0">
              <w:rPr>
                <w:rFonts w:eastAsia="Times New Roman" w:cs="Calibri"/>
                <w:lang w:eastAsia="cs-CZ"/>
              </w:rPr>
              <w:t>Příjemce dotace je povinen do 10 dnů informovat poskytovatele dotace o změnách skutečného majitele nebo skutečných majitelů ve smyslu § 4 (4) zákona č. 253/2008 Sb.</w:t>
            </w:r>
          </w:p>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 xml:space="preserve">Porušení této povinnosti může být Poskytovatelem dotace sankcionováno, a to ve výši: a) 5 % z částky celkově proplacené dotace, pokud je nesplněna informační povinnost, avšak daná skutečnost nevede k porušení podmínek výzvy stanovených v kapitole 4 </w:t>
            </w:r>
            <w:r w:rsidRPr="009211D0">
              <w:rPr>
                <w:rFonts w:eastAsia="Times New Roman" w:cs="Calibri"/>
                <w:lang w:eastAsia="cs-CZ"/>
              </w:rPr>
              <w:lastRenderedPageBreak/>
              <w:t xml:space="preserve">Vymezení příjemce podpory; </w:t>
            </w:r>
          </w:p>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b) 100 % z částky celkově proplacené dotace, pokud neoznámená skutečnost vede k porušení podmínek výzvy stanovených v kapitole 4 Vymezení příjemce podpory.</w:t>
            </w:r>
          </w:p>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lang w:eastAsia="cs-CZ"/>
              </w:rPr>
            </w:pPr>
            <w:r w:rsidRPr="009211D0">
              <w:rPr>
                <w:rFonts w:eastAsia="Times New Roman" w:cs="Calibri"/>
                <w:lang w:eastAsia="cs-CZ"/>
              </w:rPr>
              <w:t>Povinnosti dle zákona č. 253/2008 Sb. uvedené v tomto bodě se nevztahují na příjemce dotace, který je fyzickou osobou nebo právnickou osobou veřejného práva. Za právnickou osobu veřejného práva se považují pro účely tohoto Rozhodnutí zejm. Česká republika, organizační složka státu, státní příspěvková organizace, státní fond, územní samosprávný celek a jeho příspěvková organizace, dobrovolné sdružení obcí, regionální rada regionu soudržnosti, Evropské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Cs/>
                <w:lang w:eastAsia="cs-CZ"/>
              </w:rPr>
            </w:pPr>
            <w:r w:rsidRPr="009211D0">
              <w:rPr>
                <w:rFonts w:eastAsia="Times New Roman" w:cs="Calibri"/>
                <w:lang w:eastAsia="cs-CZ"/>
              </w:rPr>
              <w:lastRenderedPageBreak/>
              <w:t>Článek IV.</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bCs/>
                <w:lang w:eastAsia="cs-CZ"/>
              </w:rPr>
            </w:pPr>
            <w:r w:rsidRPr="009211D0">
              <w:rPr>
                <w:rFonts w:eastAsia="Times New Roman" w:cs="Calibri"/>
                <w:b/>
                <w:lang w:eastAsia="cs-CZ"/>
              </w:rPr>
              <w:t>Odnětí dotace ze strany Poskytovatele dotace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Poskytovatel dotace zahájí řízení o odnětí dotace podle ustanovení § 15 Rozpočtových pravidel, pokud již nedošlo k porušení rozpočtové kázně. Na řízení o odnětí dotace se vztahují obecné předpisy o správním řízení, tj. zákon č. 500/2004 Sb., správní řád.</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Cs/>
                <w:lang w:eastAsia="cs-CZ"/>
              </w:rPr>
            </w:pPr>
            <w:r w:rsidRPr="009211D0">
              <w:rPr>
                <w:rFonts w:eastAsia="Times New Roman" w:cs="Calibri"/>
                <w:lang w:eastAsia="cs-CZ"/>
              </w:rPr>
              <w:t>Článek V.</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Styk s Poskytovatelem dotace</w:t>
            </w:r>
          </w:p>
        </w:tc>
      </w:tr>
      <w:tr w:rsidR="009211D0" w:rsidRPr="009211D0" w:rsidTr="00335EF8">
        <w:trPr>
          <w:trHeight w:val="885"/>
        </w:trPr>
        <w:tc>
          <w:tcPr>
            <w:tcW w:w="1560" w:type="dxa"/>
          </w:tcPr>
          <w:p w:rsidR="009211D0" w:rsidRPr="009211D0" w:rsidRDefault="009211D0" w:rsidP="009211D0">
            <w:pPr>
              <w:keepNext/>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Příjemce je povinen v pravidelných intervalech kontrolovat stav svého účtu v informačním systému MS2014+ včetně případných zpráv/depeší ze strany Poskytovatele dotace, které jej upozorňují na potřebné úkony, které je třeba provést z jeho strany.</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Příjemce je povinen informovat Poskytovatele dotace o změnách ve vlastnické struktuře v případě finančního dopadu (změna velikosti podniku dle Aplikačního výkladu MSP) na konečnou částku dotace.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Cs/>
                <w:lang w:eastAsia="cs-CZ"/>
              </w:rPr>
            </w:pPr>
            <w:r w:rsidRPr="009211D0">
              <w:rPr>
                <w:rFonts w:eastAsia="Times New Roman" w:cs="Calibri"/>
                <w:lang w:eastAsia="cs-CZ"/>
              </w:rPr>
              <w:t>Článek VI.</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bCs/>
                <w:lang w:eastAsia="cs-CZ"/>
              </w:rPr>
            </w:pPr>
            <w:r w:rsidRPr="009211D0">
              <w:rPr>
                <w:rFonts w:eastAsia="Times New Roman" w:cs="Calibri"/>
                <w:b/>
                <w:lang w:eastAsia="cs-CZ"/>
              </w:rPr>
              <w:t>Neproplacení dotace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Poskytovatel dotace je oprávněn dotaci nebo její část neproplatit, pokud příjemce prokazatelně:</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iCs/>
                <w:lang w:eastAsia="cs-CZ"/>
              </w:rPr>
            </w:pPr>
            <w:r w:rsidRPr="009211D0">
              <w:rPr>
                <w:rFonts w:eastAsia="Times New Roman" w:cs="Calibri"/>
                <w:lang w:eastAsia="cs-CZ"/>
              </w:rPr>
              <w:t>k datu plánovaného ukončení projektu nerealizoval projekt v souladu se žádostí o podporu, která byla podkladem pro Rozhodnutí.</w:t>
            </w:r>
            <w:r w:rsidRPr="009211D0">
              <w:rPr>
                <w:rFonts w:eastAsia="Times New Roman" w:cs="Calibri"/>
                <w:iCs/>
                <w:lang w:eastAsia="cs-CZ"/>
              </w:rPr>
              <w:t xml:space="preserve"> Změny projektu jsou přípustné pouze se souhlasem Poskytovatele dotace (Žádost o změnu), přičemž účel, na který byla dotace poskytnuta, nelze změnit;</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(3)</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nedosáhl k datu plánovaného ukončení projektu cílových hodnot indikátorů povinných k naplnění uvedených v žádosti o podporu, pokud není v Hlavě I. OBECNÁ ČÁST, článku XII. stanoveno jinak,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(4)</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iCs/>
                <w:lang w:eastAsia="cs-CZ"/>
              </w:rPr>
            </w:pPr>
            <w:r w:rsidRPr="009211D0">
              <w:rPr>
                <w:rFonts w:eastAsia="Times New Roman" w:cs="Calibri"/>
                <w:iCs/>
                <w:lang w:eastAsia="cs-CZ"/>
              </w:rPr>
              <w:t>nerealizoval projekt v oborech činnosti vymezených pro stanovený program podpory a výzvu v seznamu odvětvové klasifikace ekonomických činností (CZ-NACE) a zároveň v oborech, které příjemce vymezil v žádosti o podporu;</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(5)</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iCs/>
                <w:lang w:eastAsia="cs-CZ"/>
              </w:rPr>
            </w:pPr>
            <w:r w:rsidRPr="009211D0">
              <w:rPr>
                <w:rFonts w:eastAsia="Times New Roman" w:cs="Calibri"/>
                <w:lang w:eastAsia="cs-CZ"/>
              </w:rPr>
              <w:t>k danému okamžiku přestal splňovat kritéria přijatelnosti platná ke dni vyhlášení výzvy k danému programu podpory (např. přestal splňovat definici MSP, byl vyhlášen konkurz na jeho majetek);</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(6)</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nepodal žádost o platbu do dvou (2) měsíců ode dne ukončení projektu stanoveného v Harmonogramu. Poskytovatel dotace na základě žádosti příjemce podané přes MS2014+ ve shora uvedené lhůtě může výše uvedenou lhůtu prodloužit;</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(7)</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uvedl nepravdivé nebo neúplné údaje, v žádosti o podporu nebo v průběhu realizace projektu, které mohly mít vliv na poskytnutí dotace.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Článek VII.</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Krácení dotace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Poskytovatel dotace je oprávněn dotaci krátit (tj. nevyplatit dotaci nebo její část), pokud příjemce prokazatelně:</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porušil povinnosti stanovené právními předpisy nebo nedodržel účel dotace nebo </w:t>
            </w:r>
            <w:r w:rsidRPr="009211D0">
              <w:rPr>
                <w:rFonts w:eastAsia="Times New Roman" w:cs="Calibri"/>
                <w:lang w:eastAsia="cs-CZ"/>
              </w:rPr>
              <w:lastRenderedPageBreak/>
              <w:t>podmínky, za kterých byla dotace poskytnuta (týká se zejména Pravidel pro výběr dodavatelů, Pravidel způsobilosti a publicity). Poskytovatel dotace v tomto případě uplatní postup dle § 14e Rozpočtových pravidel. Výše sankce bude určena dle Kategorizace nedostatků při zadávání zakázek se stanovením výše odvodu za porušení rozpočtové kázně (verze platná k datu zahájení výběrového řízení). Příjemce je oprávněn ve lhůtě 15 dnů podat k Poskytovateli dotace námitky proti krácení výdajů.</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V případě, že v rámci projednání námitek dle předchozího odstavce vyjde najevo, že se žadatel dopustil jiných závažných pochybení, za </w:t>
            </w:r>
            <w:proofErr w:type="gramStart"/>
            <w:r w:rsidRPr="009211D0">
              <w:rPr>
                <w:rFonts w:eastAsia="Times New Roman" w:cs="Calibri"/>
                <w:lang w:eastAsia="cs-CZ"/>
              </w:rPr>
              <w:t>které</w:t>
            </w:r>
            <w:proofErr w:type="gramEnd"/>
            <w:r w:rsidRPr="009211D0">
              <w:rPr>
                <w:rFonts w:eastAsia="Times New Roman" w:cs="Calibri"/>
                <w:lang w:eastAsia="cs-CZ"/>
              </w:rPr>
              <w:t xml:space="preserve"> nebylo uděleno krácení, případ bude vrácen zpět ke kontrole a novému vyměření sankcí. Proti výsledku nové kontroly zůstává žadateli zachováno právo podat námitky ve smyslu § 14e Rozpočtových pravidel.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lastRenderedPageBreak/>
              <w:t>(3)</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nárokoval nezpůsobilé výdaje nebo výdaje, které nebyly zcela a řádně doloženy a ve lhůtě 20 pracovních dnů neodstranil nedostatky, na které byl upozorněn Poskytovatelem dotace. Poskytovatel dotace na základě žádosti příjemce podané přes MS2014+ ve shora uvedené lhůtě může výše uvedenou lhůtu prodloužit.  Žádost o platbu bude po celou tuto dobu pozastavena.</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(4)</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Poskytovatel dotace je oprávněn udělit sankci v případě, že nedošlo k požadované nápravě pochybení v oblasti publicity v rámci stanovené lhůty. Vyměření sankcí je dáno rozpětím procent z celkové částky dotace projektu (přičemž maximální výše sankce je stanovena na 1 mil. Kč).</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Při zjištění, že příjemce porušil konkrétní pravidlo v oblasti publicity na některém z povinných nástrojů, bude příjemce písemně vyzván k nápravě ve lhůtě stanovené kontrolním subjektem (lhůta musí být přizpůsobena době nezbytně nutné na zajištění nápravy). Poté bude uplatněn Poskytovatelem dotace následující postup u všech Žádostí o platbu daného příjemce a projektu:</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1. Příjemce nápravu ve stanovené lhůtě učiní – není mu uložena žádná sankce;</w:t>
            </w:r>
            <w:r w:rsidRPr="009211D0">
              <w:rPr>
                <w:rFonts w:eastAsia="Times New Roman" w:cs="Calibri"/>
                <w:lang w:eastAsia="cs-CZ"/>
              </w:rPr>
              <w:cr/>
              <w:t>2. Příjemce nápravu ve stanovené lhůtě neučiní nebo ji učiní chybně – bude přistoupeno k sankci za pochybení dle tabulky níže a poté bude znovu vyzván k nápravě. K této nápravě kontrolní subjekt stanoví přiměřenou lhůtu;</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3. Pokud příjemce ani poté nápravu neučiní, bude mu uložena sankce za nerespektování výzvy Poskytovatele dotace ve stejné výši, v jaké byla uložena při zjištění pochybení dle tabulky níže. V případě povinných nástrojů musí být pochybení odstraněno vždy.</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tbl>
            <w:tblPr>
              <w:tblStyle w:val="Mkatabulky"/>
              <w:tblW w:w="0" w:type="auto"/>
              <w:tblLook w:val="04A0" w:firstRow="1" w:lastRow="0" w:firstColumn="1" w:lastColumn="0" w:noHBand="0" w:noVBand="1"/>
            </w:tblPr>
            <w:tblGrid>
              <w:gridCol w:w="2093"/>
              <w:gridCol w:w="1005"/>
              <w:gridCol w:w="2349"/>
              <w:gridCol w:w="1172"/>
              <w:gridCol w:w="1311"/>
            </w:tblGrid>
            <w:tr w:rsidR="009211D0" w:rsidRPr="009211D0" w:rsidTr="00335EF8">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Nástroj publicity</w:t>
                  </w:r>
                </w:p>
              </w:tc>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Kategorie</w:t>
                  </w:r>
                </w:p>
              </w:tc>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Pochybení</w:t>
                  </w:r>
                </w:p>
              </w:tc>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Úroveň pochybení</w:t>
                  </w:r>
                </w:p>
              </w:tc>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Výše sankce z poskytnuté dotace</w:t>
                  </w:r>
                </w:p>
              </w:tc>
            </w:tr>
            <w:tr w:rsidR="009211D0" w:rsidRPr="009211D0" w:rsidTr="00335EF8">
              <w:tc>
                <w:tcPr>
                  <w:tcW w:w="0" w:type="auto"/>
                  <w:vMerge w:val="restart"/>
                </w:tcPr>
                <w:p w:rsidR="009211D0" w:rsidRPr="009211D0" w:rsidRDefault="009211D0" w:rsidP="009211D0">
                  <w:pPr>
                    <w:overflowPunct w:val="0"/>
                    <w:autoSpaceDE w:val="0"/>
                    <w:autoSpaceDN w:val="0"/>
                    <w:adjustRightInd w:val="0"/>
                    <w:jc w:val="both"/>
                    <w:textAlignment w:val="baseline"/>
                    <w:rPr>
                      <w:rFonts w:cs="Calibri"/>
                    </w:rPr>
                  </w:pPr>
                  <w:r w:rsidRPr="009211D0">
                    <w:rPr>
                      <w:rFonts w:cs="Calibri"/>
                    </w:rPr>
                    <w:t>Povinné nástroje</w:t>
                  </w:r>
                </w:p>
                <w:p w:rsidR="009211D0" w:rsidRPr="009211D0" w:rsidRDefault="009211D0" w:rsidP="009211D0">
                  <w:pPr>
                    <w:overflowPunct w:val="0"/>
                    <w:autoSpaceDE w:val="0"/>
                    <w:autoSpaceDN w:val="0"/>
                    <w:adjustRightInd w:val="0"/>
                    <w:jc w:val="both"/>
                    <w:textAlignment w:val="baseline"/>
                    <w:rPr>
                      <w:rFonts w:cs="Calibri"/>
                    </w:rPr>
                  </w:pPr>
                  <w:r w:rsidRPr="009211D0">
                    <w:rPr>
                      <w:rFonts w:cs="Calibri"/>
                    </w:rPr>
                    <w:t>(dočasný billboard – po dobu realizace projektu, stálá pamětní deska/billboard, plakát o minimální velikosti A3, informace na internetové stránce, pokud taková existuje).</w:t>
                  </w:r>
                </w:p>
              </w:tc>
              <w:tc>
                <w:tcPr>
                  <w:tcW w:w="0" w:type="auto"/>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A</w:t>
                  </w:r>
                </w:p>
              </w:tc>
              <w:tc>
                <w:tcPr>
                  <w:tcW w:w="0" w:type="auto"/>
                </w:tcPr>
                <w:p w:rsidR="009211D0" w:rsidRPr="009211D0" w:rsidRDefault="009211D0" w:rsidP="009211D0">
                  <w:pPr>
                    <w:overflowPunct w:val="0"/>
                    <w:autoSpaceDE w:val="0"/>
                    <w:autoSpaceDN w:val="0"/>
                    <w:adjustRightInd w:val="0"/>
                    <w:textAlignment w:val="baseline"/>
                    <w:rPr>
                      <w:rFonts w:cs="Calibri"/>
                    </w:rPr>
                  </w:pPr>
                  <w:r w:rsidRPr="009211D0">
                    <w:rPr>
                      <w:rFonts w:cs="Calibri"/>
                    </w:rPr>
                    <w:t>Logo EU (znak EU včetně všech povinných odkazů / textů)</w:t>
                  </w:r>
                </w:p>
                <w:p w:rsidR="009211D0" w:rsidRPr="009211D0" w:rsidRDefault="009211D0" w:rsidP="009211D0">
                  <w:pPr>
                    <w:overflowPunct w:val="0"/>
                    <w:autoSpaceDE w:val="0"/>
                    <w:autoSpaceDN w:val="0"/>
                    <w:adjustRightInd w:val="0"/>
                    <w:textAlignment w:val="baseline"/>
                    <w:rPr>
                      <w:rFonts w:cs="Calibri"/>
                    </w:rPr>
                  </w:pPr>
                  <w:r w:rsidRPr="009211D0">
                    <w:rPr>
                      <w:rFonts w:cs="Calibri"/>
                    </w:rPr>
                    <w:t xml:space="preserve">- název, hlavní cíl operace </w:t>
                  </w:r>
                </w:p>
                <w:p w:rsidR="009211D0" w:rsidRPr="009211D0" w:rsidRDefault="009211D0" w:rsidP="009211D0">
                  <w:pPr>
                    <w:overflowPunct w:val="0"/>
                    <w:autoSpaceDE w:val="0"/>
                    <w:autoSpaceDN w:val="0"/>
                    <w:adjustRightInd w:val="0"/>
                    <w:textAlignment w:val="baseline"/>
                    <w:rPr>
                      <w:rFonts w:cs="Calibri"/>
                    </w:rPr>
                  </w:pPr>
                  <w:r w:rsidRPr="009211D0">
                    <w:rPr>
                      <w:rFonts w:cs="Calibri"/>
                    </w:rPr>
                    <w:t>- předepsaný rozměr nástroje.</w:t>
                  </w:r>
                </w:p>
                <w:p w:rsidR="009211D0" w:rsidRPr="009211D0" w:rsidRDefault="009211D0" w:rsidP="009211D0">
                  <w:pPr>
                    <w:overflowPunct w:val="0"/>
                    <w:autoSpaceDE w:val="0"/>
                    <w:autoSpaceDN w:val="0"/>
                    <w:adjustRightInd w:val="0"/>
                    <w:textAlignment w:val="baseline"/>
                    <w:rPr>
                      <w:rFonts w:cs="Calibri"/>
                    </w:rPr>
                  </w:pPr>
                  <w:r w:rsidRPr="009211D0">
                    <w:rPr>
                      <w:rFonts w:cs="Calibri"/>
                    </w:rPr>
                    <w:t>V případě internetových stránek, pokud je žadatel/příjemce vlastní, zcela chybí stručný popis operace úměrný míře podpory, včetně jejích cílů a zdůraznění, že je na danou operaci poskytována finanční podpora od Unie.</w:t>
                  </w:r>
                </w:p>
              </w:tc>
              <w:tc>
                <w:tcPr>
                  <w:tcW w:w="0" w:type="auto"/>
                </w:tcPr>
                <w:p w:rsidR="009211D0" w:rsidRPr="009211D0" w:rsidRDefault="009211D0" w:rsidP="009211D0">
                  <w:pPr>
                    <w:overflowPunct w:val="0"/>
                    <w:autoSpaceDE w:val="0"/>
                    <w:autoSpaceDN w:val="0"/>
                    <w:adjustRightInd w:val="0"/>
                    <w:jc w:val="both"/>
                    <w:textAlignment w:val="baseline"/>
                    <w:rPr>
                      <w:rFonts w:cs="Calibri"/>
                    </w:rPr>
                  </w:pPr>
                  <w:r w:rsidRPr="009211D0">
                    <w:rPr>
                      <w:rFonts w:cs="Calibri"/>
                    </w:rPr>
                    <w:t>Chybí zcela</w:t>
                  </w:r>
                </w:p>
              </w:tc>
              <w:tc>
                <w:tcPr>
                  <w:tcW w:w="0" w:type="auto"/>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1,2 %</w:t>
                  </w:r>
                </w:p>
              </w:tc>
            </w:tr>
            <w:tr w:rsidR="009211D0" w:rsidRPr="009211D0" w:rsidTr="00335EF8">
              <w:tc>
                <w:tcPr>
                  <w:tcW w:w="0" w:type="auto"/>
                  <w:vMerge/>
                </w:tcPr>
                <w:p w:rsidR="009211D0" w:rsidRPr="009211D0" w:rsidRDefault="009211D0" w:rsidP="009211D0">
                  <w:pPr>
                    <w:overflowPunct w:val="0"/>
                    <w:autoSpaceDE w:val="0"/>
                    <w:autoSpaceDN w:val="0"/>
                    <w:adjustRightInd w:val="0"/>
                    <w:jc w:val="both"/>
                    <w:textAlignment w:val="baseline"/>
                    <w:rPr>
                      <w:rFonts w:cs="Calibri"/>
                    </w:rPr>
                  </w:pPr>
                </w:p>
              </w:tc>
              <w:tc>
                <w:tcPr>
                  <w:tcW w:w="0" w:type="auto"/>
                  <w:vMerge w:val="restart"/>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B</w:t>
                  </w:r>
                </w:p>
              </w:tc>
              <w:tc>
                <w:tcPr>
                  <w:tcW w:w="0" w:type="auto"/>
                </w:tcPr>
                <w:p w:rsidR="009211D0" w:rsidRPr="009211D0" w:rsidRDefault="009211D0" w:rsidP="009211D0">
                  <w:pPr>
                    <w:overflowPunct w:val="0"/>
                    <w:autoSpaceDE w:val="0"/>
                    <w:autoSpaceDN w:val="0"/>
                    <w:adjustRightInd w:val="0"/>
                    <w:textAlignment w:val="baseline"/>
                    <w:rPr>
                      <w:rFonts w:cs="Calibri"/>
                    </w:rPr>
                  </w:pPr>
                  <w:r w:rsidRPr="009211D0">
                    <w:rPr>
                      <w:rFonts w:cs="Calibri"/>
                    </w:rPr>
                    <w:t xml:space="preserve">Logo EU (znak EU včetně </w:t>
                  </w:r>
                  <w:r w:rsidRPr="009211D0">
                    <w:rPr>
                      <w:rFonts w:cs="Calibri"/>
                    </w:rPr>
                    <w:lastRenderedPageBreak/>
                    <w:t>všech povinných odkazů / textů).</w:t>
                  </w:r>
                </w:p>
                <w:p w:rsidR="009211D0" w:rsidRPr="009211D0" w:rsidRDefault="009211D0" w:rsidP="009211D0">
                  <w:pPr>
                    <w:overflowPunct w:val="0"/>
                    <w:autoSpaceDE w:val="0"/>
                    <w:autoSpaceDN w:val="0"/>
                    <w:adjustRightInd w:val="0"/>
                    <w:textAlignment w:val="baseline"/>
                    <w:rPr>
                      <w:rFonts w:cs="Calibri"/>
                    </w:rPr>
                  </w:pPr>
                </w:p>
              </w:tc>
              <w:tc>
                <w:tcPr>
                  <w:tcW w:w="0" w:type="auto"/>
                  <w:vMerge w:val="restart"/>
                </w:tcPr>
                <w:p w:rsidR="009211D0" w:rsidRPr="009211D0" w:rsidRDefault="009211D0" w:rsidP="009211D0">
                  <w:pPr>
                    <w:overflowPunct w:val="0"/>
                    <w:autoSpaceDE w:val="0"/>
                    <w:autoSpaceDN w:val="0"/>
                    <w:adjustRightInd w:val="0"/>
                    <w:jc w:val="both"/>
                    <w:textAlignment w:val="baseline"/>
                    <w:rPr>
                      <w:rFonts w:cs="Calibri"/>
                    </w:rPr>
                  </w:pPr>
                  <w:r w:rsidRPr="009211D0">
                    <w:rPr>
                      <w:rFonts w:cs="Calibri"/>
                    </w:rPr>
                    <w:lastRenderedPageBreak/>
                    <w:t xml:space="preserve">Je uvedeno </w:t>
                  </w:r>
                  <w:r w:rsidRPr="009211D0">
                    <w:rPr>
                      <w:rFonts w:cs="Calibri"/>
                    </w:rPr>
                    <w:lastRenderedPageBreak/>
                    <w:t>chybně</w:t>
                  </w:r>
                </w:p>
                <w:p w:rsidR="009211D0" w:rsidRPr="009211D0" w:rsidRDefault="009211D0" w:rsidP="009211D0">
                  <w:pPr>
                    <w:overflowPunct w:val="0"/>
                    <w:autoSpaceDE w:val="0"/>
                    <w:autoSpaceDN w:val="0"/>
                    <w:adjustRightInd w:val="0"/>
                    <w:jc w:val="both"/>
                    <w:textAlignment w:val="baseline"/>
                    <w:rPr>
                      <w:rFonts w:cs="Calibri"/>
                    </w:rPr>
                  </w:pPr>
                </w:p>
              </w:tc>
              <w:tc>
                <w:tcPr>
                  <w:tcW w:w="0" w:type="auto"/>
                  <w:vMerge w:val="restart"/>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lastRenderedPageBreak/>
                    <w:t>0,4 %</w:t>
                  </w:r>
                </w:p>
              </w:tc>
            </w:tr>
            <w:tr w:rsidR="009211D0" w:rsidRPr="009211D0" w:rsidTr="00335EF8">
              <w:tc>
                <w:tcPr>
                  <w:tcW w:w="0" w:type="auto"/>
                  <w:vMerge/>
                </w:tcPr>
                <w:p w:rsidR="009211D0" w:rsidRPr="009211D0" w:rsidRDefault="009211D0" w:rsidP="009211D0">
                  <w:pPr>
                    <w:overflowPunct w:val="0"/>
                    <w:autoSpaceDE w:val="0"/>
                    <w:autoSpaceDN w:val="0"/>
                    <w:adjustRightInd w:val="0"/>
                    <w:jc w:val="both"/>
                    <w:textAlignment w:val="baseline"/>
                    <w:rPr>
                      <w:rFonts w:cs="Calibri"/>
                    </w:rPr>
                  </w:pPr>
                </w:p>
              </w:tc>
              <w:tc>
                <w:tcPr>
                  <w:tcW w:w="0" w:type="auto"/>
                  <w:vMerge/>
                </w:tcPr>
                <w:p w:rsidR="009211D0" w:rsidRPr="009211D0" w:rsidRDefault="009211D0" w:rsidP="009211D0">
                  <w:pPr>
                    <w:overflowPunct w:val="0"/>
                    <w:autoSpaceDE w:val="0"/>
                    <w:autoSpaceDN w:val="0"/>
                    <w:adjustRightInd w:val="0"/>
                    <w:jc w:val="center"/>
                    <w:textAlignment w:val="baseline"/>
                    <w:rPr>
                      <w:rFonts w:cs="Calibri"/>
                    </w:rPr>
                  </w:pPr>
                </w:p>
              </w:tc>
              <w:tc>
                <w:tcPr>
                  <w:tcW w:w="0" w:type="auto"/>
                </w:tcPr>
                <w:p w:rsidR="009211D0" w:rsidRPr="009211D0" w:rsidRDefault="009211D0" w:rsidP="009211D0">
                  <w:pPr>
                    <w:overflowPunct w:val="0"/>
                    <w:autoSpaceDE w:val="0"/>
                    <w:autoSpaceDN w:val="0"/>
                    <w:adjustRightInd w:val="0"/>
                    <w:textAlignment w:val="baseline"/>
                    <w:rPr>
                      <w:rFonts w:cs="Calibri"/>
                    </w:rPr>
                  </w:pPr>
                  <w:r w:rsidRPr="009211D0">
                    <w:rPr>
                      <w:rFonts w:cs="Calibri"/>
                    </w:rPr>
                    <w:t>V případě internetových stránek, pokud je žadatel/příjemce vlastní, je chybně nastaven stručný popis operace úměrný míře podpory, včetně jejích cílů a zdůraznění, že je na danou operaci poskytována finanční podpora od Unie.</w:t>
                  </w:r>
                </w:p>
              </w:tc>
              <w:tc>
                <w:tcPr>
                  <w:tcW w:w="0" w:type="auto"/>
                  <w:vMerge/>
                </w:tcPr>
                <w:p w:rsidR="009211D0" w:rsidRPr="009211D0" w:rsidRDefault="009211D0" w:rsidP="009211D0">
                  <w:pPr>
                    <w:overflowPunct w:val="0"/>
                    <w:autoSpaceDE w:val="0"/>
                    <w:autoSpaceDN w:val="0"/>
                    <w:adjustRightInd w:val="0"/>
                    <w:jc w:val="both"/>
                    <w:textAlignment w:val="baseline"/>
                    <w:rPr>
                      <w:rFonts w:cs="Calibri"/>
                    </w:rPr>
                  </w:pPr>
                </w:p>
              </w:tc>
              <w:tc>
                <w:tcPr>
                  <w:tcW w:w="0" w:type="auto"/>
                  <w:vMerge/>
                </w:tcPr>
                <w:p w:rsidR="009211D0" w:rsidRPr="009211D0" w:rsidRDefault="009211D0" w:rsidP="009211D0">
                  <w:pPr>
                    <w:overflowPunct w:val="0"/>
                    <w:autoSpaceDE w:val="0"/>
                    <w:autoSpaceDN w:val="0"/>
                    <w:adjustRightInd w:val="0"/>
                    <w:jc w:val="center"/>
                    <w:textAlignment w:val="baseline"/>
                    <w:rPr>
                      <w:rFonts w:cs="Calibri"/>
                    </w:rPr>
                  </w:pPr>
                </w:p>
              </w:tc>
            </w:tr>
            <w:tr w:rsidR="009211D0" w:rsidRPr="009211D0" w:rsidTr="00335EF8">
              <w:tc>
                <w:tcPr>
                  <w:tcW w:w="0" w:type="auto"/>
                  <w:vMerge/>
                </w:tcPr>
                <w:p w:rsidR="009211D0" w:rsidRPr="009211D0" w:rsidRDefault="009211D0" w:rsidP="009211D0">
                  <w:pPr>
                    <w:overflowPunct w:val="0"/>
                    <w:autoSpaceDE w:val="0"/>
                    <w:autoSpaceDN w:val="0"/>
                    <w:adjustRightInd w:val="0"/>
                    <w:jc w:val="both"/>
                    <w:textAlignment w:val="baseline"/>
                    <w:rPr>
                      <w:rFonts w:cs="Calibri"/>
                    </w:rPr>
                  </w:pPr>
                </w:p>
              </w:tc>
              <w:tc>
                <w:tcPr>
                  <w:tcW w:w="0" w:type="auto"/>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C</w:t>
                  </w:r>
                </w:p>
              </w:tc>
              <w:tc>
                <w:tcPr>
                  <w:tcW w:w="0" w:type="auto"/>
                </w:tcPr>
                <w:p w:rsidR="009211D0" w:rsidRPr="009211D0" w:rsidRDefault="009211D0" w:rsidP="009211D0">
                  <w:pPr>
                    <w:overflowPunct w:val="0"/>
                    <w:autoSpaceDE w:val="0"/>
                    <w:autoSpaceDN w:val="0"/>
                    <w:adjustRightInd w:val="0"/>
                    <w:textAlignment w:val="baseline"/>
                    <w:rPr>
                      <w:rFonts w:cs="Calibri"/>
                    </w:rPr>
                  </w:pPr>
                  <w:r w:rsidRPr="009211D0">
                    <w:rPr>
                      <w:rFonts w:cs="Calibri"/>
                    </w:rPr>
                    <w:t>Je uvedeno nadbytečné logo.</w:t>
                  </w:r>
                </w:p>
              </w:tc>
              <w:tc>
                <w:tcPr>
                  <w:tcW w:w="0" w:type="auto"/>
                </w:tcPr>
                <w:p w:rsidR="009211D0" w:rsidRPr="009211D0" w:rsidRDefault="009211D0" w:rsidP="009211D0">
                  <w:pPr>
                    <w:overflowPunct w:val="0"/>
                    <w:autoSpaceDE w:val="0"/>
                    <w:autoSpaceDN w:val="0"/>
                    <w:adjustRightInd w:val="0"/>
                    <w:jc w:val="both"/>
                    <w:textAlignment w:val="baseline"/>
                    <w:rPr>
                      <w:rFonts w:cs="Calibri"/>
                    </w:rPr>
                  </w:pPr>
                  <w:r w:rsidRPr="009211D0">
                    <w:rPr>
                      <w:rFonts w:cs="Calibri"/>
                    </w:rPr>
                    <w:t>Je uvedeno nadbytečně</w:t>
                  </w:r>
                </w:p>
              </w:tc>
              <w:tc>
                <w:tcPr>
                  <w:tcW w:w="0" w:type="auto"/>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0,1 %</w:t>
                  </w:r>
                </w:p>
              </w:tc>
            </w:tr>
          </w:tbl>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Při zjištění, že příjemce porušil konkrétní pravidlo v oblasti publicity na některém z nepovinných nástrojů, bude příjemce písemně vyzván k nápravě ve lhůtě stanovené kontrolním subjektem (lhůta musí být přizpůsobena době nezbytně nutné na zajištění nápravy). Poté bude uplatněn následující postup:</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1. Pokud náprava možná je a příjemce nápravu ve stanovené lhůtě učiní, není mu uložena žádná sankce;</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2. Pokud náprava možná není (např. není možná z technických důvodů, neměla by smysl, případně by byla ekonomicky nevýhodná), bude příjemci udělena výtka č. 1 v kategorii A nebo B dle tabulky níže a sankce se neuděluje. Pokud se stejný nedostatek na nějakém jiném nástroji / nosiči opakuje při další kontrole, je příjemci udělena výtka č. 2 v kategorii A nebo B dle tabulky níže a sankce se neuděluje. Sankce je udělena v případě, že příjemce při třetí kontrole dostane výtku č. 3 za třetí pochybení ve stejné kategorii (A nebo B) na jakémkoli nepovinném nástroji. Stejná sankce je udělena v případech, kdy se vyskytne čtvrté a další pochybení ve stejné kategorii (A nebo B).</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3. Pokud náprava možná je a příjemce nápravu ve stanovené lhůtě neučiní, bude uložena sankce ve výši dle tabulky níže.</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tbl>
            <w:tblPr>
              <w:tblStyle w:val="Mkatabulky"/>
              <w:tblW w:w="0" w:type="auto"/>
              <w:tblLook w:val="04A0" w:firstRow="1" w:lastRow="0" w:firstColumn="1" w:lastColumn="0" w:noHBand="0" w:noVBand="1"/>
            </w:tblPr>
            <w:tblGrid>
              <w:gridCol w:w="2247"/>
              <w:gridCol w:w="1005"/>
              <w:gridCol w:w="1904"/>
              <w:gridCol w:w="1196"/>
              <w:gridCol w:w="1578"/>
            </w:tblGrid>
            <w:tr w:rsidR="009211D0" w:rsidRPr="009211D0" w:rsidTr="00335EF8">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Nástroj publicity</w:t>
                  </w:r>
                </w:p>
              </w:tc>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Kategorie</w:t>
                  </w:r>
                </w:p>
              </w:tc>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Pochybení</w:t>
                  </w:r>
                </w:p>
              </w:tc>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Úroveň pochybení</w:t>
                  </w:r>
                </w:p>
              </w:tc>
              <w:tc>
                <w:tcPr>
                  <w:tcW w:w="0" w:type="auto"/>
                  <w:shd w:val="clear" w:color="auto" w:fill="F2F2F2" w:themeFill="background1" w:themeFillShade="F2"/>
                  <w:vAlign w:val="center"/>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Výše sankce z poskytnuté dotace</w:t>
                  </w:r>
                </w:p>
              </w:tc>
            </w:tr>
            <w:tr w:rsidR="009211D0" w:rsidRPr="009211D0" w:rsidTr="00335EF8">
              <w:tc>
                <w:tcPr>
                  <w:tcW w:w="0" w:type="auto"/>
                  <w:vMerge w:val="restart"/>
                </w:tcPr>
                <w:p w:rsidR="009211D0" w:rsidRPr="009211D0" w:rsidRDefault="009211D0" w:rsidP="009211D0">
                  <w:pPr>
                    <w:overflowPunct w:val="0"/>
                    <w:autoSpaceDE w:val="0"/>
                    <w:autoSpaceDN w:val="0"/>
                    <w:adjustRightInd w:val="0"/>
                    <w:jc w:val="both"/>
                    <w:textAlignment w:val="baseline"/>
                    <w:rPr>
                      <w:rFonts w:cs="Calibri"/>
                    </w:rPr>
                  </w:pPr>
                  <w:r w:rsidRPr="009211D0">
                    <w:rPr>
                      <w:rFonts w:cs="Calibri"/>
                    </w:rPr>
                    <w:t>Nepovinné nástroje</w:t>
                  </w:r>
                </w:p>
                <w:p w:rsidR="009211D0" w:rsidRPr="009211D0" w:rsidRDefault="009211D0" w:rsidP="009211D0">
                  <w:pPr>
                    <w:overflowPunct w:val="0"/>
                    <w:autoSpaceDE w:val="0"/>
                    <w:autoSpaceDN w:val="0"/>
                    <w:adjustRightInd w:val="0"/>
                    <w:jc w:val="both"/>
                    <w:textAlignment w:val="baseline"/>
                    <w:rPr>
                      <w:rFonts w:cs="Calibri"/>
                    </w:rPr>
                  </w:pPr>
                  <w:r w:rsidRPr="009211D0">
                    <w:rPr>
                      <w:rFonts w:cs="Calibri"/>
                    </w:rPr>
                    <w:t>(komunikační nástroje a aktivity nespadající do povinných nástrojů)</w:t>
                  </w:r>
                </w:p>
              </w:tc>
              <w:tc>
                <w:tcPr>
                  <w:tcW w:w="0" w:type="auto"/>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A</w:t>
                  </w:r>
                </w:p>
              </w:tc>
              <w:tc>
                <w:tcPr>
                  <w:tcW w:w="0" w:type="auto"/>
                </w:tcPr>
                <w:p w:rsidR="009211D0" w:rsidRPr="009211D0" w:rsidRDefault="009211D0" w:rsidP="009211D0">
                  <w:pPr>
                    <w:overflowPunct w:val="0"/>
                    <w:autoSpaceDE w:val="0"/>
                    <w:autoSpaceDN w:val="0"/>
                    <w:adjustRightInd w:val="0"/>
                    <w:textAlignment w:val="baseline"/>
                    <w:rPr>
                      <w:rFonts w:cs="Calibri"/>
                    </w:rPr>
                  </w:pPr>
                  <w:r w:rsidRPr="009211D0">
                    <w:rPr>
                      <w:rFonts w:cs="Calibri"/>
                    </w:rPr>
                    <w:t>Logo EU</w:t>
                  </w:r>
                </w:p>
                <w:p w:rsidR="009211D0" w:rsidRPr="009211D0" w:rsidRDefault="009211D0" w:rsidP="009211D0">
                  <w:pPr>
                    <w:overflowPunct w:val="0"/>
                    <w:autoSpaceDE w:val="0"/>
                    <w:autoSpaceDN w:val="0"/>
                    <w:adjustRightInd w:val="0"/>
                    <w:textAlignment w:val="baseline"/>
                    <w:rPr>
                      <w:rFonts w:cs="Calibri"/>
                    </w:rPr>
                  </w:pPr>
                  <w:r w:rsidRPr="009211D0">
                    <w:rPr>
                      <w:rFonts w:cs="Calibri"/>
                    </w:rPr>
                    <w:t>(znak EU včetně všech povinných odkazů / textů).</w:t>
                  </w:r>
                </w:p>
              </w:tc>
              <w:tc>
                <w:tcPr>
                  <w:tcW w:w="0" w:type="auto"/>
                </w:tcPr>
                <w:p w:rsidR="009211D0" w:rsidRPr="009211D0" w:rsidRDefault="009211D0" w:rsidP="009211D0">
                  <w:pPr>
                    <w:overflowPunct w:val="0"/>
                    <w:autoSpaceDE w:val="0"/>
                    <w:autoSpaceDN w:val="0"/>
                    <w:adjustRightInd w:val="0"/>
                    <w:jc w:val="both"/>
                    <w:textAlignment w:val="baseline"/>
                    <w:rPr>
                      <w:rFonts w:cs="Calibri"/>
                    </w:rPr>
                  </w:pPr>
                  <w:r w:rsidRPr="009211D0">
                    <w:rPr>
                      <w:rFonts w:cs="Calibri"/>
                    </w:rPr>
                    <w:t>Chybí zcela</w:t>
                  </w:r>
                </w:p>
              </w:tc>
              <w:tc>
                <w:tcPr>
                  <w:tcW w:w="0" w:type="auto"/>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0,6 %</w:t>
                  </w:r>
                </w:p>
              </w:tc>
            </w:tr>
            <w:tr w:rsidR="009211D0" w:rsidRPr="009211D0" w:rsidTr="00335EF8">
              <w:tc>
                <w:tcPr>
                  <w:tcW w:w="0" w:type="auto"/>
                  <w:vMerge/>
                </w:tcPr>
                <w:p w:rsidR="009211D0" w:rsidRPr="009211D0" w:rsidRDefault="009211D0" w:rsidP="009211D0">
                  <w:pPr>
                    <w:overflowPunct w:val="0"/>
                    <w:autoSpaceDE w:val="0"/>
                    <w:autoSpaceDN w:val="0"/>
                    <w:adjustRightInd w:val="0"/>
                    <w:jc w:val="both"/>
                    <w:textAlignment w:val="baseline"/>
                    <w:rPr>
                      <w:rFonts w:cs="Calibri"/>
                    </w:rPr>
                  </w:pPr>
                </w:p>
              </w:tc>
              <w:tc>
                <w:tcPr>
                  <w:tcW w:w="0" w:type="auto"/>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B</w:t>
                  </w:r>
                </w:p>
              </w:tc>
              <w:tc>
                <w:tcPr>
                  <w:tcW w:w="0" w:type="auto"/>
                </w:tcPr>
                <w:p w:rsidR="009211D0" w:rsidRPr="009211D0" w:rsidRDefault="009211D0" w:rsidP="009211D0">
                  <w:pPr>
                    <w:overflowPunct w:val="0"/>
                    <w:autoSpaceDE w:val="0"/>
                    <w:autoSpaceDN w:val="0"/>
                    <w:adjustRightInd w:val="0"/>
                    <w:textAlignment w:val="baseline"/>
                    <w:rPr>
                      <w:rFonts w:cs="Calibri"/>
                    </w:rPr>
                  </w:pPr>
                  <w:r w:rsidRPr="009211D0">
                    <w:rPr>
                      <w:rFonts w:cs="Calibri"/>
                    </w:rPr>
                    <w:t>Logo EU (znak EU včetně všech povinných odkazů / textů).</w:t>
                  </w:r>
                </w:p>
              </w:tc>
              <w:tc>
                <w:tcPr>
                  <w:tcW w:w="0" w:type="auto"/>
                </w:tcPr>
                <w:p w:rsidR="009211D0" w:rsidRPr="009211D0" w:rsidRDefault="009211D0" w:rsidP="009211D0">
                  <w:pPr>
                    <w:overflowPunct w:val="0"/>
                    <w:autoSpaceDE w:val="0"/>
                    <w:autoSpaceDN w:val="0"/>
                    <w:adjustRightInd w:val="0"/>
                    <w:jc w:val="both"/>
                    <w:textAlignment w:val="baseline"/>
                    <w:rPr>
                      <w:rFonts w:cs="Calibri"/>
                    </w:rPr>
                  </w:pPr>
                  <w:r w:rsidRPr="009211D0">
                    <w:rPr>
                      <w:rFonts w:cs="Calibri"/>
                    </w:rPr>
                    <w:t>Je uvedeno chybně</w:t>
                  </w:r>
                </w:p>
                <w:p w:rsidR="009211D0" w:rsidRPr="009211D0" w:rsidRDefault="009211D0" w:rsidP="009211D0">
                  <w:pPr>
                    <w:overflowPunct w:val="0"/>
                    <w:autoSpaceDE w:val="0"/>
                    <w:autoSpaceDN w:val="0"/>
                    <w:adjustRightInd w:val="0"/>
                    <w:jc w:val="both"/>
                    <w:textAlignment w:val="baseline"/>
                    <w:rPr>
                      <w:rFonts w:cs="Calibri"/>
                    </w:rPr>
                  </w:pPr>
                </w:p>
              </w:tc>
              <w:tc>
                <w:tcPr>
                  <w:tcW w:w="0" w:type="auto"/>
                </w:tcPr>
                <w:p w:rsidR="009211D0" w:rsidRPr="009211D0" w:rsidRDefault="009211D0" w:rsidP="009211D0">
                  <w:pPr>
                    <w:overflowPunct w:val="0"/>
                    <w:autoSpaceDE w:val="0"/>
                    <w:autoSpaceDN w:val="0"/>
                    <w:adjustRightInd w:val="0"/>
                    <w:jc w:val="center"/>
                    <w:textAlignment w:val="baseline"/>
                    <w:rPr>
                      <w:rFonts w:cs="Calibri"/>
                    </w:rPr>
                  </w:pPr>
                  <w:r w:rsidRPr="009211D0">
                    <w:rPr>
                      <w:rFonts w:cs="Calibri"/>
                    </w:rPr>
                    <w:t>0,4 %</w:t>
                  </w:r>
                </w:p>
              </w:tc>
            </w:tr>
          </w:tbl>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i/>
                <w:lang w:eastAsia="cs-CZ"/>
              </w:rPr>
            </w:pPr>
            <w:r w:rsidRPr="009211D0">
              <w:rPr>
                <w:rFonts w:eastAsia="Times New Roman" w:cs="Calibri"/>
                <w:lang w:eastAsia="cs-CZ"/>
              </w:rPr>
              <w:t>Postupy při nálezu pochybení v oblasti publicity na povinných / nepovinných nástrojích jsou uvedeny v příloze 1 a 2 Metodického pokynu pro publicitu a komunikaci evropských strukturálních a investičních fondů v programovém období 2014-2020 (</w:t>
            </w:r>
            <w:hyperlink r:id="rId9" w:history="1">
              <w:r w:rsidRPr="009211D0">
                <w:rPr>
                  <w:rFonts w:eastAsia="Times New Roman" w:cs="Calibri"/>
                  <w:color w:val="0000FF"/>
                  <w:u w:val="single"/>
                  <w:lang w:eastAsia="cs-CZ"/>
                </w:rPr>
                <w:t>http://www.strukturalni-fondy.cz/cs/Fondy-EU/2014-2020/Dokumenty</w:t>
              </w:r>
            </w:hyperlink>
            <w:r w:rsidRPr="009211D0">
              <w:rPr>
                <w:rFonts w:eastAsia="Times New Roman" w:cs="Calibri"/>
                <w:lang w:eastAsia="cs-CZ"/>
              </w:rPr>
              <w:t>).</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lastRenderedPageBreak/>
              <w:t>(5)</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ascii="Calibri" w:eastAsia="Times New Roman" w:hAnsi="Calibri" w:cs="Times New Roman"/>
                <w:bCs/>
                <w:lang w:eastAsia="cs-CZ"/>
              </w:rPr>
            </w:pPr>
            <w:r w:rsidRPr="009211D0">
              <w:rPr>
                <w:rFonts w:eastAsia="Times New Roman" w:cs="Calibri"/>
                <w:lang w:eastAsia="cs-CZ"/>
              </w:rPr>
              <w:t>Poskytovatel dotace je oprávněn dotaci krátit (tj. nevyplatit dotaci nebo její část), pokud příjemce</w:t>
            </w:r>
            <w:r w:rsidRPr="009211D0">
              <w:rPr>
                <w:rFonts w:ascii="Calibri" w:eastAsia="Times New Roman" w:hAnsi="Calibri" w:cs="Times New Roman"/>
                <w:bCs/>
                <w:lang w:eastAsia="cs-CZ"/>
              </w:rPr>
              <w:t xml:space="preserve"> dotace nepodal etapovou žádost o platbu do 60 dní ode dne předpokládaného ukončení etapy projektu. Poskytovatel dotace na základě žádosti příjemce podané přes MS2014+ ve shora uvedené lhůtě může výše uvedenou lhůtu prodloužit; v případě nesplnění výše uvedené lhůty bude dotace vztahující se k dané etapě pokrácena následovně:</w:t>
            </w:r>
          </w:p>
          <w:p w:rsidR="009211D0" w:rsidRPr="009211D0" w:rsidRDefault="009211D0" w:rsidP="009211D0">
            <w:pPr>
              <w:overflowPunct w:val="0"/>
              <w:autoSpaceDE w:val="0"/>
              <w:autoSpaceDN w:val="0"/>
              <w:adjustRightInd w:val="0"/>
              <w:spacing w:after="0" w:line="240" w:lineRule="auto"/>
              <w:jc w:val="both"/>
              <w:textAlignment w:val="baseline"/>
              <w:rPr>
                <w:rFonts w:ascii="Calibri" w:eastAsia="Times New Roman" w:hAnsi="Calibri" w:cs="Times New Roman"/>
                <w:bCs/>
                <w:lang w:eastAsia="cs-CZ"/>
              </w:rPr>
            </w:pPr>
          </w:p>
          <w:tbl>
            <w:tblPr>
              <w:tblStyle w:val="Mkatabulky"/>
              <w:tblW w:w="0" w:type="auto"/>
              <w:tblLook w:val="04A0" w:firstRow="1" w:lastRow="0" w:firstColumn="1" w:lastColumn="0" w:noHBand="0" w:noVBand="1"/>
            </w:tblPr>
            <w:tblGrid>
              <w:gridCol w:w="3965"/>
              <w:gridCol w:w="3965"/>
            </w:tblGrid>
            <w:tr w:rsidR="009211D0" w:rsidRPr="009211D0" w:rsidTr="00335EF8">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vertAlign w:val="superscript"/>
                    </w:rPr>
                  </w:pPr>
                  <w:r w:rsidRPr="009211D0">
                    <w:rPr>
                      <w:rFonts w:ascii="Calibri" w:hAnsi="Calibri"/>
                      <w:bCs/>
                    </w:rPr>
                    <w:t>Lhůta</w:t>
                  </w:r>
                  <w:r w:rsidRPr="009211D0">
                    <w:rPr>
                      <w:rFonts w:ascii="Calibri" w:hAnsi="Calibri"/>
                      <w:vertAlign w:val="superscript"/>
                    </w:rPr>
                    <w:t>1</w:t>
                  </w:r>
                </w:p>
              </w:tc>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rPr>
                  </w:pPr>
                  <w:r w:rsidRPr="009211D0">
                    <w:rPr>
                      <w:rFonts w:ascii="Calibri" w:hAnsi="Calibri"/>
                      <w:bCs/>
                    </w:rPr>
                    <w:t>Výše sankce</w:t>
                  </w:r>
                  <w:r w:rsidRPr="009211D0">
                    <w:rPr>
                      <w:rFonts w:ascii="Calibri" w:hAnsi="Calibri"/>
                      <w:bCs/>
                      <w:vertAlign w:val="superscript"/>
                    </w:rPr>
                    <w:footnoteReference w:id="2"/>
                  </w:r>
                </w:p>
              </w:tc>
            </w:tr>
            <w:tr w:rsidR="009211D0" w:rsidRPr="009211D0" w:rsidTr="00335EF8">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rPr>
                  </w:pPr>
                  <w:r w:rsidRPr="009211D0">
                    <w:rPr>
                      <w:rFonts w:ascii="Calibri" w:hAnsi="Calibri"/>
                      <w:bCs/>
                    </w:rPr>
                    <w:t>1-30 dní</w:t>
                  </w:r>
                </w:p>
              </w:tc>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rPr>
                  </w:pPr>
                  <w:r w:rsidRPr="009211D0">
                    <w:rPr>
                      <w:rFonts w:ascii="Calibri" w:hAnsi="Calibri"/>
                      <w:bCs/>
                    </w:rPr>
                    <w:t>5 %</w:t>
                  </w:r>
                </w:p>
              </w:tc>
            </w:tr>
            <w:tr w:rsidR="009211D0" w:rsidRPr="009211D0" w:rsidTr="00335EF8">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rPr>
                  </w:pPr>
                  <w:r w:rsidRPr="009211D0">
                    <w:rPr>
                      <w:rFonts w:ascii="Calibri" w:hAnsi="Calibri"/>
                      <w:bCs/>
                    </w:rPr>
                    <w:t xml:space="preserve">31-60 dní </w:t>
                  </w:r>
                </w:p>
              </w:tc>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rPr>
                  </w:pPr>
                  <w:r w:rsidRPr="009211D0">
                    <w:rPr>
                      <w:rFonts w:ascii="Calibri" w:hAnsi="Calibri"/>
                      <w:bCs/>
                    </w:rPr>
                    <w:t>10 %</w:t>
                  </w:r>
                </w:p>
              </w:tc>
            </w:tr>
            <w:tr w:rsidR="009211D0" w:rsidRPr="009211D0" w:rsidTr="00335EF8">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rPr>
                  </w:pPr>
                  <w:r w:rsidRPr="009211D0">
                    <w:rPr>
                      <w:rFonts w:ascii="Calibri" w:hAnsi="Calibri"/>
                      <w:bCs/>
                    </w:rPr>
                    <w:t>61-90 dní</w:t>
                  </w:r>
                </w:p>
              </w:tc>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rPr>
                  </w:pPr>
                  <w:r w:rsidRPr="009211D0">
                    <w:rPr>
                      <w:rFonts w:ascii="Calibri" w:hAnsi="Calibri"/>
                      <w:bCs/>
                    </w:rPr>
                    <w:t>20 %</w:t>
                  </w:r>
                </w:p>
              </w:tc>
            </w:tr>
            <w:tr w:rsidR="009211D0" w:rsidRPr="009211D0" w:rsidTr="00335EF8">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rPr>
                  </w:pPr>
                  <w:r w:rsidRPr="009211D0">
                    <w:rPr>
                      <w:rFonts w:ascii="Calibri" w:hAnsi="Calibri"/>
                      <w:bCs/>
                    </w:rPr>
                    <w:t>91 a více dní</w:t>
                  </w:r>
                </w:p>
              </w:tc>
              <w:tc>
                <w:tcPr>
                  <w:tcW w:w="3965" w:type="dxa"/>
                </w:tcPr>
                <w:p w:rsidR="009211D0" w:rsidRPr="009211D0" w:rsidRDefault="009211D0" w:rsidP="009211D0">
                  <w:pPr>
                    <w:overflowPunct w:val="0"/>
                    <w:autoSpaceDE w:val="0"/>
                    <w:autoSpaceDN w:val="0"/>
                    <w:adjustRightInd w:val="0"/>
                    <w:jc w:val="both"/>
                    <w:textAlignment w:val="baseline"/>
                    <w:rPr>
                      <w:rFonts w:ascii="Calibri" w:hAnsi="Calibri"/>
                      <w:bCs/>
                    </w:rPr>
                  </w:pPr>
                  <w:r w:rsidRPr="009211D0">
                    <w:rPr>
                      <w:rFonts w:ascii="Calibri" w:hAnsi="Calibri"/>
                      <w:bCs/>
                    </w:rPr>
                    <w:t>100 %</w:t>
                  </w:r>
                </w:p>
              </w:tc>
            </w:tr>
          </w:tbl>
          <w:p w:rsidR="009211D0" w:rsidRPr="009211D0" w:rsidRDefault="009211D0" w:rsidP="009211D0">
            <w:pPr>
              <w:overflowPunct w:val="0"/>
              <w:autoSpaceDE w:val="0"/>
              <w:autoSpaceDN w:val="0"/>
              <w:adjustRightInd w:val="0"/>
              <w:spacing w:after="0" w:line="240" w:lineRule="auto"/>
              <w:textAlignment w:val="baseline"/>
              <w:rPr>
                <w:rFonts w:eastAsia="Times New Roman" w:cs="Times New Roman"/>
                <w:sz w:val="20"/>
                <w:szCs w:val="20"/>
                <w:lang w:eastAsia="cs-CZ"/>
              </w:rPr>
            </w:pP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sz w:val="20"/>
                <w:szCs w:val="20"/>
                <w:lang w:eastAsia="cs-CZ"/>
              </w:rPr>
            </w:pPr>
            <w:r w:rsidRPr="009211D0">
              <w:rPr>
                <w:rFonts w:eastAsia="Times New Roman" w:cs="Times New Roman"/>
                <w:sz w:val="20"/>
                <w:szCs w:val="20"/>
                <w:lang w:eastAsia="cs-CZ"/>
              </w:rPr>
              <w:t>Poznámky:</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sz w:val="20"/>
                <w:szCs w:val="20"/>
                <w:lang w:eastAsia="cs-CZ"/>
              </w:rPr>
            </w:pPr>
            <w:r w:rsidRPr="009211D0">
              <w:rPr>
                <w:rFonts w:eastAsia="Times New Roman" w:cs="Times New Roman"/>
                <w:sz w:val="20"/>
                <w:szCs w:val="20"/>
                <w:lang w:eastAsia="cs-CZ"/>
              </w:rPr>
              <w:t>1) Lhůta počítaná po nejzazším termínu k předložení etapové žádosti o platbu v kalendářních dnech (po 60 kalendářních dnech následujících ode dne předpokládaného ukončení etapy projektu);</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Times New Roman"/>
                <w:bCs/>
                <w:color w:val="000000"/>
                <w:sz w:val="20"/>
                <w:lang w:eastAsia="cs-CZ"/>
              </w:rPr>
            </w:pPr>
            <w:r w:rsidRPr="009211D0">
              <w:rPr>
                <w:rFonts w:eastAsia="Times New Roman" w:cs="Times New Roman"/>
                <w:sz w:val="20"/>
                <w:szCs w:val="20"/>
                <w:lang w:eastAsia="cs-CZ"/>
              </w:rPr>
              <w:t xml:space="preserve">2) % </w:t>
            </w:r>
            <w:r w:rsidRPr="009211D0">
              <w:rPr>
                <w:rFonts w:eastAsia="Times New Roman" w:cs="Times New Roman"/>
                <w:bCs/>
                <w:color w:val="000000"/>
                <w:sz w:val="20"/>
                <w:lang w:eastAsia="cs-CZ"/>
              </w:rPr>
              <w:t>ponížení celkových způsobilých výdajů etapy projektu při krácení etapové Žádosti o platbu.</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Článek VIII.</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Pozastavení plateb</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Poskytovatel dotace je oprávněn pozastavit proplácení dotace (a to až do doby, než příjemce zahájí nebo obnoví plnění stanovené povinnosti), pokud je při kontrole zjištěno, že příjemce: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nevede účetnictví podle zákona č. 563/1991 Sb., o účetnictví, ve znění pozdějších předpisů, nebo daňovou evidenci podle zákona č. 586/1992 Sb., o daních z příjmů, rozšířenou o níže uvedené požadavky:</w:t>
            </w:r>
          </w:p>
          <w:p w:rsidR="009211D0" w:rsidRPr="009211D0" w:rsidRDefault="009211D0" w:rsidP="009211D0">
            <w:pPr>
              <w:numPr>
                <w:ilvl w:val="0"/>
                <w:numId w:val="2"/>
              </w:num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příslušný doklad musí splňovat předepsané náležitosti účetního dokladu ve smyslu § 11 zákona č. 563/1991 Sb., o účetnictví (s výjimkou odst. 1 písm. bodu f) pro subjekty, které nevedou účetnictví, ale daňovou evidenci);</w:t>
            </w:r>
          </w:p>
          <w:p w:rsidR="009211D0" w:rsidRPr="009211D0" w:rsidRDefault="009211D0" w:rsidP="009211D0">
            <w:pPr>
              <w:numPr>
                <w:ilvl w:val="0"/>
                <w:numId w:val="2"/>
              </w:num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předmětné doklady musí být správné, úplné, průkazné, srozumitelné a průběžně chronologicky vedené způsobem zaručujícím jejich trvalost;</w:t>
            </w:r>
          </w:p>
          <w:p w:rsidR="009211D0" w:rsidRPr="009211D0" w:rsidRDefault="009211D0" w:rsidP="009211D0">
            <w:pPr>
              <w:numPr>
                <w:ilvl w:val="0"/>
                <w:numId w:val="2"/>
              </w:num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při kontrole poskytne příjemce na vyžádání kontrolnímu orgánu daňovou evidenci v plném rozsahu,</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(3)</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ascii="Calibri" w:eastAsia="Times New Roman" w:hAnsi="Calibri" w:cs="Calibri"/>
                <w:lang w:eastAsia="cs-CZ"/>
              </w:rPr>
              <w:t>neúčtuje o majetku, příjmech (pokud jsou příjmy uvedeny v rozpočtu uvedeném v těchto Podmínkách) a výdajích souvisejících s projektem (na zvláštních analytických účtech, se stejným analytickým znakem u všech aktuálních účtů projektu, na samostatné hospodářské středisko či zakázku, popř. jiným vhodným způsobem), aby bylo průkazné, zda konkrétní výdaj je či není vykazován na projekt. Pokud příjemce dotace vede daňovou evidenci, je povinen zajistit podřízenou evidenci, ve které budou rozlišeny výdaje s konkrétní vazbou na projekt. Cílem této povinnosti je zajistit, aby příjemce dotace byl schopen na vyžádání předložit kontrolním a auditním orgánům úplný přehled způsobilých výdajů (účetních operací nebo záznamů v daňové evidenci),</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(4)</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nedodržuje povinnosti publicity dle Pravidel způsobilost a publicity – obecná část, povinnosti Pravidel pro výběr dodavatelů, Pravidel pro žadatele a příjemce – obecná část, které tvoří přílohy Rozhodnutí;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(5)</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zanechal v žádosti o platbu nedostatky. V případě zjištění nedostatků v žádosti o platbu je příjemce vyzván Poskytovatelem dotace k jejich odstranění. Veškeré nedostatky v žádosti o platbu musí být odstraněny nejpozději do 20 pracovních dnů od doručení </w:t>
            </w:r>
            <w:r w:rsidRPr="009211D0">
              <w:rPr>
                <w:rFonts w:eastAsia="Times New Roman" w:cs="Calibri"/>
                <w:lang w:eastAsia="cs-CZ"/>
              </w:rPr>
              <w:lastRenderedPageBreak/>
              <w:t>první výzvy Poskytovatele dotace k jejich odstranění příjemci. Poskytovatel dotace na základě žádosti příjemce podané ve shora uvedené lhůtě prostřednictvím MS2014+ může výše uvedenou lhůtu prodloužit;</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lastRenderedPageBreak/>
              <w:t>(6)</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bCs/>
                <w:lang w:eastAsia="cs-CZ"/>
              </w:rPr>
            </w:pPr>
            <w:r w:rsidRPr="009211D0">
              <w:rPr>
                <w:rFonts w:eastAsia="Times New Roman" w:cs="Calibri"/>
                <w:bCs/>
                <w:lang w:eastAsia="cs-CZ"/>
              </w:rPr>
              <w:t>bylo u příjemce zahájeno insolvenční řízení, trestní řízení nebo vzniklo podezření na jiný typ nesrovnalosti (porušení těchto podmínek a ostatních povinností anebo jiných právních předpisů ČR a EU ze strany příjemce, které může mít finanční dopad);</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(7)</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bCs/>
                <w:lang w:eastAsia="cs-CZ"/>
              </w:rPr>
            </w:pPr>
            <w:r w:rsidRPr="009211D0">
              <w:rPr>
                <w:rFonts w:eastAsia="Times New Roman" w:cs="Calibri"/>
                <w:bCs/>
                <w:lang w:eastAsia="cs-CZ"/>
              </w:rPr>
              <w:t>neumožnil v plném rozsahu Poskytovateli dotace, resp. jiným kontrolním orgánům, provedení kontroly svého účetnictví a realizace projektu, jak vyplývá ze zákona č. 320/2001 Sb., o finanční kontrole ve veřejné správě, ve znění pozdějších předpisů, a ze zákona č. 255/2012 Sb., zákon o kontrole (kontrolní řád), ve znění pozdějších předpisů;</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(8)</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lang w:eastAsia="cs-CZ"/>
              </w:rPr>
            </w:pPr>
            <w:r w:rsidRPr="009211D0">
              <w:rPr>
                <w:rFonts w:eastAsia="Times New Roman" w:cs="Calibri"/>
                <w:lang w:eastAsia="cs-CZ"/>
              </w:rPr>
              <w:t>neposkytl kontrolním orgánům potřebné informace a doklady související s realizací projektu, neumožnil jim vstup do svých objektů a na své pozemky nebo do objektů a na pozemky, které využívá ke své činnosti související s kontrolovaným projektem;</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 xml:space="preserve"> (9)</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b/>
                <w:lang w:eastAsia="cs-CZ"/>
              </w:rPr>
            </w:pPr>
            <w:r w:rsidRPr="009211D0">
              <w:rPr>
                <w:rFonts w:eastAsia="Times New Roman" w:cs="Calibri"/>
                <w:lang w:eastAsia="cs-CZ"/>
              </w:rPr>
              <w:t>nepřijal opatření k odstranění nedostatků zjištěných při kontrole bez zbytečného odkladu nejpozději ve lhůtě stanovené kontrolním orgánem a neinformoval o splnění těchto nápravných opatření ve stanovené lhůtě kontrolní orgán, který toto nápravné opatření uložil;</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(10)</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outlineLvl w:val="2"/>
              <w:rPr>
                <w:rFonts w:eastAsia="Times New Roman" w:cs="Calibri"/>
                <w:lang w:eastAsia="cs-CZ"/>
              </w:rPr>
            </w:pPr>
            <w:r w:rsidRPr="009211D0">
              <w:rPr>
                <w:rFonts w:eastAsia="Times New Roman" w:cs="Calibri"/>
                <w:lang w:eastAsia="cs-CZ"/>
              </w:rPr>
              <w:t>který je krajem nebo obcí, nedoložil spolu s žádostí o platbu písemné potvrzení s uvedením čísla bankovního účtu, na který má být dotace převedena. Příjemce je do 30 dnů od přijetí dotace na účet povinen doručit Poskytovateli dotace kopii výpisu z bankovního účtu, kde je tato transakce zaznamenána. Tato povinnost se týká pouze příjemce dotace, který je krajem nebo obcí (nebo městem);</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(11)</w:t>
            </w:r>
          </w:p>
        </w:tc>
        <w:tc>
          <w:tcPr>
            <w:tcW w:w="8080" w:type="dxa"/>
          </w:tcPr>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neposkytl na žádost Poskytovateli dotace doplňující informace související s realizací projektu,</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(12)</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Evropská komise rozhodla u příjemce o navrácení poskytnuté veřejné podpory, která je protiprávní a neslučitelná se společným trhem a příjemce dosud nevrátil neoprávněnou podporu na účet Poskytovatele dotace.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Článek IX.</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Porušení rozpočtové kázně dle § 44 zákona č. 218/2000 Sb., rozpočtových pravidel</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Nesplnění povinností uvedených v tomto článku může být správcem daně (finančním úřadem) postiženo odvodem za porušení rozpočtové kázně.</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Příjemce je povinen archivovat veškerou dokumentaci k projektu, po dobu deseti (10) let následujících po roce, v němž byla vyplacena poslední část dotace, zároveň však nejméně do doby uplynutí tří (3) let od uzávěrky Operačního programu Podnikání a inovace pro konkurenceschopnost, pokud nebude ve zvláštní části Rozhodnutí uvedeno jinak. O uzávěrce programu bude Poskytovatel dotace příjemce vhodnou formou informovat. Porušení této povinnosti může být správcem daně postiženo odvodem za porušení rozpočtové kázně maximálně do výše částky dotace, která byla vyplacena na způsobilé výdaje, u nichž není archivace zajištěna.</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(3)</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Příjemce je povinen dodržovat ustanovení politiky EU v oblasti ochrany životního prostředí (zabránit poškozování životního prostředí nad únosnou mez především plněním požadavků zákona č. 100/2001 Sb., o posuzování vlivu na životní prostředí, ve znění pozdějších předpisů, a zákona č. 114/1992 Sb., o ochraně přírody a krajiny, ve znění pozdějších předpisů) a v oblasti rovných příležitostí (tj. především zákaz diskriminace na základě pohlaví, rasy nebo etnického původu, náboženského vyznání nebo světového názoru, zdravotního postižení, věku nebo sexuální orientace).</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Porušení této povinnosti může být správcem daně postiženo odvodem za porušení rozpočtové kázně ve výši 0 až 10 % z částky celkově proplacené dotace. Odvod za porušení rozpočtové kázně nebude vyměřen, pokud bylo totéž porušení zákona postiženo pokutou od místně příslušného orgánu ochrany životního prostředí.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lastRenderedPageBreak/>
              <w:t>(4)</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Pokud již byla příjemci proplacena dotace nebo její část, nesmí příjemce v období pěti (5) let (pokud není stanoveno jinak) od poslední přijaté platby podpory na účet příjemce, vstoupit do likvidace ani nesmí být rozhodnuto o prohlášení konkurzu na jeho majetek, pokud nebude ve zvláštní části Rozhodnutí uvedeno jinak. Pokud tyto skutečnost nastanou, je příjemce povinen bezodkladně o nich informovat Poskytovatele dotace.</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Porušení této povinnosti může být správcem daně postiženo odvodem za porušení rozpočtové kázně ve výši částky celkově proplacené dotace.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(5)</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Pokud již byla příjemci proplacena dotace nebo její část a v době udržitelnosti projektu, tj. v době pěti (5) let (pokud není stanoveno jinak), od poslední přijaté platby podpory na účet příjemce bylo vůči příjemci zahájeno insolvenční řízení, je příjemce povinen o tom bezodkladně informovat Poskytovatele dotace, a to ve lhůtě do 5 kalendářních dnů ode dne zahájení insolvenčního řízení.  </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Porušení této povinnosti může být správcem daně postiženo odvodem za porušení rozpočtové kázně ve výši 5 % z částky celkově proplacené dotace.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(6)</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SimSun" w:cs="Calibri"/>
                <w:lang w:eastAsia="cs-CZ"/>
              </w:rPr>
              <w:t>Příjemce dále nesmí po dobu pěti (5) let (pokud není stanoveno jinak) od poslední přijaté platby podpory na účet příjemce ukončit svoji podnikatelskou činnost, při níž je využíván dlouhodobý hmotný a nehmotný majetek, jehož pořizovací cena byla zahrnuta do způsobilých výdajů projektu</w:t>
            </w:r>
            <w:r w:rsidRPr="009211D0">
              <w:rPr>
                <w:rFonts w:eastAsia="Times New Roman" w:cs="Calibri"/>
                <w:lang w:eastAsia="cs-CZ"/>
              </w:rPr>
              <w:t>, pokud nebude ve zvláštní části Rozhodnutí uvedeno jinak</w:t>
            </w:r>
            <w:r w:rsidRPr="009211D0">
              <w:rPr>
                <w:rFonts w:eastAsia="SimSun" w:cs="Calibri"/>
                <w:lang w:eastAsia="cs-CZ"/>
              </w:rPr>
              <w:t xml:space="preserve">. </w:t>
            </w:r>
            <w:r w:rsidRPr="009211D0">
              <w:rPr>
                <w:rFonts w:eastAsia="SimSun" w:cs="Calibri"/>
                <w:bCs/>
                <w:lang w:eastAsia="cs-CZ"/>
              </w:rPr>
              <w:t>Datum ukončení projektu je stanoveno dle Pravidel způsobilosti a publicity.</w:t>
            </w:r>
            <w:r w:rsidRPr="009211D0">
              <w:rPr>
                <w:rFonts w:eastAsia="Times New Roman" w:cs="Calibri"/>
                <w:lang w:eastAsia="cs-CZ"/>
              </w:rPr>
              <w:t xml:space="preserve"> Porušení této povinnosti může být správcem daně postiženo odvodem za porušení rozpočtové kázně ve výši 100 % z částky celkově proplacené dotace.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(7)</w:t>
            </w:r>
          </w:p>
        </w:tc>
        <w:tc>
          <w:tcPr>
            <w:tcW w:w="8080" w:type="dxa"/>
          </w:tcPr>
          <w:p w:rsidR="009211D0" w:rsidRPr="009211D0" w:rsidRDefault="009211D0" w:rsidP="009211D0">
            <w:pPr>
              <w:autoSpaceDE w:val="0"/>
              <w:autoSpaceDN w:val="0"/>
              <w:adjustRightInd w:val="0"/>
              <w:spacing w:after="0" w:line="240" w:lineRule="auto"/>
              <w:jc w:val="both"/>
              <w:rPr>
                <w:rFonts w:eastAsia="Times New Roman" w:cs="Calibri"/>
                <w:lang w:eastAsia="cs-CZ"/>
              </w:rPr>
            </w:pPr>
            <w:r w:rsidRPr="009211D0">
              <w:rPr>
                <w:rFonts w:eastAsia="Times New Roman" w:cs="Calibri"/>
                <w:lang w:eastAsia="cs-CZ"/>
              </w:rPr>
              <w:t>Dlouhodobý hmotný a nehmotný majetek, u něhož výdaje na pořízení jsou zahrnuty do způsobilých výdajů projektu, nesmí příjemce prodat ani jinak zcizit, ani bez souhlasu poskytovatele dotace přemístit mimo podporovaný region po dobu pěti (5) let (pokud není stanoveno jinak) od poslední přijaté platby podpory na účet příjemce, pokud nebude ve zvláštní části Rozhodnutí uvedeno jinak. Podporovaným regionem se rozumí NUTS II dle Sdělení Českého statistického úřadu č. 201/2007 o aktualizaci Klasifikace územních statistických jednotek. Tato podmínka je rovněž zachována, pokud dojde k obměně (obnově), minimálně ve stejném rozsahu, majetku, jehož pořizovací cena byla zahrnuta příjemcem do způsobilých výdajů a na tyto způsobilé výdaje proplacena dotace. Příjemce je povinen o této skutečnosti (obměně/obnově majetku) informovat Poskytovatele dotace prostřednictvím MS2014+.</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(8)</w:t>
            </w:r>
          </w:p>
        </w:tc>
        <w:tc>
          <w:tcPr>
            <w:tcW w:w="8080" w:type="dxa"/>
          </w:tcPr>
          <w:p w:rsidR="009211D0" w:rsidRPr="009211D0" w:rsidRDefault="009211D0" w:rsidP="009211D0">
            <w:pPr>
              <w:autoSpaceDE w:val="0"/>
              <w:autoSpaceDN w:val="0"/>
              <w:adjustRightInd w:val="0"/>
              <w:spacing w:after="0" w:line="240" w:lineRule="auto"/>
              <w:jc w:val="both"/>
              <w:rPr>
                <w:rFonts w:eastAsia="Times New Roman" w:cs="Calibri"/>
                <w:lang w:eastAsia="cs-CZ"/>
              </w:rPr>
            </w:pPr>
            <w:r w:rsidRPr="009211D0">
              <w:rPr>
                <w:rFonts w:eastAsia="Times New Roman" w:cs="Calibri"/>
                <w:lang w:eastAsia="cs-CZ"/>
              </w:rPr>
              <w:t>Příjemce musí po celou dobu realizace projektu a po dobu pěti (5) let (pokud není stanoveno jinak) od poslední přijaté platby podpory na účet příjemce používat majetek pořízený s účastí dotace, který má ve svém vlastnictví, k podporovaným ekonomickým činnostem, pokud není výzvou stanoveno jinak.</w:t>
            </w:r>
          </w:p>
          <w:p w:rsidR="009211D0" w:rsidRPr="009211D0" w:rsidRDefault="009211D0" w:rsidP="009211D0">
            <w:pPr>
              <w:autoSpaceDE w:val="0"/>
              <w:autoSpaceDN w:val="0"/>
              <w:adjustRightInd w:val="0"/>
              <w:spacing w:after="0" w:line="240" w:lineRule="auto"/>
              <w:jc w:val="both"/>
              <w:rPr>
                <w:rFonts w:eastAsia="Times New Roman" w:cs="Calibri"/>
                <w:lang w:eastAsia="cs-CZ"/>
              </w:rPr>
            </w:pPr>
            <w:r w:rsidRPr="009211D0">
              <w:rPr>
                <w:rFonts w:eastAsia="Times New Roman" w:cs="Calibri"/>
                <w:lang w:eastAsia="cs-CZ"/>
              </w:rPr>
              <w:t xml:space="preserve">Porušení této povinnosti může být správcem daně postiženo odvodem za porušení rozpočtové kázně ve výši odpovídající maximálně částce dotace, která byla proplacena na způsobilé výdaje vztahující se k pořizovacím nákladům předmětného majetku. </w:t>
            </w:r>
          </w:p>
        </w:tc>
      </w:tr>
      <w:tr w:rsidR="009211D0" w:rsidRPr="009211D0" w:rsidTr="00335EF8">
        <w:tc>
          <w:tcPr>
            <w:tcW w:w="1560" w:type="dxa"/>
          </w:tcPr>
          <w:p w:rsidR="009211D0" w:rsidRPr="009211D0" w:rsidDel="00A57A1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(9)</w:t>
            </w:r>
          </w:p>
        </w:tc>
        <w:tc>
          <w:tcPr>
            <w:tcW w:w="8080" w:type="dxa"/>
          </w:tcPr>
          <w:p w:rsidR="009211D0" w:rsidRPr="009211D0" w:rsidDel="00A57A10" w:rsidRDefault="009211D0" w:rsidP="009211D0">
            <w:pPr>
              <w:autoSpaceDE w:val="0"/>
              <w:autoSpaceDN w:val="0"/>
              <w:adjustRightInd w:val="0"/>
              <w:spacing w:after="0" w:line="240" w:lineRule="auto"/>
              <w:jc w:val="both"/>
              <w:rPr>
                <w:rFonts w:eastAsia="Times New Roman" w:cs="Calibri"/>
                <w:lang w:eastAsia="cs-CZ"/>
              </w:rPr>
            </w:pPr>
            <w:r w:rsidRPr="009211D0">
              <w:rPr>
                <w:rFonts w:eastAsia="Times New Roman" w:cs="Calibri"/>
                <w:lang w:eastAsia="cs-CZ"/>
              </w:rPr>
              <w:t>Pokud příjemce zahrne do způsobilých výdajů projektu technické zhodnocení majetku, který má v pronájmu, je povinen získat předem souhlas pronajímatele s tímto technickým zhodnocením a dále je povinen zajistit, že pokud by byl nájemní vztah ukončen do pěti (5) let (pokud není stanoveno jinak) od poslední přijaté platby podpory na účet příjemce (pokud nebude ve zvláštní části podmínek uvedeno jinak), dojde k finančnímu vypořádání vztahů souvisejících s tímto technickým zhodnocením v souladu s § 2220 odst. 1 občanského zákoníku v platném znění.</w:t>
            </w:r>
          </w:p>
        </w:tc>
      </w:tr>
      <w:tr w:rsidR="009211D0" w:rsidRPr="009211D0" w:rsidTr="00335EF8">
        <w:tc>
          <w:tcPr>
            <w:tcW w:w="1560" w:type="dxa"/>
          </w:tcPr>
          <w:p w:rsidR="009211D0" w:rsidRPr="009211D0" w:rsidRDefault="009211D0" w:rsidP="009211D0">
            <w:pPr>
              <w:shd w:val="clear" w:color="auto" w:fill="FFFFFF"/>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(10)</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 Příjemce nesmí přenechat dlouhodobý hmotný a nehmotný majetek k užití jinému (zejména formou nájmu, výprosy, výpůjčky) bez předchozího písemného souhlasu Poskytovatele dotace po dobu pěti (5) let od poslední přijaté platby na účet příjemce, a </w:t>
            </w:r>
            <w:r w:rsidRPr="009211D0">
              <w:rPr>
                <w:rFonts w:eastAsia="Times New Roman" w:cs="Calibri"/>
                <w:lang w:eastAsia="cs-CZ"/>
              </w:rPr>
              <w:lastRenderedPageBreak/>
              <w:t xml:space="preserve">rovněž v průběhu realizace projektu. </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Porušení této povinnosti může být správcem daně postiženo odvodem za porušení rozpočtové kázně ve výši 20 % z částky celkově proplacené dotace na způsobilé výdaje vztahující se k pořizovací ceně pronajatého majetku za každý celý rok, po který porušení této povinnosti trvá.</w:t>
            </w:r>
          </w:p>
        </w:tc>
      </w:tr>
      <w:tr w:rsidR="009211D0" w:rsidRPr="009211D0" w:rsidTr="00335EF8">
        <w:trPr>
          <w:trHeight w:val="4585"/>
        </w:trPr>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lastRenderedPageBreak/>
              <w:t>(11)</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Příjemce je povinen na písemnou výzvu Poskytovatele dotace vrátit část nebo celou proplacenou dotaci na účet Poskytovatele dotace v termínu stanoveném Poskytovatelem dotace, pokud:</w:t>
            </w:r>
          </w:p>
          <w:p w:rsidR="009211D0" w:rsidRPr="009211D0" w:rsidRDefault="009211D0" w:rsidP="009211D0">
            <w:pPr>
              <w:shd w:val="clear" w:color="auto" w:fill="FFFFFF"/>
              <w:overflowPunct w:val="0"/>
              <w:autoSpaceDE w:val="0"/>
              <w:autoSpaceDN w:val="0"/>
              <w:adjustRightInd w:val="0"/>
              <w:spacing w:after="0" w:line="240" w:lineRule="auto"/>
              <w:ind w:left="680"/>
              <w:jc w:val="both"/>
              <w:textAlignment w:val="baseline"/>
              <w:rPr>
                <w:rFonts w:eastAsia="Times New Roman" w:cs="Calibri"/>
                <w:lang w:eastAsia="cs-CZ"/>
              </w:rPr>
            </w:pPr>
            <w:r w:rsidRPr="009211D0">
              <w:rPr>
                <w:rFonts w:eastAsia="Times New Roman" w:cs="Calibri"/>
                <w:lang w:eastAsia="cs-CZ"/>
              </w:rPr>
              <w:t>a) Poskytovatel dotace dodatečně po proplacení prokáže, že výdaj, na který byla proplacena dotace, nebyl způsobilý,</w:t>
            </w:r>
          </w:p>
          <w:p w:rsidR="009211D0" w:rsidRPr="009211D0" w:rsidRDefault="009211D0" w:rsidP="009211D0">
            <w:pPr>
              <w:shd w:val="clear" w:color="auto" w:fill="FFFFFF"/>
              <w:overflowPunct w:val="0"/>
              <w:autoSpaceDE w:val="0"/>
              <w:autoSpaceDN w:val="0"/>
              <w:adjustRightInd w:val="0"/>
              <w:spacing w:after="0" w:line="240" w:lineRule="auto"/>
              <w:ind w:left="680"/>
              <w:jc w:val="both"/>
              <w:textAlignment w:val="baseline"/>
              <w:rPr>
                <w:rFonts w:eastAsia="Times New Roman" w:cs="Calibri"/>
                <w:lang w:eastAsia="cs-CZ"/>
              </w:rPr>
            </w:pPr>
            <w:r w:rsidRPr="009211D0">
              <w:rPr>
                <w:rFonts w:eastAsia="Times New Roman" w:cs="Calibri"/>
                <w:lang w:eastAsia="cs-CZ"/>
              </w:rPr>
              <w:t>b) Poskytovatel dotace dodatečně po proplacení prokáže, že informace a podklady předané příjemcem spolu s žádostí o podporu nebo žádostí o platbu nebyly úplné a pravdivé;</w:t>
            </w:r>
          </w:p>
          <w:p w:rsidR="009211D0" w:rsidRPr="009211D0" w:rsidRDefault="009211D0" w:rsidP="009211D0">
            <w:pPr>
              <w:shd w:val="clear" w:color="auto" w:fill="FFFFFF"/>
              <w:overflowPunct w:val="0"/>
              <w:autoSpaceDE w:val="0"/>
              <w:autoSpaceDN w:val="0"/>
              <w:adjustRightInd w:val="0"/>
              <w:spacing w:after="0" w:line="240" w:lineRule="auto"/>
              <w:ind w:left="680"/>
              <w:jc w:val="both"/>
              <w:textAlignment w:val="baseline"/>
              <w:rPr>
                <w:rFonts w:eastAsia="Times New Roman" w:cs="Calibri"/>
                <w:lang w:eastAsia="cs-CZ"/>
              </w:rPr>
            </w:pPr>
            <w:r w:rsidRPr="009211D0">
              <w:rPr>
                <w:rFonts w:eastAsia="Times New Roman" w:cs="Calibri"/>
                <w:lang w:eastAsia="cs-CZ"/>
              </w:rPr>
              <w:t>c) Evropská komise rozhodne u projektu o poskytnuté veřejné podpoře, která je protiprávní a neslučitelná se společným trhem;</w:t>
            </w:r>
          </w:p>
          <w:p w:rsidR="009211D0" w:rsidRPr="009211D0" w:rsidRDefault="009211D0" w:rsidP="009211D0">
            <w:pPr>
              <w:shd w:val="clear" w:color="auto" w:fill="FFFFFF"/>
              <w:overflowPunct w:val="0"/>
              <w:autoSpaceDE w:val="0"/>
              <w:autoSpaceDN w:val="0"/>
              <w:adjustRightInd w:val="0"/>
              <w:spacing w:after="0" w:line="240" w:lineRule="auto"/>
              <w:ind w:left="680"/>
              <w:jc w:val="both"/>
              <w:textAlignment w:val="baseline"/>
              <w:rPr>
                <w:rFonts w:eastAsia="Times New Roman" w:cs="Calibri"/>
                <w:lang w:eastAsia="cs-CZ"/>
              </w:rPr>
            </w:pPr>
            <w:r w:rsidRPr="009211D0">
              <w:rPr>
                <w:rFonts w:eastAsia="Times New Roman" w:cs="Calibri"/>
                <w:lang w:eastAsia="cs-CZ"/>
              </w:rPr>
              <w:t xml:space="preserve"> d) dojde ke kombinaci veřejné podpory;</w:t>
            </w:r>
          </w:p>
          <w:p w:rsidR="009211D0" w:rsidRPr="009211D0" w:rsidRDefault="009211D0" w:rsidP="009211D0">
            <w:pPr>
              <w:shd w:val="clear" w:color="auto" w:fill="FFFFFF"/>
              <w:overflowPunct w:val="0"/>
              <w:autoSpaceDE w:val="0"/>
              <w:autoSpaceDN w:val="0"/>
              <w:adjustRightInd w:val="0"/>
              <w:spacing w:after="0" w:line="240" w:lineRule="auto"/>
              <w:ind w:left="680"/>
              <w:jc w:val="both"/>
              <w:textAlignment w:val="baseline"/>
              <w:rPr>
                <w:rFonts w:eastAsia="Times New Roman" w:cs="Calibri"/>
                <w:lang w:eastAsia="cs-CZ"/>
              </w:rPr>
            </w:pPr>
            <w:r w:rsidRPr="009211D0">
              <w:rPr>
                <w:rFonts w:eastAsia="Times New Roman" w:cs="Calibri"/>
                <w:lang w:eastAsia="cs-CZ"/>
              </w:rPr>
              <w:t>e) dojde k porušení Podmínek a ostatních povinností příjemce,</w:t>
            </w:r>
          </w:p>
          <w:p w:rsidR="009211D0" w:rsidRPr="009211D0" w:rsidRDefault="009211D0" w:rsidP="009211D0">
            <w:pPr>
              <w:shd w:val="clear" w:color="auto" w:fill="FFFFFF"/>
              <w:overflowPunct w:val="0"/>
              <w:autoSpaceDE w:val="0"/>
              <w:autoSpaceDN w:val="0"/>
              <w:adjustRightInd w:val="0"/>
              <w:spacing w:after="0" w:line="240" w:lineRule="auto"/>
              <w:ind w:left="680"/>
              <w:jc w:val="both"/>
              <w:textAlignment w:val="baseline"/>
              <w:rPr>
                <w:rFonts w:eastAsia="Times New Roman" w:cs="Calibri"/>
                <w:lang w:eastAsia="cs-CZ"/>
              </w:rPr>
            </w:pPr>
            <w:r w:rsidRPr="009211D0">
              <w:rPr>
                <w:rFonts w:eastAsia="Times New Roman" w:cs="Calibri"/>
                <w:lang w:eastAsia="cs-CZ"/>
              </w:rPr>
              <w:t xml:space="preserve">f) příjemce neplní podmínky udržitelnosti projektu po proplacení dotace. </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Porušení této povinnosti může být správcem daně postiženo odvodem za porušení rozpočtové kázně ve výši nejvýše částky dotace, která byla Poskytovatelem dotace požadována k navrácení na účet Poskytovatele dotace.</w:t>
            </w:r>
          </w:p>
        </w:tc>
      </w:tr>
      <w:tr w:rsidR="009211D0" w:rsidRPr="009211D0" w:rsidTr="00335EF8">
        <w:trPr>
          <w:trHeight w:val="1418"/>
        </w:trPr>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(12)</w:t>
            </w:r>
          </w:p>
        </w:tc>
        <w:tc>
          <w:tcPr>
            <w:tcW w:w="8080" w:type="dxa"/>
          </w:tcPr>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Příjemce je povinen zavázat dodavatele předkládat k proplacení pouze faktury, které obsahují registrační číslo projektu. V odůvodněných případech je příjemci umožněno, aby doklady označil názvem a registračním číslem projektu sám před jejich uplatněním v žádosti o platbu.</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(13)</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Příjemce je povinen předávat Poskytovateli dotace prostřednictvím informačního systému údaje nezbytné pro sledování hodnot indikátorů a umožnit tak Poskytovateli dotace průběžné sledování přínosů projektu:</w:t>
            </w:r>
          </w:p>
          <w:p w:rsidR="009211D0" w:rsidRPr="009211D0" w:rsidRDefault="009211D0" w:rsidP="009211D0">
            <w:pPr>
              <w:numPr>
                <w:ilvl w:val="1"/>
                <w:numId w:val="1"/>
              </w:numPr>
              <w:shd w:val="clear" w:color="auto" w:fill="FFFFFF"/>
              <w:overflowPunct w:val="0"/>
              <w:autoSpaceDE w:val="0"/>
              <w:autoSpaceDN w:val="0"/>
              <w:adjustRightInd w:val="0"/>
              <w:spacing w:after="0" w:line="240" w:lineRule="auto"/>
              <w:jc w:val="both"/>
              <w:textAlignment w:val="baseline"/>
              <w:rPr>
                <w:rFonts w:eastAsia="Times New Roman" w:cs="Calibri"/>
                <w:b/>
                <w:bCs/>
                <w:lang w:eastAsia="cs-CZ"/>
              </w:rPr>
            </w:pPr>
            <w:r w:rsidRPr="009211D0">
              <w:rPr>
                <w:rFonts w:eastAsia="Times New Roman" w:cs="Calibri"/>
                <w:lang w:eastAsia="cs-CZ"/>
              </w:rPr>
              <w:t xml:space="preserve">poskytnout vstupní informace při podání žádosti o podporu; </w:t>
            </w:r>
          </w:p>
          <w:p w:rsidR="009211D0" w:rsidRPr="009211D0" w:rsidRDefault="009211D0" w:rsidP="009211D0">
            <w:pPr>
              <w:numPr>
                <w:ilvl w:val="1"/>
                <w:numId w:val="1"/>
              </w:numPr>
              <w:shd w:val="clear" w:color="auto" w:fill="FFFFFF"/>
              <w:overflowPunct w:val="0"/>
              <w:autoSpaceDE w:val="0"/>
              <w:autoSpaceDN w:val="0"/>
              <w:adjustRightInd w:val="0"/>
              <w:spacing w:after="0" w:line="240" w:lineRule="auto"/>
              <w:jc w:val="both"/>
              <w:textAlignment w:val="baseline"/>
              <w:rPr>
                <w:rFonts w:eastAsia="Times New Roman" w:cs="Calibri"/>
                <w:b/>
                <w:bCs/>
                <w:lang w:eastAsia="cs-CZ"/>
              </w:rPr>
            </w:pPr>
            <w:r w:rsidRPr="009211D0">
              <w:rPr>
                <w:rFonts w:eastAsia="Times New Roman" w:cs="Calibri"/>
                <w:lang w:eastAsia="cs-CZ"/>
              </w:rPr>
              <w:t xml:space="preserve">předkládat Poskytovateli dotace průběžně informace o realizaci projektu (při poslední etapě včetně závěrečného vyhodnocení projektu včetně uvedení hodnot indikátoru) Termíny pro předkládání zpráv o průběhu realizace stanovené v Harmonogramu zpráv vedeném MS2014+ jsou pro příjemce doporučené. </w:t>
            </w:r>
          </w:p>
          <w:p w:rsidR="009211D0" w:rsidRPr="009211D0" w:rsidRDefault="009211D0" w:rsidP="009211D0">
            <w:pPr>
              <w:numPr>
                <w:ilvl w:val="1"/>
                <w:numId w:val="1"/>
              </w:numPr>
              <w:shd w:val="clear" w:color="auto" w:fill="FFFFFF"/>
              <w:overflowPunct w:val="0"/>
              <w:autoSpaceDE w:val="0"/>
              <w:autoSpaceDN w:val="0"/>
              <w:adjustRightInd w:val="0"/>
              <w:spacing w:after="0" w:line="240" w:lineRule="auto"/>
              <w:jc w:val="both"/>
              <w:textAlignment w:val="baseline"/>
              <w:rPr>
                <w:rFonts w:eastAsia="Times New Roman" w:cs="Calibri"/>
                <w:b/>
                <w:bCs/>
                <w:lang w:eastAsia="cs-CZ"/>
              </w:rPr>
            </w:pPr>
            <w:r w:rsidRPr="009211D0">
              <w:rPr>
                <w:rFonts w:eastAsia="Times New Roman" w:cs="Calibri"/>
                <w:lang w:eastAsia="cs-CZ"/>
              </w:rPr>
              <w:t xml:space="preserve">předkládat Poskytovateli dotace po ukončení projektu údaje o vývoji indikátorů a požadovaných hodnot. Termíny pro předkládání zpráv po ukončení projektu jsou stanovené v Harmonogramu zpráv vedeném v informačním systému. Příjemce může písemně přes depeše v MS2014+ požádat o prodloužení termínu udržitelnosti.  Spolu s těmito údaji předává příjemce i přílohy dle MS2014+.  Tato žádost musí být podána nejpozději 14 dnů před uplynutím lhůty, kdy má být daná povinnost splněna. Poskytovatel dotace o této změně rozhodne v souladu § 14 odst. 13 písm. a) Rozpočtových pravidel. Nedodržení této lhůty povede k zamítnutí uvedené žádosti. </w:t>
            </w:r>
          </w:p>
          <w:p w:rsidR="009211D0" w:rsidRPr="009211D0" w:rsidRDefault="009211D0" w:rsidP="009211D0">
            <w:pPr>
              <w:shd w:val="clear" w:color="auto" w:fill="FFFFFF"/>
              <w:tabs>
                <w:tab w:val="num" w:pos="1134"/>
              </w:tabs>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Příjemce je povinen předávat údaje ve struktuře stanovené v informačním systému. </w:t>
            </w:r>
          </w:p>
        </w:tc>
      </w:tr>
    </w:tbl>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sectPr w:rsidR="009211D0" w:rsidRPr="009211D0">
          <w:headerReference w:type="default" r:id="rId10"/>
          <w:footerReference w:type="default" r:id="rId11"/>
          <w:pgSz w:w="11906" w:h="16838"/>
          <w:pgMar w:top="1417" w:right="1417" w:bottom="1417" w:left="1417" w:header="708" w:footer="708" w:gutter="0"/>
          <w:cols w:space="708"/>
          <w:docGrid w:linePitch="360"/>
        </w:sect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9072"/>
      </w:tblGrid>
      <w:tr w:rsidR="009211D0" w:rsidRPr="009211D0" w:rsidTr="00335EF8">
        <w:tc>
          <w:tcPr>
            <w:tcW w:w="851" w:type="dxa"/>
          </w:tcPr>
          <w:p w:rsidR="009211D0" w:rsidRPr="009211D0" w:rsidRDefault="009211D0" w:rsidP="009211D0">
            <w:pPr>
              <w:keepNext/>
              <w:overflowPunct w:val="0"/>
              <w:autoSpaceDE w:val="0"/>
              <w:autoSpaceDN w:val="0"/>
              <w:adjustRightInd w:val="0"/>
              <w:spacing w:after="0" w:line="240" w:lineRule="auto"/>
              <w:jc w:val="center"/>
              <w:textAlignment w:val="baseline"/>
              <w:outlineLvl w:val="2"/>
              <w:rPr>
                <w:rFonts w:eastAsia="Times New Roman" w:cs="Calibri"/>
                <w:bCs/>
                <w:lang w:eastAsia="cs-CZ"/>
              </w:rPr>
            </w:pPr>
            <w:r w:rsidRPr="009211D0">
              <w:rPr>
                <w:rFonts w:eastAsia="Times New Roman" w:cs="Calibri"/>
                <w:lang w:eastAsia="cs-CZ"/>
              </w:rPr>
              <w:lastRenderedPageBreak/>
              <w:t>Článek X.</w:t>
            </w:r>
          </w:p>
        </w:tc>
        <w:tc>
          <w:tcPr>
            <w:tcW w:w="9072" w:type="dxa"/>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Rozpočet</w:t>
            </w:r>
          </w:p>
        </w:tc>
      </w:tr>
    </w:tbl>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p>
    <w:tbl>
      <w:tblPr>
        <w:tblW w:w="14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480"/>
        <w:gridCol w:w="1480"/>
        <w:gridCol w:w="1481"/>
        <w:gridCol w:w="1480"/>
        <w:gridCol w:w="1481"/>
        <w:gridCol w:w="1480"/>
        <w:gridCol w:w="1481"/>
        <w:gridCol w:w="1480"/>
        <w:gridCol w:w="1481"/>
      </w:tblGrid>
      <w:tr w:rsidR="009211D0" w:rsidRPr="009211D0" w:rsidTr="00335EF8">
        <w:trPr>
          <w:cantSplit/>
        </w:trPr>
        <w:tc>
          <w:tcPr>
            <w:tcW w:w="1136"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Číslo položky</w:t>
            </w:r>
          </w:p>
        </w:tc>
        <w:tc>
          <w:tcPr>
            <w:tcW w:w="1480"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1.2.1.1</w:t>
            </w:r>
          </w:p>
        </w:tc>
        <w:tc>
          <w:tcPr>
            <w:tcW w:w="1480"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p>
        </w:tc>
        <w:tc>
          <w:tcPr>
            <w:tcW w:w="1481"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1.2.2.1</w:t>
            </w:r>
          </w:p>
        </w:tc>
        <w:tc>
          <w:tcPr>
            <w:tcW w:w="1480"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1.2.2.2</w:t>
            </w:r>
          </w:p>
        </w:tc>
        <w:tc>
          <w:tcPr>
            <w:tcW w:w="1481"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1.2.2.3</w:t>
            </w:r>
          </w:p>
        </w:tc>
        <w:tc>
          <w:tcPr>
            <w:tcW w:w="1480"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1.2.2.4</w:t>
            </w:r>
          </w:p>
        </w:tc>
        <w:tc>
          <w:tcPr>
            <w:tcW w:w="1481"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b/>
                <w:lang w:eastAsia="cs-CZ"/>
              </w:rPr>
            </w:pPr>
          </w:p>
        </w:tc>
        <w:tc>
          <w:tcPr>
            <w:tcW w:w="1480"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p>
        </w:tc>
        <w:tc>
          <w:tcPr>
            <w:tcW w:w="1481"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p>
        </w:tc>
      </w:tr>
      <w:tr w:rsidR="009211D0" w:rsidRPr="009211D0" w:rsidTr="00335EF8">
        <w:trPr>
          <w:cantSplit/>
        </w:trPr>
        <w:tc>
          <w:tcPr>
            <w:tcW w:w="1136"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b/>
                <w:bCs/>
                <w:lang w:eastAsia="cs-CZ"/>
              </w:rPr>
            </w:pPr>
            <w:r w:rsidRPr="009211D0">
              <w:rPr>
                <w:rFonts w:eastAsia="Times New Roman" w:cs="Calibri"/>
                <w:b/>
                <w:bCs/>
                <w:lang w:eastAsia="cs-CZ"/>
              </w:rPr>
              <w:t>Název položky</w:t>
            </w:r>
          </w:p>
        </w:tc>
        <w:tc>
          <w:tcPr>
            <w:tcW w:w="1480"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 xml:space="preserve">Dlouhodobý hmotný a nehmotný </w:t>
            </w:r>
            <w:proofErr w:type="gramStart"/>
            <w:r w:rsidRPr="009211D0">
              <w:rPr>
                <w:rFonts w:eastAsia="Times New Roman" w:cs="Calibri"/>
                <w:lang w:eastAsia="cs-CZ"/>
              </w:rPr>
              <w:t>majetek     (DE</w:t>
            </w:r>
            <w:proofErr w:type="gramEnd"/>
            <w:r w:rsidRPr="009211D0">
              <w:rPr>
                <w:rFonts w:eastAsia="Times New Roman" w:cs="Calibri"/>
                <w:lang w:eastAsia="cs-CZ"/>
              </w:rPr>
              <w:t xml:space="preserve"> MINIMIS)</w:t>
            </w:r>
          </w:p>
        </w:tc>
        <w:tc>
          <w:tcPr>
            <w:tcW w:w="1480"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b/>
                <w:lang w:eastAsia="cs-CZ"/>
              </w:rPr>
              <w:t>Celkem způsobilé investiční výdaje</w:t>
            </w:r>
          </w:p>
        </w:tc>
        <w:tc>
          <w:tcPr>
            <w:tcW w:w="1481"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Osobní náklady</w:t>
            </w:r>
          </w:p>
        </w:tc>
        <w:tc>
          <w:tcPr>
            <w:tcW w:w="1480"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Nájemné</w:t>
            </w:r>
          </w:p>
        </w:tc>
        <w:tc>
          <w:tcPr>
            <w:tcW w:w="1481"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Služby poradců, expertů, studie</w:t>
            </w:r>
          </w:p>
        </w:tc>
        <w:tc>
          <w:tcPr>
            <w:tcW w:w="1480"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Ostatní výdaje neinvestiční (DE MINIMIS)</w:t>
            </w:r>
          </w:p>
        </w:tc>
        <w:tc>
          <w:tcPr>
            <w:tcW w:w="1481"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Celkem způsobilé neinvestiční výdaje</w:t>
            </w:r>
          </w:p>
        </w:tc>
        <w:tc>
          <w:tcPr>
            <w:tcW w:w="1480"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b/>
                <w:lang w:eastAsia="cs-CZ"/>
              </w:rPr>
              <w:t xml:space="preserve">Celkem de </w:t>
            </w:r>
            <w:proofErr w:type="spellStart"/>
            <w:r w:rsidRPr="009211D0">
              <w:rPr>
                <w:rFonts w:eastAsia="Times New Roman" w:cs="Calibri"/>
                <w:b/>
                <w:lang w:eastAsia="cs-CZ"/>
              </w:rPr>
              <w:t>minimis</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b/>
                <w:lang w:eastAsia="cs-CZ"/>
              </w:rPr>
              <w:t>Celkem způsobilé výdaje</w:t>
            </w:r>
          </w:p>
        </w:tc>
      </w:tr>
      <w:tr w:rsidR="009211D0" w:rsidRPr="009211D0" w:rsidTr="00335EF8">
        <w:trPr>
          <w:cantSplit/>
        </w:trPr>
        <w:tc>
          <w:tcPr>
            <w:tcW w:w="1136"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b/>
                <w:bCs/>
                <w:lang w:eastAsia="cs-CZ"/>
              </w:rPr>
            </w:pPr>
            <w:r w:rsidRPr="009211D0">
              <w:rPr>
                <w:rFonts w:eastAsia="Times New Roman" w:cs="Calibri"/>
                <w:b/>
                <w:bCs/>
                <w:lang w:eastAsia="cs-CZ"/>
              </w:rPr>
              <w:t>Max. míra podpory</w:t>
            </w:r>
          </w:p>
        </w:tc>
        <w:tc>
          <w:tcPr>
            <w:tcW w:w="1480"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Dle rozhodnutí</w:t>
            </w:r>
          </w:p>
        </w:tc>
        <w:tc>
          <w:tcPr>
            <w:tcW w:w="1480"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w:t>
            </w:r>
          </w:p>
        </w:tc>
        <w:tc>
          <w:tcPr>
            <w:tcW w:w="1481"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Dle rozhodnutí</w:t>
            </w:r>
          </w:p>
        </w:tc>
        <w:tc>
          <w:tcPr>
            <w:tcW w:w="1480"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Dle rozhodnutí</w:t>
            </w:r>
          </w:p>
        </w:tc>
        <w:tc>
          <w:tcPr>
            <w:tcW w:w="1481"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Dle rozhodnutí</w:t>
            </w:r>
          </w:p>
        </w:tc>
        <w:tc>
          <w:tcPr>
            <w:tcW w:w="1480"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Dle rozhodnutí</w:t>
            </w:r>
          </w:p>
        </w:tc>
        <w:tc>
          <w:tcPr>
            <w:tcW w:w="1481"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w:t>
            </w:r>
          </w:p>
        </w:tc>
        <w:tc>
          <w:tcPr>
            <w:tcW w:w="1480"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w:t>
            </w:r>
          </w:p>
        </w:tc>
        <w:tc>
          <w:tcPr>
            <w:tcW w:w="1481" w:type="dxa"/>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w:t>
            </w:r>
          </w:p>
        </w:tc>
      </w:tr>
      <w:tr w:rsidR="009211D0" w:rsidRPr="009211D0" w:rsidTr="00335EF8">
        <w:tc>
          <w:tcPr>
            <w:tcW w:w="1136" w:type="dxa"/>
            <w:tcBorders>
              <w:top w:val="double" w:sz="4" w:space="0" w:color="auto"/>
              <w:left w:val="single" w:sz="4" w:space="0" w:color="auto"/>
              <w:bottom w:val="single" w:sz="4" w:space="0" w:color="auto"/>
              <w:right w:val="single" w:sz="4" w:space="0" w:color="auto"/>
            </w:tcBorders>
            <w:vAlign w:val="center"/>
            <w:hideMark/>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Celkem za projekt</w:t>
            </w:r>
          </w:p>
        </w:tc>
        <w:tc>
          <w:tcPr>
            <w:tcW w:w="1480" w:type="dxa"/>
            <w:tcBorders>
              <w:top w:val="double" w:sz="4" w:space="0" w:color="auto"/>
              <w:left w:val="single" w:sz="4" w:space="0" w:color="auto"/>
              <w:bottom w:val="single" w:sz="4" w:space="0" w:color="auto"/>
              <w:right w:val="single" w:sz="4" w:space="0" w:color="auto"/>
            </w:tcBorders>
            <w:vAlign w:val="center"/>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0 Kč</w:t>
            </w:r>
          </w:p>
        </w:tc>
        <w:tc>
          <w:tcPr>
            <w:tcW w:w="1480" w:type="dxa"/>
            <w:tcBorders>
              <w:top w:val="double" w:sz="4" w:space="0" w:color="auto"/>
              <w:left w:val="single" w:sz="4" w:space="0" w:color="auto"/>
              <w:bottom w:val="single" w:sz="4" w:space="0" w:color="auto"/>
              <w:right w:val="single" w:sz="4" w:space="0" w:color="auto"/>
            </w:tcBorders>
            <w:vAlign w:val="center"/>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0 Kč</w:t>
            </w:r>
          </w:p>
        </w:tc>
        <w:tc>
          <w:tcPr>
            <w:tcW w:w="1481" w:type="dxa"/>
            <w:tcBorders>
              <w:top w:val="double" w:sz="4" w:space="0" w:color="auto"/>
              <w:left w:val="single" w:sz="4" w:space="0" w:color="auto"/>
              <w:bottom w:val="single" w:sz="4" w:space="0" w:color="auto"/>
              <w:right w:val="single" w:sz="4" w:space="0" w:color="auto"/>
            </w:tcBorders>
            <w:vAlign w:val="center"/>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36 340 800 Kč</w:t>
            </w:r>
          </w:p>
        </w:tc>
        <w:tc>
          <w:tcPr>
            <w:tcW w:w="1480" w:type="dxa"/>
            <w:tcBorders>
              <w:top w:val="double" w:sz="4" w:space="0" w:color="auto"/>
              <w:left w:val="single" w:sz="4" w:space="0" w:color="auto"/>
              <w:bottom w:val="single" w:sz="4" w:space="0" w:color="auto"/>
              <w:right w:val="single" w:sz="4" w:space="0" w:color="auto"/>
            </w:tcBorders>
            <w:vAlign w:val="center"/>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0 Kč</w:t>
            </w:r>
          </w:p>
        </w:tc>
        <w:tc>
          <w:tcPr>
            <w:tcW w:w="1481" w:type="dxa"/>
            <w:tcBorders>
              <w:top w:val="double" w:sz="4" w:space="0" w:color="auto"/>
              <w:left w:val="single" w:sz="4" w:space="0" w:color="auto"/>
              <w:bottom w:val="single" w:sz="4" w:space="0" w:color="auto"/>
              <w:right w:val="single" w:sz="4" w:space="0" w:color="auto"/>
            </w:tcBorders>
            <w:vAlign w:val="center"/>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0 Kč</w:t>
            </w:r>
          </w:p>
        </w:tc>
        <w:tc>
          <w:tcPr>
            <w:tcW w:w="1480" w:type="dxa"/>
            <w:tcBorders>
              <w:top w:val="double" w:sz="4" w:space="0" w:color="auto"/>
              <w:left w:val="single" w:sz="4" w:space="0" w:color="auto"/>
              <w:bottom w:val="single" w:sz="4" w:space="0" w:color="auto"/>
              <w:right w:val="single" w:sz="4" w:space="0" w:color="auto"/>
            </w:tcBorders>
            <w:vAlign w:val="center"/>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0 Kč</w:t>
            </w:r>
          </w:p>
        </w:tc>
        <w:tc>
          <w:tcPr>
            <w:tcW w:w="1481" w:type="dxa"/>
            <w:tcBorders>
              <w:top w:val="double" w:sz="4" w:space="0" w:color="auto"/>
              <w:left w:val="single" w:sz="4" w:space="0" w:color="auto"/>
              <w:bottom w:val="single" w:sz="4" w:space="0" w:color="auto"/>
              <w:right w:val="single" w:sz="4" w:space="0" w:color="auto"/>
            </w:tcBorders>
            <w:vAlign w:val="center"/>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36 340 800 Kč</w:t>
            </w:r>
          </w:p>
        </w:tc>
        <w:tc>
          <w:tcPr>
            <w:tcW w:w="1480" w:type="dxa"/>
            <w:tcBorders>
              <w:top w:val="double" w:sz="4" w:space="0" w:color="auto"/>
              <w:left w:val="single" w:sz="4" w:space="0" w:color="auto"/>
              <w:bottom w:val="single" w:sz="4" w:space="0" w:color="auto"/>
              <w:right w:val="single" w:sz="4" w:space="0" w:color="auto"/>
            </w:tcBorders>
            <w:vAlign w:val="center"/>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0 Kč</w:t>
            </w:r>
          </w:p>
        </w:tc>
        <w:tc>
          <w:tcPr>
            <w:tcW w:w="1481" w:type="dxa"/>
            <w:tcBorders>
              <w:top w:val="double" w:sz="4" w:space="0" w:color="auto"/>
              <w:left w:val="single" w:sz="4" w:space="0" w:color="auto"/>
              <w:bottom w:val="single" w:sz="4" w:space="0" w:color="auto"/>
              <w:right w:val="single" w:sz="4" w:space="0" w:color="auto"/>
            </w:tcBorders>
            <w:vAlign w:val="center"/>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b/>
                <w:lang w:eastAsia="cs-CZ"/>
              </w:rPr>
            </w:pPr>
            <w:r w:rsidRPr="009211D0">
              <w:rPr>
                <w:rFonts w:eastAsia="Times New Roman" w:cs="Calibri"/>
                <w:b/>
                <w:lang w:eastAsia="cs-CZ"/>
              </w:rPr>
              <w:t>36 340 800 Kč</w:t>
            </w:r>
          </w:p>
        </w:tc>
      </w:tr>
    </w:tbl>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9072"/>
      </w:tblGrid>
      <w:tr w:rsidR="009211D0" w:rsidRPr="009211D0" w:rsidTr="00335EF8">
        <w:tc>
          <w:tcPr>
            <w:tcW w:w="851" w:type="dxa"/>
          </w:tcPr>
          <w:p w:rsidR="009211D0" w:rsidRPr="009211D0" w:rsidRDefault="009211D0" w:rsidP="009211D0">
            <w:pPr>
              <w:keepNext/>
              <w:overflowPunct w:val="0"/>
              <w:autoSpaceDE w:val="0"/>
              <w:autoSpaceDN w:val="0"/>
              <w:adjustRightInd w:val="0"/>
              <w:spacing w:after="0" w:line="240" w:lineRule="auto"/>
              <w:jc w:val="both"/>
              <w:textAlignment w:val="baseline"/>
              <w:outlineLvl w:val="2"/>
              <w:rPr>
                <w:rFonts w:eastAsia="Times New Roman" w:cs="Calibri"/>
                <w:bCs/>
                <w:lang w:eastAsia="cs-CZ"/>
              </w:rPr>
            </w:pPr>
            <w:r w:rsidRPr="009211D0">
              <w:rPr>
                <w:rFonts w:eastAsia="Times New Roman" w:cs="Calibri"/>
                <w:lang w:eastAsia="cs-CZ"/>
              </w:rPr>
              <w:t>Článek XI.</w:t>
            </w:r>
          </w:p>
        </w:tc>
        <w:tc>
          <w:tcPr>
            <w:tcW w:w="9072" w:type="dxa"/>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Harmonogram</w:t>
            </w:r>
          </w:p>
        </w:tc>
      </w:tr>
    </w:tbl>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p>
    <w:p w:rsidR="009211D0" w:rsidRPr="009211D0" w:rsidRDefault="009211D0" w:rsidP="009211D0">
      <w:pPr>
        <w:keepNext/>
        <w:overflowPunct w:val="0"/>
        <w:autoSpaceDE w:val="0"/>
        <w:autoSpaceDN w:val="0"/>
        <w:adjustRightInd w:val="0"/>
        <w:spacing w:after="0" w:line="240" w:lineRule="auto"/>
        <w:textAlignment w:val="baseline"/>
        <w:rPr>
          <w:rFonts w:eastAsia="Times New Roman" w:cs="Times New Roman"/>
          <w:lang w:eastAsia="cs-CZ"/>
        </w:rPr>
      </w:pPr>
      <w:r w:rsidRPr="009211D0">
        <w:rPr>
          <w:rFonts w:eastAsia="Times New Roman" w:cs="Calibri"/>
          <w:lang w:eastAsia="cs-CZ"/>
        </w:rPr>
        <w:t>Datum zahájení projektu: 1. 8. 2017</w:t>
      </w:r>
    </w:p>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Předpokládané datum ukončení etapy projektu:</w:t>
      </w:r>
    </w:p>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etapa č. 1: 30. 11. 2018</w:t>
      </w:r>
    </w:p>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etapa č. 2: 15. 2. 2020</w:t>
      </w:r>
    </w:p>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Datum ukončení projektu, dosažení účelu dotace: 15. 2. 2020</w:t>
      </w:r>
    </w:p>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sectPr w:rsidR="009211D0" w:rsidRPr="009211D0">
          <w:headerReference w:type="default" r:id="rId12"/>
          <w:pgSz w:w="16838" w:h="11906" w:orient="landscape" w:code="9"/>
          <w:pgMar w:top="1418" w:right="1418" w:bottom="1418" w:left="1418" w:header="709" w:footer="709" w:gutter="0"/>
          <w:cols w:space="708"/>
          <w:docGrid w:linePitch="360"/>
        </w:sect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8080"/>
      </w:tblGrid>
      <w:tr w:rsidR="009211D0" w:rsidRPr="009211D0" w:rsidTr="00335EF8">
        <w:tc>
          <w:tcPr>
            <w:tcW w:w="1560" w:type="dxa"/>
            <w:tcBorders>
              <w:top w:val="single" w:sz="4" w:space="0" w:color="auto"/>
              <w:left w:val="single" w:sz="4" w:space="0" w:color="auto"/>
              <w:bottom w:val="single" w:sz="4" w:space="0" w:color="auto"/>
              <w:right w:val="single" w:sz="4" w:space="0" w:color="auto"/>
            </w:tcBorders>
            <w:hideMark/>
          </w:tcPr>
          <w:p w:rsidR="009211D0" w:rsidRPr="009211D0" w:rsidRDefault="009211D0" w:rsidP="009211D0">
            <w:pPr>
              <w:keepNext/>
              <w:overflowPunct w:val="0"/>
              <w:autoSpaceDE w:val="0"/>
              <w:autoSpaceDN w:val="0"/>
              <w:adjustRightInd w:val="0"/>
              <w:spacing w:after="0" w:line="240" w:lineRule="auto"/>
              <w:jc w:val="center"/>
              <w:textAlignment w:val="baseline"/>
              <w:outlineLvl w:val="2"/>
              <w:rPr>
                <w:rFonts w:eastAsia="Times New Roman" w:cs="Calibri"/>
                <w:bCs/>
                <w:lang w:eastAsia="cs-CZ"/>
              </w:rPr>
            </w:pPr>
            <w:r w:rsidRPr="009211D0">
              <w:rPr>
                <w:rFonts w:eastAsia="Times New Roman" w:cs="Calibri"/>
                <w:lang w:eastAsia="cs-CZ"/>
              </w:rPr>
              <w:lastRenderedPageBreak/>
              <w:t>Článek XII.</w:t>
            </w:r>
          </w:p>
        </w:tc>
        <w:tc>
          <w:tcPr>
            <w:tcW w:w="8080" w:type="dxa"/>
            <w:tcBorders>
              <w:top w:val="single" w:sz="4" w:space="0" w:color="auto"/>
              <w:left w:val="single" w:sz="4" w:space="0" w:color="auto"/>
              <w:bottom w:val="single" w:sz="4" w:space="0" w:color="auto"/>
              <w:right w:val="single" w:sz="4" w:space="0" w:color="auto"/>
            </w:tcBorders>
            <w:hideMark/>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 xml:space="preserve"> Indikátory povinné k naplnění </w:t>
            </w:r>
          </w:p>
        </w:tc>
      </w:tr>
    </w:tbl>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1441"/>
        <w:gridCol w:w="1619"/>
        <w:gridCol w:w="1619"/>
      </w:tblGrid>
      <w:tr w:rsidR="009211D0" w:rsidRPr="009211D0" w:rsidTr="00335EF8">
        <w:trPr>
          <w:cantSplit/>
          <w:trHeight w:val="550"/>
        </w:trPr>
        <w:tc>
          <w:tcPr>
            <w:tcW w:w="6404" w:type="dxa"/>
            <w:gridSpan w:val="2"/>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indikátory povinné k naplnění</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Termín</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Cílová hodnota</w:t>
            </w:r>
          </w:p>
        </w:tc>
      </w:tr>
      <w:tr w:rsidR="009211D0" w:rsidRPr="009211D0" w:rsidTr="00335EF8">
        <w:trPr>
          <w:cantSplit/>
        </w:trPr>
        <w:tc>
          <w:tcPr>
            <w:tcW w:w="4964" w:type="dxa"/>
            <w:tcBorders>
              <w:top w:val="single" w:sz="4" w:space="0" w:color="auto"/>
              <w:left w:val="single" w:sz="4" w:space="0" w:color="auto"/>
              <w:bottom w:val="single" w:sz="4" w:space="0" w:color="auto"/>
              <w:right w:val="single" w:sz="4" w:space="0" w:color="auto"/>
            </w:tcBorders>
          </w:tcPr>
          <w:p w:rsidR="009211D0" w:rsidRPr="009211D0" w:rsidRDefault="009211D0" w:rsidP="009211D0">
            <w:pPr>
              <w:keepNext/>
              <w:overflowPunct w:val="0"/>
              <w:autoSpaceDE w:val="0"/>
              <w:autoSpaceDN w:val="0"/>
              <w:adjustRightInd w:val="0"/>
              <w:spacing w:after="0" w:line="240" w:lineRule="auto"/>
              <w:textAlignment w:val="baseline"/>
              <w:rPr>
                <w:rFonts w:eastAsia="Times New Roman" w:cs="Calibri"/>
                <w:lang w:eastAsia="cs-CZ"/>
              </w:rPr>
            </w:pPr>
          </w:p>
        </w:tc>
        <w:tc>
          <w:tcPr>
            <w:tcW w:w="1440" w:type="dxa"/>
            <w:tcBorders>
              <w:top w:val="single" w:sz="4" w:space="0" w:color="auto"/>
              <w:left w:val="single" w:sz="4" w:space="0" w:color="auto"/>
              <w:bottom w:val="single" w:sz="4" w:space="0" w:color="auto"/>
              <w:right w:val="single" w:sz="4" w:space="0" w:color="auto"/>
            </w:tcBorders>
            <w:hideMark/>
          </w:tcPr>
          <w:p w:rsidR="009211D0" w:rsidRPr="009211D0" w:rsidRDefault="009211D0" w:rsidP="009211D0">
            <w:pPr>
              <w:keepNext/>
              <w:overflowPunct w:val="0"/>
              <w:autoSpaceDE w:val="0"/>
              <w:autoSpaceDN w:val="0"/>
              <w:adjustRightInd w:val="0"/>
              <w:spacing w:after="0" w:line="240" w:lineRule="auto"/>
              <w:jc w:val="center"/>
              <w:textAlignment w:val="baseline"/>
              <w:rPr>
                <w:rFonts w:eastAsia="Times New Roman" w:cs="Calibri"/>
                <w:lang w:eastAsia="cs-CZ"/>
              </w:rPr>
            </w:pPr>
            <w:r w:rsidRPr="009211D0">
              <w:rPr>
                <w:rFonts w:eastAsia="Times New Roman" w:cs="Calibri"/>
                <w:lang w:eastAsia="cs-CZ"/>
              </w:rPr>
              <w:t>Jednotky</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spacing w:after="0" w:line="240" w:lineRule="auto"/>
              <w:textAlignment w:val="baseline"/>
              <w:rPr>
                <w:rFonts w:eastAsia="Times New Roman" w:cs="Calibri"/>
                <w:lang w:eastAsia="cs-CZ"/>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9211D0" w:rsidRPr="009211D0" w:rsidRDefault="009211D0" w:rsidP="009211D0">
            <w:pPr>
              <w:spacing w:after="0" w:line="240" w:lineRule="auto"/>
              <w:textAlignment w:val="baseline"/>
              <w:rPr>
                <w:rFonts w:eastAsia="Times New Roman" w:cs="Calibri"/>
                <w:lang w:eastAsia="cs-CZ"/>
              </w:rPr>
            </w:pPr>
          </w:p>
        </w:tc>
      </w:tr>
      <w:tr w:rsidR="009211D0" w:rsidRPr="009211D0" w:rsidTr="00335EF8">
        <w:tc>
          <w:tcPr>
            <w:tcW w:w="4964" w:type="dxa"/>
            <w:tcBorders>
              <w:top w:val="single" w:sz="4" w:space="0" w:color="auto"/>
              <w:left w:val="single" w:sz="4" w:space="0" w:color="auto"/>
              <w:bottom w:val="single" w:sz="4" w:space="0" w:color="auto"/>
              <w:right w:val="single" w:sz="4" w:space="0" w:color="auto"/>
            </w:tcBorders>
            <w:hideMark/>
          </w:tcPr>
          <w:p w:rsidR="009211D0" w:rsidRPr="009211D0" w:rsidRDefault="009211D0" w:rsidP="009211D0">
            <w:pPr>
              <w:overflowPunct w:val="0"/>
              <w:autoSpaceDE w:val="0"/>
              <w:autoSpaceDN w:val="0"/>
              <w:adjustRightInd w:val="0"/>
              <w:spacing w:after="0" w:line="240" w:lineRule="auto"/>
              <w:textAlignment w:val="baseline"/>
              <w:rPr>
                <w:rFonts w:eastAsia="Times New Roman" w:cs="Calibri"/>
                <w:color w:val="000000" w:themeColor="text1"/>
                <w:lang w:eastAsia="cs-CZ"/>
              </w:rPr>
            </w:pPr>
            <w:r w:rsidRPr="009211D0">
              <w:rPr>
                <w:rFonts w:eastAsia="Times New Roman" w:cs="Calibri"/>
                <w:color w:val="000000" w:themeColor="text1"/>
                <w:lang w:eastAsia="cs-CZ"/>
              </w:rPr>
              <w:t>Počet pořízených informačních systémů</w:t>
            </w:r>
          </w:p>
        </w:tc>
        <w:tc>
          <w:tcPr>
            <w:tcW w:w="1440" w:type="dxa"/>
            <w:tcBorders>
              <w:top w:val="single" w:sz="4" w:space="0" w:color="auto"/>
              <w:left w:val="single" w:sz="4" w:space="0" w:color="auto"/>
              <w:bottom w:val="single" w:sz="4" w:space="0" w:color="auto"/>
              <w:right w:val="single" w:sz="4" w:space="0" w:color="auto"/>
            </w:tcBorders>
            <w:hideMark/>
          </w:tcPr>
          <w:p w:rsidR="009211D0" w:rsidRPr="009211D0" w:rsidRDefault="009211D0" w:rsidP="009211D0">
            <w:pPr>
              <w:overflowPunct w:val="0"/>
              <w:autoSpaceDE w:val="0"/>
              <w:autoSpaceDN w:val="0"/>
              <w:adjustRightInd w:val="0"/>
              <w:spacing w:after="0" w:line="240" w:lineRule="auto"/>
              <w:jc w:val="center"/>
              <w:textAlignment w:val="baseline"/>
              <w:rPr>
                <w:rFonts w:eastAsia="Times New Roman" w:cs="Calibri"/>
                <w:color w:val="000000" w:themeColor="text1"/>
                <w:lang w:eastAsia="cs-CZ"/>
              </w:rPr>
            </w:pPr>
            <w:r w:rsidRPr="009211D0">
              <w:rPr>
                <w:rFonts w:eastAsia="Times New Roman" w:cs="Calibri"/>
                <w:color w:val="000000" w:themeColor="text1"/>
                <w:lang w:eastAsia="cs-CZ"/>
              </w:rPr>
              <w:t>Počet IS</w:t>
            </w:r>
          </w:p>
        </w:tc>
        <w:tc>
          <w:tcPr>
            <w:tcW w:w="1618" w:type="dxa"/>
            <w:tcBorders>
              <w:top w:val="single" w:sz="4" w:space="0" w:color="auto"/>
              <w:left w:val="single" w:sz="4" w:space="0" w:color="auto"/>
              <w:bottom w:val="single" w:sz="4" w:space="0" w:color="auto"/>
              <w:right w:val="single" w:sz="4" w:space="0" w:color="auto"/>
            </w:tcBorders>
            <w:hideMark/>
          </w:tcPr>
          <w:p w:rsidR="009211D0" w:rsidRPr="009211D0" w:rsidRDefault="009211D0" w:rsidP="009211D0">
            <w:pPr>
              <w:overflowPunct w:val="0"/>
              <w:autoSpaceDE w:val="0"/>
              <w:autoSpaceDN w:val="0"/>
              <w:adjustRightInd w:val="0"/>
              <w:spacing w:after="0" w:line="240" w:lineRule="auto"/>
              <w:jc w:val="right"/>
              <w:textAlignment w:val="baseline"/>
              <w:rPr>
                <w:rFonts w:eastAsia="Times New Roman" w:cs="Calibri"/>
                <w:color w:val="FF0000"/>
                <w:lang w:eastAsia="cs-CZ"/>
              </w:rPr>
            </w:pPr>
            <w:r w:rsidRPr="009211D0">
              <w:rPr>
                <w:rFonts w:eastAsia="Times New Roman" w:cs="Calibri"/>
                <w:lang w:eastAsia="cs-CZ"/>
              </w:rPr>
              <w:t>15. 2. 2020</w:t>
            </w:r>
          </w:p>
        </w:tc>
        <w:tc>
          <w:tcPr>
            <w:tcW w:w="1618" w:type="dxa"/>
            <w:tcBorders>
              <w:top w:val="single" w:sz="4" w:space="0" w:color="auto"/>
              <w:left w:val="single" w:sz="4" w:space="0" w:color="auto"/>
              <w:bottom w:val="single" w:sz="4" w:space="0" w:color="auto"/>
              <w:right w:val="single" w:sz="4" w:space="0" w:color="auto"/>
            </w:tcBorders>
            <w:hideMark/>
          </w:tcPr>
          <w:p w:rsidR="009211D0" w:rsidRPr="009211D0" w:rsidRDefault="009211D0" w:rsidP="009211D0">
            <w:pPr>
              <w:overflowPunct w:val="0"/>
              <w:autoSpaceDE w:val="0"/>
              <w:autoSpaceDN w:val="0"/>
              <w:adjustRightInd w:val="0"/>
              <w:spacing w:after="0" w:line="240" w:lineRule="auto"/>
              <w:jc w:val="right"/>
              <w:textAlignment w:val="baseline"/>
              <w:rPr>
                <w:rFonts w:eastAsia="Times New Roman" w:cs="Calibri"/>
                <w:lang w:eastAsia="cs-CZ"/>
              </w:rPr>
            </w:pPr>
            <w:r w:rsidRPr="009211D0">
              <w:rPr>
                <w:rFonts w:eastAsia="Times New Roman" w:cs="Calibri"/>
                <w:lang w:eastAsia="cs-CZ"/>
              </w:rPr>
              <w:t>7</w:t>
            </w:r>
          </w:p>
        </w:tc>
      </w:tr>
    </w:tbl>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textAlignment w:val="baseline"/>
        <w:rPr>
          <w:rFonts w:eastAsia="Times New Roman" w:cs="Calibri"/>
          <w:color w:val="000000" w:themeColor="text1"/>
          <w:lang w:eastAsia="cs-CZ"/>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080"/>
      </w:tblGrid>
      <w:tr w:rsidR="009211D0" w:rsidRPr="009211D0" w:rsidTr="00335EF8">
        <w:trPr>
          <w:cantSplit/>
        </w:trPr>
        <w:tc>
          <w:tcPr>
            <w:tcW w:w="9640" w:type="dxa"/>
            <w:gridSpan w:val="2"/>
          </w:tcPr>
          <w:p w:rsidR="009211D0" w:rsidRPr="009211D0" w:rsidRDefault="009211D0" w:rsidP="009211D0">
            <w:pPr>
              <w:keepNext/>
              <w:overflowPunct w:val="0"/>
              <w:autoSpaceDE w:val="0"/>
              <w:autoSpaceDN w:val="0"/>
              <w:adjustRightInd w:val="0"/>
              <w:spacing w:after="120" w:line="240" w:lineRule="auto"/>
              <w:textAlignment w:val="baseline"/>
              <w:rPr>
                <w:rFonts w:eastAsia="Times New Roman" w:cs="Calibri"/>
                <w:b/>
                <w:color w:val="000000" w:themeColor="text1"/>
                <w:lang w:eastAsia="cs-CZ"/>
              </w:rPr>
            </w:pPr>
            <w:r w:rsidRPr="009211D0">
              <w:rPr>
                <w:rFonts w:eastAsia="Times New Roman" w:cs="Calibri"/>
                <w:b/>
                <w:color w:val="000000" w:themeColor="text1"/>
                <w:lang w:eastAsia="cs-CZ"/>
              </w:rPr>
              <w:t xml:space="preserve">Hlava II. Zvláštní část </w:t>
            </w:r>
          </w:p>
        </w:tc>
      </w:tr>
      <w:tr w:rsidR="009211D0" w:rsidRPr="009211D0" w:rsidTr="00335EF8">
        <w:tc>
          <w:tcPr>
            <w:tcW w:w="1560" w:type="dxa"/>
          </w:tcPr>
          <w:p w:rsidR="009211D0" w:rsidRPr="009211D0" w:rsidRDefault="009211D0" w:rsidP="009211D0">
            <w:pPr>
              <w:keepNext/>
              <w:overflowPunct w:val="0"/>
              <w:autoSpaceDE w:val="0"/>
              <w:autoSpaceDN w:val="0"/>
              <w:adjustRightInd w:val="0"/>
              <w:spacing w:after="120" w:line="240" w:lineRule="auto"/>
              <w:jc w:val="center"/>
              <w:textAlignment w:val="baseline"/>
              <w:rPr>
                <w:rFonts w:eastAsia="Times New Roman" w:cs="Calibri"/>
                <w:b/>
                <w:lang w:eastAsia="cs-CZ"/>
              </w:rPr>
            </w:pPr>
            <w:r w:rsidRPr="009211D0">
              <w:rPr>
                <w:rFonts w:eastAsia="Times New Roman" w:cs="Calibri"/>
                <w:b/>
                <w:lang w:eastAsia="cs-CZ"/>
              </w:rPr>
              <w:t>Článek I.</w:t>
            </w:r>
          </w:p>
        </w:tc>
        <w:tc>
          <w:tcPr>
            <w:tcW w:w="8080" w:type="dxa"/>
          </w:tcPr>
          <w:p w:rsidR="009211D0" w:rsidRPr="009211D0" w:rsidRDefault="009211D0" w:rsidP="009211D0">
            <w:pPr>
              <w:keepNext/>
              <w:shd w:val="clear" w:color="auto" w:fill="FFFFFF"/>
              <w:overflowPunct w:val="0"/>
              <w:autoSpaceDE w:val="0"/>
              <w:autoSpaceDN w:val="0"/>
              <w:adjustRightInd w:val="0"/>
              <w:spacing w:after="120" w:line="240" w:lineRule="auto"/>
              <w:textAlignment w:val="baseline"/>
              <w:rPr>
                <w:rFonts w:eastAsia="Times New Roman" w:cs="Calibri"/>
                <w:b/>
                <w:lang w:eastAsia="cs-CZ"/>
              </w:rPr>
            </w:pPr>
            <w:r w:rsidRPr="009211D0">
              <w:rPr>
                <w:rFonts w:eastAsia="Times New Roman" w:cs="Calibri"/>
                <w:b/>
                <w:lang w:eastAsia="cs-CZ"/>
              </w:rPr>
              <w:t>Zvláštní povinnosti příjemce v programu ICT a sdílené služby, Výzva II. – aktivita Tvorba nových IS/ICT řešení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Příjemce je povinen být vlastníkem nebo nájemcem nemovitostí (budov, staveb a pozemků), kde bude projekt realizován, a to po dobu nejméně pěti (5) let (pokud není stanoveno jinak) od poslední přijaté platby podpory na účet příjemce. Smlouva o výpůjčce/výprose, smlouva o zřízení služebnosti požívacího práva a </w:t>
            </w:r>
            <w:proofErr w:type="spellStart"/>
            <w:r w:rsidRPr="009211D0">
              <w:rPr>
                <w:rFonts w:eastAsia="Times New Roman" w:cs="Calibri"/>
                <w:lang w:eastAsia="cs-CZ"/>
              </w:rPr>
              <w:t>pachtovní</w:t>
            </w:r>
            <w:proofErr w:type="spellEnd"/>
            <w:r w:rsidRPr="009211D0">
              <w:rPr>
                <w:rFonts w:eastAsia="Times New Roman" w:cs="Calibri"/>
                <w:lang w:eastAsia="cs-CZ"/>
              </w:rPr>
              <w:t xml:space="preserve"> smlouva se považují za splnění této povinnosti.</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Porušení této povinnosti může být správcem daně postiženo odvodem za porušení rozpočtové kázně ve výši 100 % z částky celkově proplacené dotace.</w:t>
            </w:r>
          </w:p>
        </w:tc>
      </w:tr>
      <w:tr w:rsidR="009211D0" w:rsidRPr="009211D0" w:rsidTr="00335EF8">
        <w:trPr>
          <w:cantSplit/>
          <w:trHeight w:val="759"/>
        </w:trPr>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Pokud se předpokládá poskytnout z celkové částky dotace určitou část jako tzv. podpora de </w:t>
            </w:r>
            <w:proofErr w:type="spellStart"/>
            <w:r w:rsidRPr="009211D0">
              <w:rPr>
                <w:rFonts w:eastAsia="Times New Roman" w:cs="Calibri"/>
                <w:lang w:eastAsia="cs-CZ"/>
              </w:rPr>
              <w:t>minimis</w:t>
            </w:r>
            <w:proofErr w:type="spellEnd"/>
            <w:r w:rsidRPr="009211D0">
              <w:rPr>
                <w:rFonts w:eastAsia="Times New Roman" w:cs="Calibri"/>
                <w:lang w:eastAsia="cs-CZ"/>
              </w:rPr>
              <w:t xml:space="preserve">. Příjemce se zavazuje sledovat, zda u něj (a s ním spojených podniků se sídlem v ČR) nedochází po sečtení hodnot všech přijatých podpor de </w:t>
            </w:r>
            <w:proofErr w:type="spellStart"/>
            <w:r w:rsidRPr="009211D0">
              <w:rPr>
                <w:rFonts w:eastAsia="Times New Roman" w:cs="Calibri"/>
                <w:lang w:eastAsia="cs-CZ"/>
              </w:rPr>
              <w:t>minimis</w:t>
            </w:r>
            <w:proofErr w:type="spellEnd"/>
            <w:r w:rsidRPr="009211D0">
              <w:rPr>
                <w:rFonts w:eastAsia="Times New Roman" w:cs="Calibri"/>
                <w:lang w:eastAsia="cs-CZ"/>
              </w:rPr>
              <w:t xml:space="preserve"> k překročení limitu dle nařízení Komise (ES) č. 1407/2013 o aplikaci článků 107 a 108 Smlouvy o fungování Evropské unie na podporu de </w:t>
            </w:r>
            <w:proofErr w:type="spellStart"/>
            <w:r w:rsidRPr="009211D0">
              <w:rPr>
                <w:rFonts w:eastAsia="Times New Roman" w:cs="Calibri"/>
                <w:lang w:eastAsia="cs-CZ"/>
              </w:rPr>
              <w:t>minimis</w:t>
            </w:r>
            <w:proofErr w:type="spellEnd"/>
            <w:r w:rsidRPr="009211D0">
              <w:rPr>
                <w:rFonts w:eastAsia="Times New Roman" w:cs="Calibri"/>
                <w:lang w:eastAsia="cs-CZ"/>
              </w:rPr>
              <w:t xml:space="preserve"> (tj. 200.000,- EUR v období 3 po sobě jdoucích zdaňovacích obdobích). V případě, že by před poskytnutím dotace hrozilo překročení tohoto limitu, se zavazuje tuto skutečnost oznámit Poskytovateli dotace. </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Porušení této povinnosti může být správcem daně postiženo odvodem za porušení rozpočtové kázně ve výši nejvýše částky dotace, která byla Poskytovatelem dotace proplacena v režimu podpory de </w:t>
            </w:r>
            <w:proofErr w:type="spellStart"/>
            <w:r w:rsidRPr="009211D0">
              <w:rPr>
                <w:rFonts w:eastAsia="Times New Roman" w:cs="Calibri"/>
                <w:lang w:eastAsia="cs-CZ"/>
              </w:rPr>
              <w:t>minimis</w:t>
            </w:r>
            <w:proofErr w:type="spellEnd"/>
            <w:r w:rsidRPr="009211D0">
              <w:rPr>
                <w:rFonts w:eastAsia="Times New Roman" w:cs="Calibri"/>
                <w:lang w:eastAsia="cs-CZ"/>
              </w:rPr>
              <w:t xml:space="preserve"> dle Nařízení Komise (EU) č. 1407/2013.</w:t>
            </w:r>
          </w:p>
        </w:tc>
      </w:tr>
      <w:tr w:rsidR="009211D0" w:rsidRPr="009211D0" w:rsidTr="00335EF8">
        <w:trPr>
          <w:cantSplit/>
          <w:trHeight w:val="759"/>
        </w:trPr>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(3)</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Příjemce je povinen zaslat u prvního výběrového řízení projektu zadávací dokumentaci ke kontrole Řídicímu orgánu OP PIK nejpozději do 2 měsíců od vydání Rozhodnutí.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b/>
                <w:lang w:eastAsia="cs-CZ"/>
              </w:rPr>
            </w:pPr>
            <w:r w:rsidRPr="009211D0">
              <w:rPr>
                <w:rFonts w:eastAsia="Times New Roman" w:cs="Calibri"/>
                <w:b/>
                <w:lang w:eastAsia="cs-CZ"/>
              </w:rPr>
              <w:t>Článek II.</w:t>
            </w:r>
          </w:p>
        </w:tc>
        <w:tc>
          <w:tcPr>
            <w:tcW w:w="8080" w:type="dxa"/>
          </w:tcPr>
          <w:p w:rsidR="009211D0" w:rsidRPr="009211D0" w:rsidRDefault="009211D0" w:rsidP="009211D0">
            <w:pPr>
              <w:overflowPunct w:val="0"/>
              <w:autoSpaceDE w:val="0"/>
              <w:autoSpaceDN w:val="0"/>
              <w:adjustRightInd w:val="0"/>
              <w:spacing w:after="120" w:line="240" w:lineRule="auto"/>
              <w:textAlignment w:val="baseline"/>
              <w:rPr>
                <w:rFonts w:eastAsia="Times New Roman" w:cs="Calibri"/>
                <w:b/>
                <w:lang w:eastAsia="cs-CZ"/>
              </w:rPr>
            </w:pPr>
            <w:r w:rsidRPr="009211D0">
              <w:rPr>
                <w:rFonts w:eastAsia="Times New Roman" w:cs="Calibri"/>
                <w:b/>
                <w:lang w:eastAsia="cs-CZ"/>
              </w:rPr>
              <w:t xml:space="preserve">Ostatní zvláštní povinnosti příjemce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Příjemce je povinen se řídit verzí Pravidel pro výběr dodavatelů platnou v den zahájení výběrového řízení. Rovněž případné krácení dotace (viz. Hlava I. článek VII.) za pochybení ve výběrovém řízení, ať už se bude jednat o výběrové řízení v režimu zákona nebo Pravidel pro výběr dodavatelů, bude provedeno dle příslušné verze Kategorizace nedostatků při zadávání zakázek se stanovením výše odvodu za porušení rozpočtové kázně platné v den zahájení výběrového řízení. Aktuální verze těchto dokumentů jsou dostupné na webu Poskytovatele dotace</w:t>
            </w:r>
            <w:r w:rsidRPr="009211D0">
              <w:rPr>
                <w:rFonts w:ascii="Calibri" w:eastAsia="Times New Roman" w:hAnsi="Calibri" w:cs="Calibri"/>
                <w:lang w:eastAsia="cs-CZ"/>
              </w:rPr>
              <w:t>.</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(2)</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Příjemce je povinen předávat Poskytovateli dotace prostřednictvím informačního systému údaje nezbytné pro sledování hodnot indikátorů a umožnit tak Poskytovateli dotace průběžné sledování přínosů projektu:</w:t>
            </w:r>
          </w:p>
          <w:p w:rsidR="009211D0" w:rsidRPr="009211D0" w:rsidRDefault="009211D0" w:rsidP="009211D0">
            <w:pPr>
              <w:numPr>
                <w:ilvl w:val="0"/>
                <w:numId w:val="6"/>
              </w:numPr>
              <w:shd w:val="clear" w:color="auto" w:fill="FFFFFF"/>
              <w:overflowPunct w:val="0"/>
              <w:autoSpaceDE w:val="0"/>
              <w:autoSpaceDN w:val="0"/>
              <w:adjustRightInd w:val="0"/>
              <w:spacing w:after="0" w:line="240" w:lineRule="auto"/>
              <w:jc w:val="both"/>
              <w:textAlignment w:val="baseline"/>
              <w:rPr>
                <w:rFonts w:eastAsia="Times New Roman" w:cs="Calibri"/>
                <w:b/>
                <w:bCs/>
                <w:lang w:eastAsia="cs-CZ"/>
              </w:rPr>
            </w:pPr>
            <w:r w:rsidRPr="009211D0">
              <w:rPr>
                <w:rFonts w:eastAsia="Times New Roman" w:cs="Calibri"/>
                <w:lang w:eastAsia="cs-CZ"/>
              </w:rPr>
              <w:t xml:space="preserve">poskytnout vstupní informace při podání žádosti o podporu; </w:t>
            </w:r>
          </w:p>
          <w:p w:rsidR="009211D0" w:rsidRPr="009211D0" w:rsidRDefault="009211D0" w:rsidP="009211D0">
            <w:pPr>
              <w:numPr>
                <w:ilvl w:val="0"/>
                <w:numId w:val="6"/>
              </w:numPr>
              <w:shd w:val="clear" w:color="auto" w:fill="FFFFFF"/>
              <w:overflowPunct w:val="0"/>
              <w:autoSpaceDE w:val="0"/>
              <w:autoSpaceDN w:val="0"/>
              <w:adjustRightInd w:val="0"/>
              <w:spacing w:after="0" w:line="240" w:lineRule="auto"/>
              <w:jc w:val="both"/>
              <w:textAlignment w:val="baseline"/>
              <w:rPr>
                <w:rFonts w:eastAsia="Times New Roman" w:cs="Calibri"/>
                <w:b/>
                <w:bCs/>
                <w:lang w:eastAsia="cs-CZ"/>
              </w:rPr>
            </w:pPr>
            <w:r w:rsidRPr="009211D0">
              <w:rPr>
                <w:rFonts w:eastAsia="Times New Roman" w:cs="Calibri"/>
                <w:lang w:eastAsia="cs-CZ"/>
              </w:rPr>
              <w:t xml:space="preserve">předkládat Poskytovateli dotace průběžně informace o realizaci projektu </w:t>
            </w:r>
            <w:r w:rsidRPr="009211D0">
              <w:rPr>
                <w:rFonts w:eastAsia="Times New Roman" w:cs="Calibri"/>
                <w:lang w:eastAsia="cs-CZ"/>
              </w:rPr>
              <w:lastRenderedPageBreak/>
              <w:t xml:space="preserve">(při poslední etapě včetně závěrečného vyhodnocení projektu včetně uvedení hodnot indikátoru) Termíny pro předkládání zpráv o průběhu realizace stanovené v Harmonogramu zpráv vedeném MS2014+ jsou pro příjemce doporučené. </w:t>
            </w:r>
          </w:p>
          <w:p w:rsidR="009211D0" w:rsidRPr="009211D0" w:rsidRDefault="009211D0" w:rsidP="009211D0">
            <w:pPr>
              <w:numPr>
                <w:ilvl w:val="0"/>
                <w:numId w:val="6"/>
              </w:numPr>
              <w:shd w:val="clear" w:color="auto" w:fill="FFFFFF"/>
              <w:overflowPunct w:val="0"/>
              <w:autoSpaceDE w:val="0"/>
              <w:autoSpaceDN w:val="0"/>
              <w:adjustRightInd w:val="0"/>
              <w:spacing w:after="0" w:line="240" w:lineRule="auto"/>
              <w:jc w:val="both"/>
              <w:textAlignment w:val="baseline"/>
              <w:rPr>
                <w:rFonts w:eastAsia="Times New Roman" w:cs="Calibri"/>
                <w:b/>
                <w:bCs/>
                <w:lang w:eastAsia="cs-CZ"/>
              </w:rPr>
            </w:pPr>
            <w:r w:rsidRPr="009211D0">
              <w:rPr>
                <w:rFonts w:eastAsia="Times New Roman" w:cs="Calibri"/>
                <w:lang w:eastAsia="cs-CZ"/>
              </w:rPr>
              <w:t xml:space="preserve">předkládat Poskytovateli dotace po ukončení projektu údaje o vývoji indikátorů a požadovaných hodnot. Termíny pro předkládání zpráv po ukončení projektu jsou stanovené v Harmonogramu zpráv vedeném v informačním systému. Příjemce může písemně přes depeše v MS2014+ požádat o prodloužení termínu udržitelnosti.  Spolu s těmito údaji předává příjemce i přílohy dle MS2014+.  Tato žádost musí být podána nejpozději 14 kalendářních dnů před uplynutím lhůty, kdy má být daná povinnost splněna. Poskytovatel dotace o této změně rozhodne v souladu § 14 odst. 13 písm. a) Rozpočtových pravidel. Nedodržení této lhůty povede k zamítnutí uvedené žádosti. </w:t>
            </w:r>
          </w:p>
          <w:p w:rsidR="009211D0" w:rsidRPr="009211D0" w:rsidRDefault="009211D0" w:rsidP="009211D0">
            <w:pPr>
              <w:shd w:val="clear" w:color="auto" w:fill="FFFFFF"/>
              <w:tabs>
                <w:tab w:val="num" w:pos="1134"/>
              </w:tabs>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Příjemce je povinen předávat údaje ve struktuře stanovené v informačním systému.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lastRenderedPageBreak/>
              <w:t>(3)</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Realizaci projektu může příjemce rozdělit na etapy a čerpat podporu po částech ve stanovené struktuře a je povinen řídit se pravidly etapizace projektu, která jsou součástí Pravidel pro žadatele a příjemce, obecná část, Příloha č. 2.</w:t>
            </w:r>
          </w:p>
        </w:tc>
      </w:tr>
      <w:tr w:rsidR="009211D0" w:rsidRPr="009211D0" w:rsidDel="00E62658"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(4)</w:t>
            </w:r>
          </w:p>
        </w:tc>
        <w:tc>
          <w:tcPr>
            <w:tcW w:w="8080" w:type="dxa"/>
          </w:tcPr>
          <w:p w:rsidR="009211D0" w:rsidRPr="009211D0" w:rsidDel="00E62658"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Times New Roman"/>
                <w:highlight w:val="yellow"/>
                <w:lang w:eastAsia="cs-CZ"/>
              </w:rPr>
            </w:pPr>
            <w:r w:rsidRPr="009211D0">
              <w:rPr>
                <w:rFonts w:eastAsia="Times New Roman" w:cs="Times New Roman"/>
                <w:lang w:eastAsia="cs-CZ"/>
              </w:rPr>
              <w:t>Variantu krácení včetně sankce za neplnění cílové hodnoty indikátoru povinného k naplnění stanoví zvláštní část Rozhodnutí o poskytnutí dotace, článek II., odst. 17, pokud není uvedeno jinak.</w:t>
            </w:r>
          </w:p>
        </w:tc>
      </w:tr>
      <w:tr w:rsidR="009211D0" w:rsidRPr="009211D0" w:rsidDel="00FD70CA"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(5)</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 xml:space="preserve">Dlouhodobý hmotný a nehmotný majetek, u něhož výdaje na pořízení jsou zahrnuty do způsobilých výdajů projektu, nebo do minimální investice, nesmí příjemce dotace prodat ani jinak zcizit, ani přemístit mimo podporovaný region po dobu pěti (5) let </w:t>
            </w:r>
            <w:r w:rsidRPr="009211D0">
              <w:rPr>
                <w:rFonts w:ascii="Calibri" w:eastAsia="Times New Roman" w:hAnsi="Calibri" w:cs="Segoe UI"/>
                <w:lang w:eastAsia="cs-CZ"/>
              </w:rPr>
              <w:t>od poslední přijaté platby na účet příjemce</w:t>
            </w:r>
            <w:r w:rsidRPr="009211D0">
              <w:rPr>
                <w:rFonts w:ascii="Calibri" w:eastAsia="Times New Roman" w:hAnsi="Calibri" w:cs="Calibri"/>
                <w:lang w:eastAsia="cs-CZ"/>
              </w:rPr>
              <w:t>. Výše způsobilých výdajů na pořízení dlouhodobého hmotného a nehmotného majetku nesmí přesáhnout výši povinné investice uvedené v Hlavě II., článku II., odst. 14 Rozhodnutí.</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Podporovaným regionem se rozumí NUTS II dle Sdělení Českého statistického úřadu č. 201/2007</w:t>
            </w:r>
            <w:r w:rsidRPr="009211D0">
              <w:rPr>
                <w:rFonts w:ascii="Calibri" w:eastAsia="Times New Roman" w:hAnsi="Calibri" w:cs="Calibri"/>
                <w:b/>
                <w:bCs/>
                <w:lang w:eastAsia="cs-CZ"/>
              </w:rPr>
              <w:t xml:space="preserve"> </w:t>
            </w:r>
            <w:r w:rsidRPr="009211D0">
              <w:rPr>
                <w:rFonts w:ascii="Calibri" w:eastAsia="Times New Roman" w:hAnsi="Calibri" w:cs="Calibri"/>
                <w:lang w:eastAsia="cs-CZ"/>
              </w:rPr>
              <w:t>o aktualizaci Klasifikace územních statistických jednotek. Tato podmínka je rovněž zachována, pokud dojde k obměně majetku, minimálně ve stejném rozsahu, jehož pořizovací cena byla zahrnuta příjemcem dotace do způsobilých výdajů a na tyto způsobilé výdaje proplacena dotace. Příjemce dotace je povinen o této skutečnosti informovat poskytovatele dotace prostřednictvím MS2014+.</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 xml:space="preserve">Dříve může příjemce dotace tento majetek prodat, jen pokud výtěžek z prodeje použije na způsobilý výdaj zabezpečující zachování a rozvoj projektu. Příjemce dotace musí po celou dobu realizace projektu a po dobu pěti (5) let </w:t>
            </w:r>
            <w:r w:rsidRPr="009211D0">
              <w:rPr>
                <w:rFonts w:ascii="Calibri" w:eastAsia="Times New Roman" w:hAnsi="Calibri" w:cs="Segoe UI"/>
                <w:lang w:eastAsia="cs-CZ"/>
              </w:rPr>
              <w:t>od poslední přijaté platby na účet příjemce</w:t>
            </w:r>
            <w:r w:rsidRPr="009211D0">
              <w:rPr>
                <w:rFonts w:ascii="Calibri" w:eastAsia="Times New Roman" w:hAnsi="Calibri" w:cs="Calibri"/>
                <w:lang w:eastAsia="cs-CZ"/>
              </w:rPr>
              <w:t xml:space="preserve"> používat majetek pořízený s účastí dotace, který má ve svém vlastnictví, převážně k podporovaným ekonomickým činnostem.</w:t>
            </w:r>
          </w:p>
          <w:p w:rsidR="009211D0" w:rsidRPr="009211D0" w:rsidDel="00FD70CA" w:rsidRDefault="009211D0" w:rsidP="009211D0">
            <w:pPr>
              <w:shd w:val="clear" w:color="auto" w:fill="FFFFFF"/>
              <w:overflowPunct w:val="0"/>
              <w:autoSpaceDE w:val="0"/>
              <w:autoSpaceDN w:val="0"/>
              <w:adjustRightInd w:val="0"/>
              <w:spacing w:after="0" w:line="240" w:lineRule="auto"/>
              <w:jc w:val="both"/>
              <w:textAlignment w:val="baseline"/>
              <w:rPr>
                <w:rFonts w:eastAsia="Times New Roman" w:cs="Calibri"/>
                <w:highlight w:val="yellow"/>
                <w:lang w:eastAsia="cs-CZ"/>
              </w:rPr>
            </w:pPr>
            <w:r w:rsidRPr="009211D0">
              <w:rPr>
                <w:rFonts w:ascii="Calibri" w:eastAsia="Times New Roman" w:hAnsi="Calibri" w:cs="Calibri"/>
                <w:lang w:eastAsia="cs-CZ"/>
              </w:rPr>
              <w:t xml:space="preserve">Porušení této povinnosti může být správcem daně postiženo odvodem za porušení rozpočtové kázně ve výši odpovídající maximálně částce dotace, která byla proplacena na způsobilé výdaje vztahující se k pořizovacím nákladům předmětného prodaného majetku.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(6)</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 xml:space="preserve">Dlouhodobý nehmotný majetek zahrnutý do způsobilých výdajů projektu musí být využíván výhradně v provozovně příjemce dotace, která je místem realizace projektu. Musí se jednat o dlouhodobý nehmotný majetek, který je pořízen od třetích stran za tržních podmínek, je předmětem odpisů a je zahrnut do aktiv příjemce dotace. V případě </w:t>
            </w:r>
            <w:r w:rsidRPr="009211D0">
              <w:rPr>
                <w:rFonts w:ascii="Calibri" w:eastAsia="Times New Roman" w:hAnsi="Calibri" w:cs="Calibri"/>
                <w:lang w:eastAsia="cs-CZ"/>
              </w:rPr>
              <w:lastRenderedPageBreak/>
              <w:t>velkých podniků můžou způsobilé výdaje na dlouhodobý nehmotný majetek činit maximálně 50 % celkových způsobilých výdajů projektu.</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Porušení této povinnosti může být správcem daně postiženo odvodem za porušení rozpočtové kázně ve výši odpovídající maximálně částce dotace, která byla proplacena na způsobilé výdaje vztahující se k pořizovacím nákladům předmětného majetku, který byl prokazatelně využíván v rozporu s ustanovením tohoto odstavce.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lastRenderedPageBreak/>
              <w:t>(7)</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Příjemce dotace nesmí pronajmout dlouhodobý hmotný a nehmotný majetek zahrnutý do způsobilých výdajů projektu (do minimální investice) bez předchozího písemného souhlasu poskytovatele, a to po dobu pěti (5) let od p</w:t>
            </w:r>
            <w:r w:rsidRPr="009211D0">
              <w:rPr>
                <w:rFonts w:ascii="Calibri" w:eastAsia="Times New Roman" w:hAnsi="Calibri" w:cs="Segoe UI"/>
                <w:lang w:eastAsia="cs-CZ"/>
              </w:rPr>
              <w:t>oslední přijaté platby na účet příjemce</w:t>
            </w:r>
            <w:r w:rsidRPr="009211D0">
              <w:rPr>
                <w:rFonts w:ascii="Calibri" w:eastAsia="Times New Roman" w:hAnsi="Calibri" w:cs="Calibri"/>
                <w:lang w:eastAsia="cs-CZ"/>
              </w:rPr>
              <w:t>.</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Porušení této povinnosti může být správcem daně postiženo odvodem za porušení rozpočtové kázně ve výši odpovídající maximálně 20 % částky dotace, která byla proplacena na způsobilé výdaje vztahující se k pořizovacím nákladům předmětného majetku, který byl prokazatelně využíván v rozporu s ustanovením tohoto odstavce, za každý rok, kdy toto porušení (nedovolený pronájem majetku) trval.</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(8)</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Dotace na osobní náklady je poskytována na hrubé mzdy zaměstnanců na podpořených pracovních místech a povinné odvody zaměstnavatele na sociální zabezpečení, veřejné zdravotní pojištění a státní politiku zaměstnanosti vynaložené nejdříve v den přijatelnosti projektu. Příjemce dotace je povinen prokázat, že tyto osobní náklady se vztahují k odborným pracovním místům vytvořeným v přímé souvislosti s realizací projektu (odbornými zaměstnanci se rozumí profese, které korespondují se zaměřením projektu, resp. s předmětem činnosti centra).</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Na jedno podpořené pracovní místo lze poskytnout dotaci maximálně v délce 24 měsíců.</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Pokud se pracovník nepodílí na realizaci projektu ze 100 %, je způsobilým výdajem poměrná část mzdy odpovídající podílu pracovního času pracovníka prokazatelně odpracovaného na projektu a jeho celkové pracovní doby.</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V případě porušení podmínek uvedených v tomto odstavci bude poskytovatel dotace oprávněn zkrátit dotaci, a to následujícím způsobem:</w:t>
            </w:r>
          </w:p>
          <w:p w:rsidR="009211D0" w:rsidRPr="009211D0" w:rsidRDefault="009211D0" w:rsidP="009211D0">
            <w:pPr>
              <w:numPr>
                <w:ilvl w:val="0"/>
                <w:numId w:val="3"/>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lang w:eastAsia="cs-CZ"/>
              </w:rPr>
            </w:pPr>
            <w:r w:rsidRPr="009211D0">
              <w:rPr>
                <w:rFonts w:ascii="Calibri" w:eastAsia="Times New Roman" w:hAnsi="Calibri" w:cs="Calibri"/>
                <w:lang w:eastAsia="cs-CZ"/>
              </w:rPr>
              <w:t xml:space="preserve">krácením celé dotace za pozici, u které nebylo prokázáno, že je odborným pracovním místem vytvořeným v přímé souvislosti s realizací projektu </w:t>
            </w:r>
          </w:p>
          <w:p w:rsidR="009211D0" w:rsidRPr="009211D0" w:rsidRDefault="009211D0" w:rsidP="009211D0">
            <w:pPr>
              <w:numPr>
                <w:ilvl w:val="0"/>
                <w:numId w:val="3"/>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lang w:eastAsia="cs-CZ"/>
              </w:rPr>
            </w:pPr>
            <w:r w:rsidRPr="009211D0">
              <w:rPr>
                <w:rFonts w:ascii="Calibri" w:eastAsia="Times New Roman" w:hAnsi="Calibri" w:cs="Calibri"/>
                <w:lang w:eastAsia="cs-CZ"/>
              </w:rPr>
              <w:t xml:space="preserve">krácením dotace nad 24 měsíců na danou pozici </w:t>
            </w:r>
          </w:p>
          <w:p w:rsidR="009211D0" w:rsidRPr="009211D0" w:rsidRDefault="009211D0" w:rsidP="009211D0">
            <w:pPr>
              <w:numPr>
                <w:ilvl w:val="0"/>
                <w:numId w:val="3"/>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lang w:eastAsia="cs-CZ"/>
              </w:rPr>
            </w:pPr>
            <w:r w:rsidRPr="009211D0">
              <w:rPr>
                <w:rFonts w:ascii="Calibri" w:eastAsia="Times New Roman" w:hAnsi="Calibri" w:cs="Calibri"/>
                <w:lang w:eastAsia="cs-CZ"/>
              </w:rPr>
              <w:t xml:space="preserve">krácením dotace nad % odpovídající zapojení pracovní pozice do projektu.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(9)</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lang w:eastAsia="cs-CZ"/>
              </w:rPr>
              <w:t>Příjemce dotace je v rámci projektu povinen vytvořit příslušný počet nových pracovních míst takto:</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p>
          <w:p w:rsidR="009211D0" w:rsidRPr="009211D0" w:rsidRDefault="009211D0" w:rsidP="009211D0">
            <w:pPr>
              <w:numPr>
                <w:ilvl w:val="0"/>
                <w:numId w:val="4"/>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lang w:eastAsia="cs-CZ"/>
              </w:rPr>
            </w:pPr>
            <w:r w:rsidRPr="009211D0">
              <w:rPr>
                <w:rFonts w:ascii="Calibri" w:eastAsia="Times New Roman" w:hAnsi="Calibri" w:cs="Calibri"/>
                <w:lang w:eastAsia="cs-CZ"/>
              </w:rPr>
              <w:t>Malý podnik – 2 nová pracovní místa</w:t>
            </w:r>
          </w:p>
          <w:p w:rsidR="009211D0" w:rsidRPr="009211D0" w:rsidRDefault="009211D0" w:rsidP="009211D0">
            <w:pPr>
              <w:numPr>
                <w:ilvl w:val="0"/>
                <w:numId w:val="4"/>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lang w:eastAsia="cs-CZ"/>
              </w:rPr>
            </w:pPr>
            <w:r w:rsidRPr="009211D0">
              <w:rPr>
                <w:rFonts w:ascii="Calibri" w:eastAsia="Times New Roman" w:hAnsi="Calibri" w:cs="Calibri"/>
                <w:lang w:eastAsia="cs-CZ"/>
              </w:rPr>
              <w:t>Střední podnik – 3 nová pracovní místa</w:t>
            </w:r>
          </w:p>
          <w:p w:rsidR="009211D0" w:rsidRPr="009211D0" w:rsidRDefault="009211D0" w:rsidP="009211D0">
            <w:pPr>
              <w:numPr>
                <w:ilvl w:val="0"/>
                <w:numId w:val="4"/>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lang w:eastAsia="cs-CZ"/>
              </w:rPr>
            </w:pPr>
            <w:r w:rsidRPr="009211D0">
              <w:rPr>
                <w:rFonts w:ascii="Calibri" w:eastAsia="Times New Roman" w:hAnsi="Calibri" w:cs="Calibri"/>
                <w:lang w:eastAsia="cs-CZ"/>
              </w:rPr>
              <w:t>Velký podnik – 4 nová pracovní místa</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bCs/>
                <w:lang w:eastAsia="cs-CZ"/>
              </w:rPr>
              <w:t>Dále je příjemce povinen zachovat tato pracovní místa po dobu 5 let (3 roky pro MSP) od prvního obsazení vytvořené pozice.</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(10)</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211D0">
              <w:rPr>
                <w:rFonts w:ascii="Calibri" w:eastAsia="Times New Roman" w:hAnsi="Calibri" w:cs="Calibri"/>
                <w:bCs/>
                <w:lang w:eastAsia="cs-CZ"/>
              </w:rPr>
              <w:t xml:space="preserve">Vytvářením pracovních míst se rozumí čistý nárůst počtu ročních pracovních jednotek (RPJ) na odborných místech přímo zaměstnaných ve všech provozovnách žadatele na území ČR ve srovnání s průměrem relevantních pozic za posledních 12 měsíců předcházejících datu zahájení projektu. Nová pracovní místa musí být vytvořena přímo v místě realizace projektu. RPJ se přitom rozumí počet pracovníků zaměstnaných na plný </w:t>
            </w:r>
            <w:r w:rsidRPr="009211D0">
              <w:rPr>
                <w:rFonts w:ascii="Calibri" w:eastAsia="Times New Roman" w:hAnsi="Calibri" w:cs="Calibri"/>
                <w:bCs/>
                <w:lang w:eastAsia="cs-CZ"/>
              </w:rPr>
              <w:lastRenderedPageBreak/>
              <w:t>pracovní úvazek za období jednoho roku, přičemž u pracovníků s částečným pracovním úvazkem a u sezónních pracovníků se započítává odpovídající zlomek RPJ. Splnění této podmínky se dokládá pomocí tabulky RPJ, která je k dispozici na stránkách Agentury.</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lastRenderedPageBreak/>
              <w:t>(11)</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 xml:space="preserve">Příjemce dotace je povinen zajistit, aby skutečnost, že se dotovaná pracovní pozice podílí na realizaci projektu, byla uvedena v pracovní smlouvě. V pracovní smlouvě musí být rovněž jasně uvedeno, zda může pracovník svoji pracovní činnost vykonávat prostřednictvím vzdáleného přístupu mimo adresu provozovny (tzv. </w:t>
            </w:r>
            <w:proofErr w:type="spellStart"/>
            <w:r w:rsidRPr="009211D0">
              <w:rPr>
                <w:rFonts w:ascii="Calibri" w:eastAsia="Times New Roman" w:hAnsi="Calibri" w:cs="Calibri"/>
                <w:bCs/>
                <w:lang w:eastAsia="cs-CZ"/>
              </w:rPr>
              <w:t>homeworking</w:t>
            </w:r>
            <w:proofErr w:type="spellEnd"/>
            <w:r w:rsidRPr="009211D0">
              <w:rPr>
                <w:rFonts w:ascii="Calibri" w:eastAsia="Times New Roman" w:hAnsi="Calibri" w:cs="Calibri"/>
                <w:bCs/>
                <w:lang w:eastAsia="cs-CZ"/>
              </w:rPr>
              <w:t xml:space="preserve">, </w:t>
            </w:r>
            <w:proofErr w:type="spellStart"/>
            <w:r w:rsidRPr="009211D0">
              <w:rPr>
                <w:rFonts w:ascii="Calibri" w:eastAsia="Times New Roman" w:hAnsi="Calibri" w:cs="Calibri"/>
                <w:bCs/>
                <w:lang w:eastAsia="cs-CZ"/>
              </w:rPr>
              <w:t>teleworking</w:t>
            </w:r>
            <w:proofErr w:type="spellEnd"/>
            <w:r w:rsidRPr="009211D0">
              <w:rPr>
                <w:rFonts w:ascii="Calibri" w:eastAsia="Times New Roman" w:hAnsi="Calibri" w:cs="Calibri"/>
                <w:bCs/>
                <w:lang w:eastAsia="cs-CZ"/>
              </w:rPr>
              <w:t xml:space="preserve"> aj.). V případě, že pracovní smlouva toto obsahovat nebude, má se zato, že daný pracovník nemůže vykonávat svoji činnost prostřednictvím vzdáleného přístupu. </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Míra tohoto způsobu provádění práce nesmí přesáhnout hranici 40 % v souhrnu za všechna podpořená pracovní místa.</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Přesáhnutí hranice pro provádění pracovní činnosti pomocí vzdáleného přístupu bude postiženo sankcí ve výši vyplacené dotace na všechna podpořená pracovní místa.</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(12)</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Pokud je pracovní místo dočasně neobsazené a společnost je schopna doložit, že pracovníka na dané pracovní místo intenzivně hledá, pak se po dobu 3 měsíců od uvolnění tohoto pracovního místa považuje toto pracovní místo za obsazené. V případě, že se společnosti nepodaří do uvedené doby pracovní místo znovu obsadit, považuje se toto pracovní místo za zaniklé.</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(13)</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 xml:space="preserve">Žadatel je povinen po dobu pěti (5) let (tří (3) let pro MSP) zachovat všechna pracovní místa, na jejichž mzdy byla čerpána dotace. Tato doba se počítá od prvního obsazení podpořené pozice v rámci realizace projektu. </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Porušení podmínky zachování pracovního místa po dobu pěti (5) let (tří (3) let pro MSP) bude postiženo sankcí ve výši vyplacené dotace, za každé pracovní místo, u kterého tato podmínka byla porušena.</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(14)</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Příjemce dotace je v rámci realizace projektu povinen vynaložit investici do dlouhodobého hmotného a nehmotného majetku využívaného v přímé souvislosti s projektem ve výši:</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p>
          <w:p w:rsidR="009211D0" w:rsidRPr="009211D0" w:rsidRDefault="009211D0" w:rsidP="009211D0">
            <w:pPr>
              <w:numPr>
                <w:ilvl w:val="0"/>
                <w:numId w:val="5"/>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 xml:space="preserve">malý podnik 300 tis. Kč, </w:t>
            </w:r>
          </w:p>
          <w:p w:rsidR="009211D0" w:rsidRPr="009211D0" w:rsidRDefault="009211D0" w:rsidP="009211D0">
            <w:pPr>
              <w:numPr>
                <w:ilvl w:val="0"/>
                <w:numId w:val="5"/>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střední podnik 500 tis. Kč</w:t>
            </w:r>
          </w:p>
          <w:p w:rsidR="009211D0" w:rsidRPr="009211D0" w:rsidRDefault="009211D0" w:rsidP="009211D0">
            <w:pPr>
              <w:numPr>
                <w:ilvl w:val="0"/>
                <w:numId w:val="5"/>
              </w:numPr>
              <w:shd w:val="clear" w:color="auto" w:fill="FFFFFF"/>
              <w:overflowPunct w:val="0"/>
              <w:autoSpaceDE w:val="0"/>
              <w:autoSpaceDN w:val="0"/>
              <w:adjustRightInd w:val="0"/>
              <w:spacing w:after="0" w:line="240" w:lineRule="auto"/>
              <w:contextualSpacing/>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 xml:space="preserve">velký podnik 1 000 tis. Kč. </w:t>
            </w: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p>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Tato podmínka musí být splněna nejpozději do data ukončení projektu a příjemce je povinen doložit její splnění nejpozději s předložením poslední Žádosti o platbu. Investicí se pro tyto účely rozumí pořízení dlouhodobého hmotného a nehmotného majetku, který splňuje všechna pravidla pro způsobilý výdaj.</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(15)</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cs-CZ"/>
              </w:rPr>
            </w:pPr>
            <w:r w:rsidRPr="009211D0">
              <w:rPr>
                <w:rFonts w:ascii="Calibri" w:eastAsia="Times New Roman" w:hAnsi="Calibri" w:cs="Calibri"/>
                <w:bCs/>
                <w:lang w:eastAsia="cs-CZ"/>
              </w:rPr>
              <w:t>Projekt je realizován v právě jednom místě realizace uvedeném v Rozhodnutí. Změna místa realizace je možná pouze v rámci regionu NUTS II.</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(16)</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Příjemce dotace se zavazuje splnit Indikátory povinné k naplnění požadované výzvou k předkládání projektů. Za splnění závazného ukazatele se považuje splnění cíle dle studie proveditelnosti v souladu s cílovou hodnotou indikátoru uvedenou v Hlavě I, čl. XII. tohoto Rozhodnutí.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120" w:line="240" w:lineRule="auto"/>
              <w:jc w:val="center"/>
              <w:textAlignment w:val="baseline"/>
              <w:rPr>
                <w:rFonts w:eastAsia="Times New Roman" w:cs="Calibri"/>
                <w:lang w:eastAsia="cs-CZ"/>
              </w:rPr>
            </w:pPr>
            <w:r w:rsidRPr="009211D0">
              <w:rPr>
                <w:rFonts w:eastAsia="Times New Roman" w:cs="Calibri"/>
                <w:lang w:eastAsia="cs-CZ"/>
              </w:rPr>
              <w:t>(17)</w:t>
            </w:r>
          </w:p>
        </w:tc>
        <w:tc>
          <w:tcPr>
            <w:tcW w:w="8080" w:type="dxa"/>
          </w:tcPr>
          <w:p w:rsidR="009211D0" w:rsidRPr="009211D0" w:rsidRDefault="009211D0" w:rsidP="009211D0">
            <w:pPr>
              <w:shd w:val="clear" w:color="auto" w:fill="FFFFFF"/>
              <w:overflowPunct w:val="0"/>
              <w:autoSpaceDE w:val="0"/>
              <w:autoSpaceDN w:val="0"/>
              <w:adjustRightInd w:val="0"/>
              <w:spacing w:after="0" w:line="240" w:lineRule="auto"/>
              <w:jc w:val="both"/>
              <w:textAlignment w:val="baseline"/>
              <w:rPr>
                <w:rFonts w:ascii="Calibri" w:eastAsia="Times New Roman" w:hAnsi="Calibri" w:cs="Calibri"/>
                <w:bCs/>
                <w:lang w:eastAsia="cs-CZ"/>
              </w:rPr>
            </w:pPr>
            <w:r w:rsidRPr="009211D0">
              <w:rPr>
                <w:rFonts w:ascii="Calibri" w:eastAsia="Times New Roman" w:hAnsi="Calibri" w:cs="Calibri"/>
                <w:bCs/>
                <w:lang w:eastAsia="cs-CZ"/>
              </w:rPr>
              <w:t>Porušení povinnosti dle Hlavy II. článku II., odst. (9), (10), (14), (15) a (16) bude správcem daně postiženo odvodem za porušení rozpočtové kázně ve výši 100 % z částky celkově proplacené dotace.</w:t>
            </w:r>
          </w:p>
        </w:tc>
      </w:tr>
    </w:tbl>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080"/>
      </w:tblGrid>
      <w:tr w:rsidR="009211D0" w:rsidRPr="009211D0" w:rsidTr="00335EF8">
        <w:trPr>
          <w:cantSplit/>
        </w:trPr>
        <w:tc>
          <w:tcPr>
            <w:tcW w:w="9640" w:type="dxa"/>
            <w:gridSpan w:val="2"/>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bCs/>
                <w:lang w:eastAsia="cs-CZ"/>
              </w:rPr>
            </w:pPr>
            <w:r w:rsidRPr="009211D0">
              <w:rPr>
                <w:rFonts w:eastAsia="Times New Roman" w:cs="Calibri"/>
                <w:b/>
                <w:lang w:eastAsia="cs-CZ"/>
              </w:rPr>
              <w:lastRenderedPageBreak/>
              <w:t>Hlava III. Závěrečná část</w:t>
            </w:r>
          </w:p>
        </w:tc>
      </w:tr>
      <w:tr w:rsidR="009211D0" w:rsidRPr="009211D0" w:rsidTr="00335EF8">
        <w:tc>
          <w:tcPr>
            <w:tcW w:w="1560" w:type="dxa"/>
          </w:tcPr>
          <w:p w:rsidR="009211D0" w:rsidRPr="009211D0" w:rsidRDefault="009211D0" w:rsidP="009211D0">
            <w:pPr>
              <w:keepNext/>
              <w:overflowPunct w:val="0"/>
              <w:autoSpaceDE w:val="0"/>
              <w:autoSpaceDN w:val="0"/>
              <w:adjustRightInd w:val="0"/>
              <w:spacing w:after="0" w:line="240" w:lineRule="auto"/>
              <w:jc w:val="center"/>
              <w:textAlignment w:val="baseline"/>
              <w:outlineLvl w:val="2"/>
              <w:rPr>
                <w:rFonts w:eastAsia="Times New Roman" w:cs="Calibri"/>
                <w:bCs/>
                <w:lang w:eastAsia="cs-CZ"/>
              </w:rPr>
            </w:pPr>
            <w:r w:rsidRPr="009211D0">
              <w:rPr>
                <w:rFonts w:eastAsia="Times New Roman" w:cs="Calibri"/>
                <w:lang w:eastAsia="cs-CZ"/>
              </w:rPr>
              <w:t>Článek I.</w:t>
            </w:r>
          </w:p>
        </w:tc>
        <w:tc>
          <w:tcPr>
            <w:tcW w:w="8080" w:type="dxa"/>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 xml:space="preserve">Čestné prohlášení příjemce </w:t>
            </w:r>
          </w:p>
        </w:tc>
      </w:tr>
      <w:tr w:rsidR="009211D0" w:rsidRPr="009211D0" w:rsidTr="00335EF8">
        <w:tc>
          <w:tcPr>
            <w:tcW w:w="1560" w:type="dxa"/>
          </w:tcPr>
          <w:p w:rsidR="009211D0" w:rsidRPr="009211D0" w:rsidRDefault="009211D0" w:rsidP="009211D0">
            <w:pPr>
              <w:keepNext/>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bCs/>
                <w:lang w:eastAsia="cs-CZ"/>
              </w:rPr>
              <w:t>Příjemce tímto:</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a)</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potvrzuje, že je mu znám právní rámec poskytování dotací daný zejména </w:t>
            </w:r>
            <w:r w:rsidRPr="009211D0">
              <w:rPr>
                <w:rFonts w:eastAsia="Times New Roman" w:cs="Calibri"/>
                <w:bCs/>
                <w:lang w:eastAsia="cs-CZ"/>
              </w:rPr>
              <w:t>nařízeními Evropského parlamentu a Rady (ES) č. 1303/2013 a 1301/2013, nařízeními Komise (ES) č. 651/2014 a č. 1407/2013, zákone č. 218/2000 Sb., o rozpočtových pravidlech, zákonem č. 320/2001 Sb., o finanční kontrole ve veřejné správě, zákonem č. 255/2012 Sb., kontrolní řád, zákonem č. 137/2006 Sb., o veřejných zakázkách</w:t>
            </w:r>
            <w:r w:rsidRPr="009211D0">
              <w:rPr>
                <w:rFonts w:eastAsia="Times New Roman" w:cs="Calibri"/>
                <w:lang w:eastAsia="cs-CZ"/>
              </w:rPr>
              <w:t>, vše ve znění pozdějších předpisů;</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b)</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potvrzuje, že byl s připraveným návrhem Rozhodnutí před jeho vydáním seznámen a že je srozuměn s tím, že v případě poskytnutí dotace vydáním tohoto Rozhodnutí bude povinen plnit podmínky v Rozhodnutí stanovené, kdy jejich neplnění bude sankcionováno dle výše uvedeného,</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c)</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čestně prohlašuje, že ke dni </w:t>
            </w:r>
            <w:bookmarkStart w:id="0" w:name="OLE_LINK1"/>
            <w:r w:rsidRPr="009211D0">
              <w:rPr>
                <w:rFonts w:eastAsia="Times New Roman" w:cs="Calibri"/>
                <w:lang w:eastAsia="cs-CZ"/>
              </w:rPr>
              <w:t>podání žádosti o podporu, ani ke dni</w:t>
            </w:r>
            <w:bookmarkEnd w:id="0"/>
            <w:r w:rsidRPr="009211D0">
              <w:rPr>
                <w:rFonts w:eastAsia="Times New Roman" w:cs="Calibri"/>
                <w:lang w:eastAsia="cs-CZ"/>
              </w:rPr>
              <w:t xml:space="preserve"> podepsání Rozhodnutí, ani v předchozích třech (3) letech nebyl na jeho majetek prohlášen konkurz (pokud je soudem povolena reorganizace, která je podnikem splněna, nenahlíží se na podnik jako na podnik v úpadku a podmínka pro poskytnutí dotace je tak splněna). Pokud je příjemce fyzickou osobou, prohlašuje dále, že mu soudem nebo správním orgánem nebyl ke dni podání žádosti o podporu, ani ke dni podpisu tohoto Rozhodnutí, ani v období předchozích tří (3) let pravomocně uložen zákaz činnosti týkající se provozování živnosti. Pokud je příjemce právnickou osobou prohlašuje dále, že mu nebyla soudem nebo správním orgánem, ke dni podání žádosti o podporu, ani ke dni podpisu tohoto Rozhodnutí, ani v období předchozích tří (3) let, pravomocně uložena sankce zákazu činnosti nebo zákazu přijímání dotací a subvencí;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d)</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čestně prohlašuje, že nemá žádné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atd., či další nevypořádané finanční závazky z jiných projektů financovaných z Evropských strukturálních a investičních fondů vůči orgánům, které prostředky z těchto fondů poskytují. Posečkání s úhradou závazků nebo dohoda o úhradě závazků a její řádné plnění se považují za vypořádané závazky);</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e)</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čestně prohlašuje, že nemá žádné nedoplatky z titulu mzdových nároků svých zaměstnanců;</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f)</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čestně prohlašuje, že ke dni podání žádosti nemá neuhrazený závazek vzniklý na základě příkazu k vrácení finančních prostředků vydaného po předchozím rozhodnutí Komise prohlašujícím, že podpora je protiprávní a neslučitelná se společným trhem;</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g)</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čestně prohlašuje, že není podnikem v obtížích (dle čl. 2, odst. 18 Nařízení Komise (ES) č. 651/2014);</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h)</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čestně prohlašuje, že pokud v žádosti o podporu prohlásil, že splňuje definici malého a středního podniku dle Nařízení Komise (ES) č. 651/2014, splňuje tuto definici i k datu podpisu Rozhodnutí;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i)</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souhlasí se zveřejněním svého názvu/jména, programu podpory, částky dotace a názvu projektu;</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j)</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souhlasí, aby Poskytovatel dotace zpracovával a v souladu s právními předpisy předával do informačních systémů veřejné správy údaje v souvislosti s projektem;</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lastRenderedPageBreak/>
              <w:t>k)</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souhlasí, aby Poskytovatel dotace předával jiným kontrolním orgánům protokoly z kontrol realizace projektu.</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l)</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highlight w:val="yellow"/>
                <w:lang w:eastAsia="cs-CZ"/>
              </w:rPr>
            </w:pPr>
            <w:r w:rsidRPr="009211D0">
              <w:rPr>
                <w:rFonts w:eastAsia="Times New Roman" w:cs="Calibri"/>
                <w:lang w:eastAsia="cs-CZ"/>
              </w:rPr>
              <w:t xml:space="preserve">je si vědom toho, že v případě poskytnutí podpory v režimu de </w:t>
            </w:r>
            <w:proofErr w:type="spellStart"/>
            <w:r w:rsidRPr="009211D0">
              <w:rPr>
                <w:rFonts w:eastAsia="Times New Roman" w:cs="Calibri"/>
                <w:lang w:eastAsia="cs-CZ"/>
              </w:rPr>
              <w:t>minimis</w:t>
            </w:r>
            <w:proofErr w:type="spellEnd"/>
            <w:r w:rsidRPr="009211D0">
              <w:rPr>
                <w:rFonts w:eastAsia="Times New Roman" w:cs="Calibri"/>
                <w:lang w:eastAsia="cs-CZ"/>
              </w:rPr>
              <w:t xml:space="preserve">, je Poskytovatel dotace povinen dle Zákona č. 109/2009 Sb. a č. 215/2004 Sb., ve znění pozdějších předpisů zanést informace o takto poskytnuté podpoře a jejím příjemci do Centrálního registru de </w:t>
            </w:r>
            <w:proofErr w:type="spellStart"/>
            <w:r w:rsidRPr="009211D0">
              <w:rPr>
                <w:rFonts w:eastAsia="Times New Roman" w:cs="Calibri"/>
                <w:lang w:eastAsia="cs-CZ"/>
              </w:rPr>
              <w:t>minimis</w:t>
            </w:r>
            <w:proofErr w:type="spellEnd"/>
            <w:r w:rsidRPr="009211D0">
              <w:rPr>
                <w:rFonts w:eastAsia="Times New Roman" w:cs="Calibri"/>
                <w:lang w:eastAsia="cs-CZ"/>
              </w:rPr>
              <w:t>,</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m)</w:t>
            </w:r>
          </w:p>
        </w:tc>
        <w:tc>
          <w:tcPr>
            <w:tcW w:w="8080" w:type="dxa"/>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čestně prohlašuje, že všechna jím shora uvedená prohlášení, potvrzení a údaje jsou úplné, správné a pravdivé a že nezatajil žádný požadovaný údaj.</w:t>
            </w:r>
          </w:p>
        </w:tc>
      </w:tr>
    </w:tbl>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080"/>
      </w:tblGrid>
      <w:tr w:rsidR="009211D0" w:rsidRPr="009211D0" w:rsidTr="00335EF8">
        <w:tc>
          <w:tcPr>
            <w:tcW w:w="1560" w:type="dxa"/>
          </w:tcPr>
          <w:p w:rsidR="009211D0" w:rsidRPr="009211D0" w:rsidRDefault="009211D0" w:rsidP="009211D0">
            <w:pPr>
              <w:keepNext/>
              <w:overflowPunct w:val="0"/>
              <w:autoSpaceDE w:val="0"/>
              <w:autoSpaceDN w:val="0"/>
              <w:adjustRightInd w:val="0"/>
              <w:spacing w:after="0" w:line="240" w:lineRule="auto"/>
              <w:jc w:val="center"/>
              <w:textAlignment w:val="baseline"/>
              <w:outlineLvl w:val="2"/>
              <w:rPr>
                <w:rFonts w:eastAsia="Times New Roman" w:cs="Calibri"/>
                <w:bCs/>
                <w:lang w:eastAsia="cs-CZ"/>
              </w:rPr>
            </w:pPr>
            <w:r w:rsidRPr="009211D0">
              <w:rPr>
                <w:rFonts w:eastAsia="Times New Roman" w:cs="Calibri"/>
                <w:lang w:eastAsia="cs-CZ"/>
              </w:rPr>
              <w:t>Článek II.</w:t>
            </w:r>
          </w:p>
        </w:tc>
        <w:tc>
          <w:tcPr>
            <w:tcW w:w="8080" w:type="dxa"/>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 xml:space="preserve">Seznam příloh k Rozhodnutí </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Pr>
          <w:p w:rsidR="009211D0" w:rsidRPr="009211D0" w:rsidRDefault="009211D0" w:rsidP="009211D0">
            <w:pPr>
              <w:overflowPunct w:val="0"/>
              <w:autoSpaceDE w:val="0"/>
              <w:autoSpaceDN w:val="0"/>
              <w:adjustRightInd w:val="0"/>
              <w:spacing w:after="0" w:line="240" w:lineRule="auto"/>
              <w:textAlignment w:val="baseline"/>
              <w:rPr>
                <w:rFonts w:eastAsia="Times New Roman" w:cs="Times New Roman"/>
                <w:color w:val="1F497D"/>
                <w:lang w:eastAsia="cs-CZ"/>
              </w:rPr>
            </w:pPr>
            <w:r w:rsidRPr="009211D0">
              <w:rPr>
                <w:rFonts w:eastAsia="Times New Roman" w:cs="Calibri"/>
                <w:lang w:eastAsia="cs-CZ"/>
              </w:rPr>
              <w:t>Pravidla způsobilosti a publicity (platné v den registrace žádosti o podporu)</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(2)</w:t>
            </w:r>
          </w:p>
        </w:tc>
        <w:tc>
          <w:tcPr>
            <w:tcW w:w="8080" w:type="dxa"/>
          </w:tcPr>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Pravidla pro výběr dodavatelů (platné v den zahájení výběrového řízení)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(3)</w:t>
            </w:r>
          </w:p>
        </w:tc>
        <w:tc>
          <w:tcPr>
            <w:tcW w:w="8080" w:type="dxa"/>
          </w:tcPr>
          <w:p w:rsidR="009211D0" w:rsidRPr="009211D0" w:rsidRDefault="009211D0" w:rsidP="009211D0">
            <w:pPr>
              <w:overflowPunct w:val="0"/>
              <w:autoSpaceDE w:val="0"/>
              <w:autoSpaceDN w:val="0"/>
              <w:adjustRightInd w:val="0"/>
              <w:spacing w:after="0" w:line="240" w:lineRule="auto"/>
              <w:textAlignment w:val="baseline"/>
              <w:rPr>
                <w:rFonts w:eastAsia="Times New Roman" w:cs="Calibri"/>
                <w:sz w:val="24"/>
                <w:lang w:eastAsia="cs-CZ"/>
              </w:rPr>
            </w:pPr>
            <w:r w:rsidRPr="009211D0">
              <w:rPr>
                <w:rFonts w:eastAsia="Times New Roman" w:cs="Calibri"/>
                <w:lang w:eastAsia="cs-CZ"/>
              </w:rPr>
              <w:t>Kategorizace nedostatků při zadávání zakázek se stanovením výše odvodu za porušení rozpočtové kázně (platné v den zahájení výběrového řízení)</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(4)</w:t>
            </w:r>
          </w:p>
        </w:tc>
        <w:tc>
          <w:tcPr>
            <w:tcW w:w="8080" w:type="dxa"/>
          </w:tcPr>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 xml:space="preserve">Pravidla pro žadatele a příjemce dotace z OPPIK – obecná část (dle </w:t>
            </w:r>
            <w:proofErr w:type="gramStart"/>
            <w:r w:rsidRPr="009211D0">
              <w:rPr>
                <w:rFonts w:eastAsia="Times New Roman" w:cs="Calibri"/>
                <w:lang w:eastAsia="cs-CZ"/>
              </w:rPr>
              <w:t>č.j.</w:t>
            </w:r>
            <w:proofErr w:type="gramEnd"/>
            <w:r w:rsidRPr="009211D0">
              <w:rPr>
                <w:rFonts w:eastAsia="Times New Roman" w:cs="Calibri"/>
                <w:lang w:eastAsia="cs-CZ"/>
              </w:rPr>
              <w:t xml:space="preserve"> MPO 25075/15/61100 a data platnosti 4.7.2017)</w:t>
            </w:r>
          </w:p>
        </w:tc>
      </w:tr>
      <w:tr w:rsidR="009211D0" w:rsidRPr="009211D0" w:rsidTr="00335EF8">
        <w:tc>
          <w:tcPr>
            <w:tcW w:w="1560" w:type="dxa"/>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lang w:eastAsia="cs-CZ"/>
              </w:rPr>
            </w:pPr>
            <w:r w:rsidRPr="009211D0">
              <w:rPr>
                <w:rFonts w:eastAsia="Times New Roman" w:cs="Calibri"/>
                <w:lang w:eastAsia="cs-CZ"/>
              </w:rPr>
              <w:t>(5)</w:t>
            </w:r>
          </w:p>
        </w:tc>
        <w:tc>
          <w:tcPr>
            <w:tcW w:w="8080" w:type="dxa"/>
          </w:tcPr>
          <w:p w:rsidR="009211D0" w:rsidRPr="009211D0" w:rsidRDefault="009211D0" w:rsidP="009211D0">
            <w:pPr>
              <w:overflowPunct w:val="0"/>
              <w:autoSpaceDE w:val="0"/>
              <w:autoSpaceDN w:val="0"/>
              <w:adjustRightInd w:val="0"/>
              <w:spacing w:after="0" w:line="240" w:lineRule="auto"/>
              <w:textAlignment w:val="baseline"/>
              <w:rPr>
                <w:rFonts w:eastAsia="Times New Roman" w:cs="Calibri"/>
                <w:lang w:eastAsia="cs-CZ"/>
              </w:rPr>
            </w:pPr>
            <w:r w:rsidRPr="009211D0">
              <w:rPr>
                <w:rFonts w:eastAsia="Times New Roman" w:cs="Calibri"/>
                <w:lang w:eastAsia="cs-CZ"/>
              </w:rPr>
              <w:t xml:space="preserve">Pravidla pro žadatele a příjemce dotace z OPPIK – zvláštní část (dle </w:t>
            </w:r>
            <w:proofErr w:type="gramStart"/>
            <w:r w:rsidRPr="009211D0">
              <w:rPr>
                <w:rFonts w:eastAsia="Times New Roman" w:cs="Calibri"/>
                <w:lang w:eastAsia="cs-CZ"/>
              </w:rPr>
              <w:t>č.j.</w:t>
            </w:r>
            <w:proofErr w:type="gramEnd"/>
            <w:r w:rsidRPr="009211D0">
              <w:rPr>
                <w:rFonts w:eastAsia="Times New Roman" w:cs="Calibri"/>
                <w:lang w:eastAsia="cs-CZ"/>
              </w:rPr>
              <w:t xml:space="preserve"> MPO 26282/17/61200 a data platnosti 13.4.2017)</w:t>
            </w:r>
          </w:p>
        </w:tc>
      </w:tr>
      <w:tr w:rsidR="009211D0" w:rsidRPr="009211D0" w:rsidTr="00335EF8">
        <w:tc>
          <w:tcPr>
            <w:tcW w:w="1560" w:type="dxa"/>
            <w:tcBorders>
              <w:top w:val="single" w:sz="4" w:space="0" w:color="auto"/>
              <w:left w:val="single" w:sz="4" w:space="0" w:color="auto"/>
              <w:bottom w:val="single" w:sz="4" w:space="0" w:color="auto"/>
              <w:right w:val="single" w:sz="4" w:space="0" w:color="auto"/>
            </w:tcBorders>
          </w:tcPr>
          <w:p w:rsidR="009211D0" w:rsidRPr="009211D0" w:rsidRDefault="009211D0" w:rsidP="009211D0">
            <w:pPr>
              <w:keepNext/>
              <w:overflowPunct w:val="0"/>
              <w:autoSpaceDE w:val="0"/>
              <w:autoSpaceDN w:val="0"/>
              <w:adjustRightInd w:val="0"/>
              <w:spacing w:after="0" w:line="240" w:lineRule="auto"/>
              <w:jc w:val="both"/>
              <w:textAlignment w:val="baseline"/>
              <w:outlineLvl w:val="2"/>
              <w:rPr>
                <w:rFonts w:eastAsia="Times New Roman" w:cs="Calibri"/>
                <w:b/>
                <w:lang w:eastAsia="cs-CZ"/>
              </w:rPr>
            </w:pPr>
          </w:p>
        </w:tc>
        <w:tc>
          <w:tcPr>
            <w:tcW w:w="8080" w:type="dxa"/>
            <w:tcBorders>
              <w:top w:val="single" w:sz="4" w:space="0" w:color="auto"/>
              <w:left w:val="single" w:sz="4" w:space="0" w:color="auto"/>
              <w:bottom w:val="single" w:sz="4" w:space="0" w:color="auto"/>
              <w:right w:val="single" w:sz="4" w:space="0" w:color="auto"/>
            </w:tcBorders>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b/>
                <w:lang w:eastAsia="cs-CZ"/>
              </w:rPr>
            </w:pPr>
            <w:r w:rsidRPr="009211D0">
              <w:rPr>
                <w:rFonts w:eastAsia="Times New Roman" w:cs="Calibri"/>
                <w:b/>
                <w:lang w:eastAsia="cs-CZ"/>
              </w:rPr>
              <w:t>Přílohy dle zvláštní části</w:t>
            </w:r>
          </w:p>
        </w:tc>
      </w:tr>
      <w:tr w:rsidR="009211D0" w:rsidRPr="009211D0" w:rsidTr="00335EF8">
        <w:tc>
          <w:tcPr>
            <w:tcW w:w="1560" w:type="dxa"/>
            <w:tcBorders>
              <w:top w:val="single" w:sz="4" w:space="0" w:color="auto"/>
              <w:left w:val="single" w:sz="4" w:space="0" w:color="auto"/>
              <w:bottom w:val="single" w:sz="4" w:space="0" w:color="auto"/>
              <w:right w:val="single" w:sz="4" w:space="0" w:color="auto"/>
            </w:tcBorders>
          </w:tcPr>
          <w:p w:rsidR="009211D0" w:rsidRPr="009211D0" w:rsidRDefault="009211D0" w:rsidP="009211D0">
            <w:pPr>
              <w:overflowPunct w:val="0"/>
              <w:autoSpaceDE w:val="0"/>
              <w:autoSpaceDN w:val="0"/>
              <w:adjustRightInd w:val="0"/>
              <w:spacing w:after="0" w:line="240" w:lineRule="auto"/>
              <w:jc w:val="center"/>
              <w:textAlignment w:val="baseline"/>
              <w:outlineLvl w:val="2"/>
              <w:rPr>
                <w:rFonts w:eastAsia="Times New Roman" w:cs="Calibri"/>
                <w:b/>
                <w:lang w:eastAsia="cs-CZ"/>
              </w:rPr>
            </w:pPr>
            <w:r w:rsidRPr="009211D0">
              <w:rPr>
                <w:rFonts w:eastAsia="Times New Roman" w:cs="Calibri"/>
                <w:lang w:eastAsia="cs-CZ"/>
              </w:rPr>
              <w:t>(1)</w:t>
            </w:r>
          </w:p>
        </w:tc>
        <w:tc>
          <w:tcPr>
            <w:tcW w:w="8080" w:type="dxa"/>
            <w:tcBorders>
              <w:top w:val="single" w:sz="4" w:space="0" w:color="auto"/>
              <w:left w:val="single" w:sz="4" w:space="0" w:color="auto"/>
              <w:bottom w:val="single" w:sz="4" w:space="0" w:color="auto"/>
              <w:right w:val="single" w:sz="4" w:space="0" w:color="auto"/>
            </w:tcBorders>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Prohlášení k Žádosti o podporu včetně de </w:t>
            </w:r>
            <w:proofErr w:type="spellStart"/>
            <w:r w:rsidRPr="009211D0">
              <w:rPr>
                <w:rFonts w:eastAsia="Times New Roman" w:cs="Calibri"/>
                <w:lang w:eastAsia="cs-CZ"/>
              </w:rPr>
              <w:t>minimis</w:t>
            </w:r>
            <w:proofErr w:type="spellEnd"/>
            <w:r w:rsidRPr="009211D0">
              <w:rPr>
                <w:rFonts w:eastAsia="Times New Roman" w:cs="Calibri"/>
                <w:lang w:eastAsia="cs-CZ"/>
              </w:rPr>
              <w:t>.</w:t>
            </w:r>
          </w:p>
        </w:tc>
      </w:tr>
    </w:tbl>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tbl>
      <w:tblPr>
        <w:tblW w:w="7796"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4961"/>
      </w:tblGrid>
      <w:tr w:rsidR="009211D0" w:rsidRPr="009211D0" w:rsidTr="00335EF8">
        <w:trPr>
          <w:cantSplit/>
          <w:trHeight w:val="564"/>
        </w:trPr>
        <w:tc>
          <w:tcPr>
            <w:tcW w:w="7796" w:type="dxa"/>
            <w:gridSpan w:val="2"/>
            <w:tcBorders>
              <w:right w:val="single" w:sz="4" w:space="0" w:color="auto"/>
            </w:tcBorders>
            <w:shd w:val="clear" w:color="auto" w:fill="C0C0C0"/>
          </w:tcPr>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Návod k použití kvalifikovaného certifikátu (elektronického podpisu):</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V poli CN musí být vyplněno jméno a příjmení podepisující osoby. Certifikát vydaný fyzické osobě (bez uvedení organizace (O - </w:t>
            </w:r>
            <w:proofErr w:type="spellStart"/>
            <w:r w:rsidRPr="009211D0">
              <w:rPr>
                <w:rFonts w:eastAsia="Times New Roman" w:cs="Calibri"/>
                <w:lang w:eastAsia="cs-CZ"/>
              </w:rPr>
              <w:t>organization</w:t>
            </w:r>
            <w:proofErr w:type="spellEnd"/>
            <w:r w:rsidRPr="009211D0">
              <w:rPr>
                <w:rFonts w:eastAsia="Times New Roman" w:cs="Calibri"/>
                <w:lang w:eastAsia="cs-CZ"/>
              </w:rPr>
              <w:t xml:space="preserve">), nebo vazby na organizaci (OU – </w:t>
            </w:r>
            <w:proofErr w:type="spellStart"/>
            <w:r w:rsidRPr="009211D0">
              <w:rPr>
                <w:rFonts w:eastAsia="Times New Roman" w:cs="Calibri"/>
                <w:lang w:eastAsia="cs-CZ"/>
              </w:rPr>
              <w:t>organization</w:t>
            </w:r>
            <w:proofErr w:type="spellEnd"/>
            <w:r w:rsidRPr="009211D0">
              <w:rPr>
                <w:rFonts w:eastAsia="Times New Roman" w:cs="Calibri"/>
                <w:lang w:eastAsia="cs-CZ"/>
              </w:rPr>
              <w:t xml:space="preserve"> unit)) může být použit k jednání za tuto FO, nebo k jednání za PO, pokud lze ověřit, že je FO oprávněna jednat za danou PO (např. dle jednání za společnost uvedeném v OR, dle naskenované notářsky či úředně doložené plné moci opatřené kvalifikovaným elektronickým podpisem).</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Certifikát, kde je uvedena vazba na organizaci nesmí být použit k jednání za organizaci jinou.</w:t>
            </w:r>
          </w:p>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 xml:space="preserve">V případě, že je vyplněn pouze název organizace a není uvedeno IČ, je možné certifikát akceptovat, pokud název společnosti nepřipouští zaměnitelnost s jiným subjektem (např. dle ARES neexistuje společnost ABC </w:t>
            </w:r>
            <w:proofErr w:type="spellStart"/>
            <w:r w:rsidRPr="009211D0">
              <w:rPr>
                <w:rFonts w:eastAsia="Times New Roman" w:cs="Calibri"/>
                <w:lang w:eastAsia="cs-CZ"/>
              </w:rPr>
              <w:t>s.r.o</w:t>
            </w:r>
            <w:proofErr w:type="spellEnd"/>
            <w:r w:rsidRPr="009211D0">
              <w:rPr>
                <w:rFonts w:eastAsia="Times New Roman" w:cs="Calibri"/>
                <w:lang w:eastAsia="cs-CZ"/>
              </w:rPr>
              <w:t xml:space="preserve"> a </w:t>
            </w:r>
            <w:proofErr w:type="spellStart"/>
            <w:r w:rsidRPr="009211D0">
              <w:rPr>
                <w:rFonts w:eastAsia="Times New Roman" w:cs="Calibri"/>
                <w:lang w:eastAsia="cs-CZ"/>
              </w:rPr>
              <w:t>Abc</w:t>
            </w:r>
            <w:proofErr w:type="spellEnd"/>
            <w:r w:rsidRPr="009211D0">
              <w:rPr>
                <w:rFonts w:eastAsia="Times New Roman" w:cs="Calibri"/>
                <w:lang w:eastAsia="cs-CZ"/>
              </w:rPr>
              <w:t xml:space="preserve"> </w:t>
            </w:r>
            <w:proofErr w:type="spellStart"/>
            <w:r w:rsidRPr="009211D0">
              <w:rPr>
                <w:rFonts w:eastAsia="Times New Roman" w:cs="Calibri"/>
                <w:lang w:eastAsia="cs-CZ"/>
              </w:rPr>
              <w:t>s.r.o</w:t>
            </w:r>
            <w:proofErr w:type="spellEnd"/>
            <w:r w:rsidRPr="009211D0">
              <w:rPr>
                <w:rFonts w:eastAsia="Times New Roman" w:cs="Calibri"/>
                <w:lang w:eastAsia="cs-CZ"/>
              </w:rPr>
              <w:t>).</w:t>
            </w:r>
          </w:p>
        </w:tc>
      </w:tr>
      <w:tr w:rsidR="009211D0" w:rsidRPr="009211D0" w:rsidTr="00335EF8">
        <w:trPr>
          <w:cantSplit/>
          <w:trHeight w:val="564"/>
        </w:trPr>
        <w:tc>
          <w:tcPr>
            <w:tcW w:w="7796" w:type="dxa"/>
            <w:gridSpan w:val="2"/>
            <w:tcBorders>
              <w:right w:val="single" w:sz="4" w:space="0" w:color="auto"/>
            </w:tcBorders>
            <w:shd w:val="clear" w:color="auto" w:fill="C0C0C0"/>
          </w:tcPr>
          <w:p w:rsidR="009211D0" w:rsidRPr="009211D0" w:rsidRDefault="009211D0" w:rsidP="009211D0">
            <w:pPr>
              <w:autoSpaceDE w:val="0"/>
              <w:autoSpaceDN w:val="0"/>
              <w:adjustRightInd w:val="0"/>
              <w:spacing w:after="0" w:line="240" w:lineRule="auto"/>
              <w:rPr>
                <w:rFonts w:eastAsia="Times New Roman" w:cs="Calibri"/>
                <w:lang w:eastAsia="cs-CZ"/>
              </w:rPr>
            </w:pPr>
            <w:r w:rsidRPr="009211D0">
              <w:rPr>
                <w:rFonts w:eastAsia="Times New Roman" w:cs="Calibri"/>
                <w:lang w:eastAsia="cs-CZ"/>
              </w:rPr>
              <w:t>Příjemce dotace potvrzuje, že dokument je elektronicky podepsán osobou</w:t>
            </w:r>
          </w:p>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oprávněnou jednat za příjemce dotace.</w:t>
            </w:r>
          </w:p>
        </w:tc>
      </w:tr>
      <w:tr w:rsidR="009211D0" w:rsidRPr="009211D0" w:rsidTr="00335EF8">
        <w:tc>
          <w:tcPr>
            <w:tcW w:w="2835" w:type="dxa"/>
            <w:shd w:val="clear" w:color="auto" w:fill="C0C0C0"/>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Název subjektu</w:t>
            </w:r>
          </w:p>
        </w:tc>
        <w:tc>
          <w:tcPr>
            <w:tcW w:w="4961" w:type="dxa"/>
            <w:tcBorders>
              <w:top w:val="single" w:sz="4" w:space="0" w:color="auto"/>
            </w:tcBorders>
            <w:shd w:val="clear" w:color="auto" w:fill="C0C0C0"/>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b/>
                <w:lang w:eastAsia="cs-CZ"/>
              </w:rPr>
              <w:t>ČD - Informační Systémy, a.s.</w:t>
            </w:r>
          </w:p>
        </w:tc>
      </w:tr>
      <w:tr w:rsidR="009211D0" w:rsidRPr="009211D0" w:rsidTr="00335EF8">
        <w:tc>
          <w:tcPr>
            <w:tcW w:w="2835" w:type="dxa"/>
            <w:shd w:val="clear" w:color="auto" w:fill="C0C0C0"/>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IČ</w:t>
            </w:r>
          </w:p>
        </w:tc>
        <w:tc>
          <w:tcPr>
            <w:tcW w:w="4961" w:type="dxa"/>
            <w:shd w:val="clear" w:color="auto" w:fill="C0C0C0"/>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b/>
                <w:lang w:eastAsia="cs-CZ"/>
              </w:rPr>
              <w:t>24829871</w:t>
            </w:r>
          </w:p>
        </w:tc>
      </w:tr>
      <w:tr w:rsidR="009211D0" w:rsidRPr="009211D0" w:rsidTr="00335EF8">
        <w:tc>
          <w:tcPr>
            <w:tcW w:w="2835" w:type="dxa"/>
            <w:shd w:val="clear" w:color="auto" w:fill="C0C0C0"/>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lang w:eastAsia="cs-CZ"/>
              </w:rPr>
              <w:t>Sídlo</w:t>
            </w:r>
          </w:p>
        </w:tc>
        <w:tc>
          <w:tcPr>
            <w:tcW w:w="4961" w:type="dxa"/>
            <w:shd w:val="clear" w:color="auto" w:fill="C0C0C0"/>
          </w:tcPr>
          <w:p w:rsidR="009211D0" w:rsidRPr="009211D0" w:rsidRDefault="009211D0" w:rsidP="009211D0">
            <w:pPr>
              <w:keepNext/>
              <w:overflowPunct w:val="0"/>
              <w:autoSpaceDE w:val="0"/>
              <w:autoSpaceDN w:val="0"/>
              <w:adjustRightInd w:val="0"/>
              <w:spacing w:after="0" w:line="240" w:lineRule="auto"/>
              <w:jc w:val="both"/>
              <w:textAlignment w:val="baseline"/>
              <w:rPr>
                <w:rFonts w:eastAsia="Times New Roman" w:cs="Calibri"/>
                <w:lang w:eastAsia="cs-CZ"/>
              </w:rPr>
            </w:pPr>
            <w:r w:rsidRPr="009211D0">
              <w:rPr>
                <w:rFonts w:eastAsia="Times New Roman" w:cs="Calibri"/>
                <w:b/>
                <w:lang w:eastAsia="cs-CZ"/>
              </w:rPr>
              <w:t>Pernerova 2819/2a, Žižkov, 130 00 Praha 3</w:t>
            </w:r>
          </w:p>
        </w:tc>
      </w:tr>
    </w:tbl>
    <w:p w:rsidR="009211D0" w:rsidRPr="009211D0" w:rsidRDefault="009211D0" w:rsidP="009211D0">
      <w:pPr>
        <w:overflowPunct w:val="0"/>
        <w:autoSpaceDE w:val="0"/>
        <w:autoSpaceDN w:val="0"/>
        <w:adjustRightInd w:val="0"/>
        <w:spacing w:after="0" w:line="240" w:lineRule="auto"/>
        <w:jc w:val="both"/>
        <w:textAlignment w:val="baseline"/>
        <w:rPr>
          <w:rFonts w:eastAsia="Times New Roman" w:cs="Calibri"/>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Rozhodnutí nabývá účinnosti dnem podpisu Poskytovatelem dotace.</w:t>
      </w: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Poučení:</w:t>
      </w: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lastRenderedPageBreak/>
        <w:t>Na vydání tohoto Rozhodnutí se nevztahují obecné právní předpisy o správním řízení (§14 odst. 5 zákona č.218/2000 Sb., rozpočtových pravidel a je vyloučeno jeho soudní přezkoumání. Proti tomuto Rozhodnutí se nelze odvolat, ani podat jiný opravný prostředek.</w:t>
      </w: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V Praze, dne………</w:t>
      </w:r>
      <w:r w:rsidR="00E04A96">
        <w:rPr>
          <w:rFonts w:eastAsia="Times New Roman" w:cs="Times New Roman"/>
          <w:lang w:eastAsia="cs-CZ"/>
        </w:rPr>
        <w:t>16.10.2017</w:t>
      </w:r>
      <w:bookmarkStart w:id="1" w:name="_GoBack"/>
      <w:bookmarkEnd w:id="1"/>
      <w:r w:rsidRPr="009211D0">
        <w:rPr>
          <w:rFonts w:eastAsia="Times New Roman" w:cs="Times New Roman"/>
          <w:lang w:eastAsia="cs-CZ"/>
        </w:rPr>
        <w:t>……………</w:t>
      </w: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 xml:space="preserve">                                                                                                                      ………………………………………...</w:t>
      </w:r>
    </w:p>
    <w:p w:rsidR="009211D0" w:rsidRPr="009211D0" w:rsidRDefault="009211D0" w:rsidP="009211D0">
      <w:pPr>
        <w:overflowPunct w:val="0"/>
        <w:autoSpaceDE w:val="0"/>
        <w:autoSpaceDN w:val="0"/>
        <w:adjustRightInd w:val="0"/>
        <w:spacing w:before="120" w:after="120" w:line="240" w:lineRule="auto"/>
        <w:jc w:val="both"/>
        <w:textAlignment w:val="baseline"/>
        <w:rPr>
          <w:rFonts w:eastAsia="Times New Roman" w:cs="Times New Roman"/>
          <w:lang w:eastAsia="cs-CZ"/>
        </w:rPr>
      </w:pPr>
      <w:r w:rsidRPr="009211D0">
        <w:rPr>
          <w:rFonts w:eastAsia="Times New Roman" w:cs="Times New Roman"/>
          <w:lang w:eastAsia="cs-CZ"/>
        </w:rPr>
        <w:t xml:space="preserve">                                            poskytovatel dotace (jméno + pozice osoby oprávněné podepsat Rozhodnutí)</w:t>
      </w:r>
    </w:p>
    <w:p w:rsidR="00335EF8" w:rsidRDefault="00335EF8"/>
    <w:sectPr w:rsidR="00335EF8">
      <w:headerReference w:type="default" r:id="rId13"/>
      <w:footerReference w:type="default" r:id="rId14"/>
      <w:pgSz w:w="11906" w:h="16838"/>
      <w:pgMar w:top="1417"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A0E" w:rsidRDefault="000F3A0E" w:rsidP="009211D0">
      <w:pPr>
        <w:spacing w:after="0" w:line="240" w:lineRule="auto"/>
      </w:pPr>
      <w:r>
        <w:separator/>
      </w:r>
    </w:p>
  </w:endnote>
  <w:endnote w:type="continuationSeparator" w:id="0">
    <w:p w:rsidR="000F3A0E" w:rsidRDefault="000F3A0E" w:rsidP="0092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BE" w:rsidRDefault="002B71BE">
    <w:pPr>
      <w:pStyle w:val="Zpat"/>
      <w:jc w:val="center"/>
      <w:rPr>
        <w:rFonts w:ascii="Arial" w:hAnsi="Arial" w:cs="Arial"/>
      </w:rPr>
    </w:pPr>
    <w:r>
      <w:rPr>
        <w:rStyle w:val="slostrnky"/>
        <w:rFonts w:ascii="Arial" w:hAnsi="Arial" w:cs="Arial"/>
        <w:b/>
        <w:bCs/>
        <w:color w:val="000099"/>
        <w:spacing w:val="70"/>
        <w:sz w:val="18"/>
      </w:rPr>
      <w:t>INVESTICE DO VAŠÍ BUDOUCNOSTI</w:t>
    </w:r>
  </w:p>
  <w:p w:rsidR="002B71BE" w:rsidRDefault="002B71BE" w:rsidP="00335EF8">
    <w:pPr>
      <w:pStyle w:val="Zpat"/>
      <w:jc w:val="center"/>
      <w:rPr>
        <w:rFonts w:ascii="Arial" w:hAnsi="Arial" w:cs="Arial"/>
      </w:rPr>
    </w:pPr>
    <w:r>
      <w:rPr>
        <w:rStyle w:val="slostrnky"/>
        <w:rFonts w:ascii="Arial" w:hAnsi="Arial" w:cs="Arial"/>
      </w:rPr>
      <w:fldChar w:fldCharType="begin"/>
    </w:r>
    <w:r>
      <w:rPr>
        <w:rStyle w:val="slostrnky"/>
        <w:rFonts w:ascii="Arial" w:hAnsi="Arial" w:cs="Arial"/>
      </w:rPr>
      <w:instrText xml:space="preserve"> PAGE </w:instrText>
    </w:r>
    <w:r>
      <w:rPr>
        <w:rStyle w:val="slostrnky"/>
        <w:rFonts w:ascii="Arial" w:hAnsi="Arial" w:cs="Arial"/>
      </w:rPr>
      <w:fldChar w:fldCharType="separate"/>
    </w:r>
    <w:r w:rsidR="00457420">
      <w:rPr>
        <w:rStyle w:val="slostrnky"/>
        <w:rFonts w:ascii="Arial" w:hAnsi="Arial" w:cs="Arial"/>
        <w:noProof/>
      </w:rPr>
      <w:t>12</w:t>
    </w:r>
    <w:r>
      <w:rPr>
        <w:rStyle w:val="slostrnky"/>
        <w:rFonts w:ascii="Arial" w:hAnsi="Arial" w:cs="Arial"/>
      </w:rPr>
      <w:fldChar w:fldCharType="end"/>
    </w:r>
    <w:r>
      <w:rPr>
        <w:rStyle w:val="slostrnky"/>
        <w:rFonts w:ascii="Arial" w:hAnsi="Arial" w:cs="Arial"/>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BE" w:rsidRPr="00AA423B" w:rsidRDefault="002B71BE" w:rsidP="00335EF8">
    <w:pPr>
      <w:tabs>
        <w:tab w:val="center" w:pos="4536"/>
        <w:tab w:val="right" w:pos="9072"/>
      </w:tabs>
      <w:jc w:val="center"/>
      <w:rPr>
        <w:rFonts w:ascii="Arial" w:hAnsi="Arial" w:cs="Arial"/>
      </w:rPr>
    </w:pPr>
    <w:r w:rsidRPr="00AA423B">
      <w:rPr>
        <w:rFonts w:ascii="Arial" w:hAnsi="Arial" w:cs="Arial"/>
        <w:b/>
        <w:bCs/>
        <w:color w:val="000099"/>
        <w:spacing w:val="70"/>
        <w:sz w:val="18"/>
      </w:rPr>
      <w:t>INVESTICE DO V</w:t>
    </w:r>
    <w:r>
      <w:rPr>
        <w:rFonts w:ascii="Arial" w:hAnsi="Arial" w:cs="Arial"/>
        <w:b/>
        <w:bCs/>
        <w:color w:val="000099"/>
        <w:spacing w:val="70"/>
        <w:sz w:val="18"/>
      </w:rPr>
      <w:t>AŠÍ</w:t>
    </w:r>
    <w:r w:rsidRPr="00AA423B">
      <w:rPr>
        <w:rFonts w:ascii="Arial" w:hAnsi="Arial" w:cs="Arial"/>
        <w:b/>
        <w:bCs/>
        <w:color w:val="000099"/>
        <w:spacing w:val="70"/>
        <w:sz w:val="18"/>
      </w:rPr>
      <w:t xml:space="preserve"> BUDOUCNOSTI</w:t>
    </w:r>
  </w:p>
  <w:p w:rsidR="002B71BE" w:rsidRDefault="002B71BE" w:rsidP="00335EF8">
    <w:pPr>
      <w:jc w:val="center"/>
      <w:rPr>
        <w:rStyle w:val="slostrnky"/>
        <w:rFonts w:ascii="Arial" w:hAnsi="Arial" w:cs="Arial"/>
      </w:rPr>
    </w:pPr>
  </w:p>
  <w:p w:rsidR="002B71BE" w:rsidRDefault="002B71BE" w:rsidP="00335EF8">
    <w:pPr>
      <w:jc w:val="center"/>
      <w:rPr>
        <w:rStyle w:val="slostrnky"/>
        <w:rFonts w:ascii="Arial" w:hAnsi="Arial" w:cs="Arial"/>
      </w:rPr>
    </w:pPr>
    <w:r>
      <w:rPr>
        <w:rStyle w:val="slostrnky"/>
        <w:rFonts w:ascii="Arial" w:hAnsi="Arial" w:cs="Arial"/>
      </w:rPr>
      <w:fldChar w:fldCharType="begin"/>
    </w:r>
    <w:r>
      <w:rPr>
        <w:rStyle w:val="slostrnky"/>
        <w:rFonts w:ascii="Arial" w:hAnsi="Arial" w:cs="Arial"/>
      </w:rPr>
      <w:instrText xml:space="preserve"> PAGE </w:instrText>
    </w:r>
    <w:r>
      <w:rPr>
        <w:rStyle w:val="slostrnky"/>
        <w:rFonts w:ascii="Arial" w:hAnsi="Arial" w:cs="Arial"/>
      </w:rPr>
      <w:fldChar w:fldCharType="separate"/>
    </w:r>
    <w:r w:rsidR="00E04A96">
      <w:rPr>
        <w:rStyle w:val="slostrnky"/>
        <w:rFonts w:ascii="Arial" w:hAnsi="Arial" w:cs="Arial"/>
        <w:noProof/>
      </w:rPr>
      <w:t>19</w:t>
    </w:r>
    <w:r>
      <w:rPr>
        <w:rStyle w:val="slostrnky"/>
        <w:rFonts w:ascii="Arial" w:hAnsi="Arial" w:cs="Arial"/>
      </w:rPr>
      <w:fldChar w:fldCharType="end"/>
    </w:r>
    <w:r>
      <w:rPr>
        <w:rStyle w:val="slostrnky"/>
        <w:rFonts w:ascii="Arial" w:hAnsi="Arial" w:cs="Arial"/>
      </w:rPr>
      <w:t>/</w:t>
    </w:r>
    <w:r>
      <w:rPr>
        <w:rStyle w:val="slostrnky"/>
        <w:rFonts w:ascii="Arial" w:hAnsi="Arial" w:cs="Arial"/>
      </w:rPr>
      <w:fldChar w:fldCharType="begin"/>
    </w:r>
    <w:r>
      <w:rPr>
        <w:rStyle w:val="slostrnky"/>
        <w:rFonts w:ascii="Arial" w:hAnsi="Arial" w:cs="Arial"/>
      </w:rPr>
      <w:instrText xml:space="preserve"> NUMPAGES </w:instrText>
    </w:r>
    <w:r>
      <w:rPr>
        <w:rStyle w:val="slostrnky"/>
        <w:rFonts w:ascii="Arial" w:hAnsi="Arial" w:cs="Arial"/>
      </w:rPr>
      <w:fldChar w:fldCharType="separate"/>
    </w:r>
    <w:r w:rsidR="00E04A96">
      <w:rPr>
        <w:rStyle w:val="slostrnky"/>
        <w:rFonts w:ascii="Arial" w:hAnsi="Arial" w:cs="Arial"/>
        <w:noProof/>
      </w:rPr>
      <w:t>19</w:t>
    </w:r>
    <w:r>
      <w:rPr>
        <w:rStyle w:val="slostrnky"/>
        <w:rFonts w:ascii="Arial" w:hAnsi="Arial" w:cs="Arial"/>
      </w:rPr>
      <w:fldChar w:fldCharType="end"/>
    </w:r>
  </w:p>
  <w:p w:rsidR="002B71BE" w:rsidRDefault="002B71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A0E" w:rsidRDefault="000F3A0E" w:rsidP="009211D0">
      <w:pPr>
        <w:spacing w:after="0" w:line="240" w:lineRule="auto"/>
      </w:pPr>
      <w:r>
        <w:separator/>
      </w:r>
    </w:p>
  </w:footnote>
  <w:footnote w:type="continuationSeparator" w:id="0">
    <w:p w:rsidR="000F3A0E" w:rsidRDefault="000F3A0E" w:rsidP="009211D0">
      <w:pPr>
        <w:spacing w:after="0" w:line="240" w:lineRule="auto"/>
      </w:pPr>
      <w:r>
        <w:continuationSeparator/>
      </w:r>
    </w:p>
  </w:footnote>
  <w:footnote w:id="1">
    <w:p w:rsidR="002B71BE" w:rsidRDefault="002B71BE" w:rsidP="009211D0">
      <w:pPr>
        <w:pStyle w:val="Textpoznpodarou"/>
      </w:pPr>
      <w:r>
        <w:rPr>
          <w:rStyle w:val="Znakapoznpodarou"/>
        </w:rPr>
        <w:footnoteRef/>
      </w:r>
      <w:r>
        <w:t xml:space="preserve"> Příjemce je povinen zajistit si místo realizace projektu dle podmínek dané výzvy.</w:t>
      </w:r>
    </w:p>
  </w:footnote>
  <w:footnote w:id="2">
    <w:p w:rsidR="002B71BE" w:rsidRDefault="002B71BE" w:rsidP="009211D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126"/>
      <w:gridCol w:w="1701"/>
      <w:gridCol w:w="1560"/>
      <w:gridCol w:w="1417"/>
    </w:tblGrid>
    <w:tr w:rsidR="002B71BE" w:rsidRPr="00DD7B13" w:rsidTr="00335EF8">
      <w:trPr>
        <w:cantSplit/>
        <w:trHeight w:hRule="exact" w:val="265"/>
      </w:trPr>
      <w:tc>
        <w:tcPr>
          <w:tcW w:w="2480" w:type="dxa"/>
          <w:vMerge w:val="restart"/>
          <w:vAlign w:val="center"/>
        </w:tcPr>
        <w:p w:rsidR="002B71BE" w:rsidRPr="00DD7B13" w:rsidRDefault="002B71BE" w:rsidP="00335EF8">
          <w:pPr>
            <w:pStyle w:val="Zhlav"/>
            <w:ind w:right="74"/>
            <w:rPr>
              <w:sz w:val="16"/>
            </w:rPr>
          </w:pPr>
          <w:r w:rsidRPr="00DD7B13">
            <w:rPr>
              <w:noProof/>
            </w:rPr>
            <w:drawing>
              <wp:inline distT="0" distB="0" distL="0" distR="0" wp14:anchorId="376A1244" wp14:editId="7B4B85DA">
                <wp:extent cx="1680210" cy="488950"/>
                <wp:effectExtent l="0" t="0" r="0" b="635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488950"/>
                        </a:xfrm>
                        <a:prstGeom prst="rect">
                          <a:avLst/>
                        </a:prstGeom>
                        <a:noFill/>
                        <a:ln>
                          <a:noFill/>
                        </a:ln>
                      </pic:spPr>
                    </pic:pic>
                  </a:graphicData>
                </a:graphic>
              </wp:inline>
            </w:drawing>
          </w:r>
        </w:p>
      </w:tc>
      <w:tc>
        <w:tcPr>
          <w:tcW w:w="5387" w:type="dxa"/>
          <w:gridSpan w:val="3"/>
          <w:tcBorders>
            <w:bottom w:val="single" w:sz="4" w:space="0" w:color="auto"/>
          </w:tcBorders>
          <w:vAlign w:val="center"/>
        </w:tcPr>
        <w:p w:rsidR="002B71BE" w:rsidRPr="00DD7B13" w:rsidRDefault="002B71BE" w:rsidP="00335EF8">
          <w:pPr>
            <w:pStyle w:val="Zhlav"/>
            <w:rPr>
              <w:sz w:val="16"/>
            </w:rPr>
          </w:pPr>
          <w:r w:rsidRPr="00DD7B13">
            <w:rPr>
              <w:sz w:val="16"/>
            </w:rPr>
            <w:t>Příloha Operačního manuálu OP PIK</w:t>
          </w:r>
        </w:p>
      </w:tc>
      <w:tc>
        <w:tcPr>
          <w:tcW w:w="1417" w:type="dxa"/>
          <w:vMerge w:val="restart"/>
          <w:vAlign w:val="center"/>
        </w:tcPr>
        <w:p w:rsidR="002B71BE" w:rsidRPr="00DD7B13" w:rsidRDefault="002B71BE" w:rsidP="00335EF8">
          <w:pPr>
            <w:pStyle w:val="Zhlav"/>
            <w:rPr>
              <w:sz w:val="16"/>
            </w:rPr>
          </w:pPr>
          <w:r w:rsidRPr="00DD7B13">
            <w:rPr>
              <w:noProof/>
            </w:rPr>
            <w:drawing>
              <wp:inline distT="0" distB="0" distL="0" distR="0" wp14:anchorId="1B5B0385" wp14:editId="0DA2BA98">
                <wp:extent cx="808355" cy="436245"/>
                <wp:effectExtent l="0" t="0" r="0" b="1905"/>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355" cy="436245"/>
                        </a:xfrm>
                        <a:prstGeom prst="rect">
                          <a:avLst/>
                        </a:prstGeom>
                        <a:noFill/>
                        <a:ln>
                          <a:noFill/>
                        </a:ln>
                      </pic:spPr>
                    </pic:pic>
                  </a:graphicData>
                </a:graphic>
              </wp:inline>
            </w:drawing>
          </w:r>
        </w:p>
      </w:tc>
    </w:tr>
    <w:tr w:rsidR="002B71BE" w:rsidRPr="00DD7B13" w:rsidTr="00335EF8">
      <w:trPr>
        <w:cantSplit/>
        <w:trHeight w:val="695"/>
      </w:trPr>
      <w:tc>
        <w:tcPr>
          <w:tcW w:w="2480" w:type="dxa"/>
          <w:vMerge/>
          <w:tcBorders>
            <w:bottom w:val="single" w:sz="4" w:space="0" w:color="auto"/>
          </w:tcBorders>
        </w:tcPr>
        <w:p w:rsidR="002B71BE" w:rsidRPr="00DD7B13" w:rsidRDefault="002B71BE" w:rsidP="00335EF8">
          <w:pPr>
            <w:pStyle w:val="Zhlav"/>
            <w:rPr>
              <w:sz w:val="16"/>
            </w:rPr>
          </w:pPr>
        </w:p>
      </w:tc>
      <w:tc>
        <w:tcPr>
          <w:tcW w:w="2126" w:type="dxa"/>
          <w:tcBorders>
            <w:top w:val="single" w:sz="4" w:space="0" w:color="auto"/>
            <w:bottom w:val="single" w:sz="4" w:space="0" w:color="auto"/>
          </w:tcBorders>
          <w:vAlign w:val="center"/>
        </w:tcPr>
        <w:p w:rsidR="002B71BE" w:rsidRPr="00DD7B13" w:rsidRDefault="002B71BE" w:rsidP="00335EF8">
          <w:pPr>
            <w:pStyle w:val="Zhlav"/>
            <w:jc w:val="center"/>
            <w:rPr>
              <w:bCs/>
            </w:rPr>
          </w:pPr>
          <w:r w:rsidRPr="00DD7B13">
            <w:rPr>
              <w:bCs/>
            </w:rPr>
            <w:t>D7_01_F_Rozhodnutí o poskytnutí dotace – obecná část</w:t>
          </w:r>
        </w:p>
      </w:tc>
      <w:tc>
        <w:tcPr>
          <w:tcW w:w="1701" w:type="dxa"/>
          <w:tcBorders>
            <w:top w:val="single" w:sz="4" w:space="0" w:color="auto"/>
            <w:bottom w:val="single" w:sz="4" w:space="0" w:color="auto"/>
          </w:tcBorders>
          <w:vAlign w:val="center"/>
        </w:tcPr>
        <w:p w:rsidR="002B71BE" w:rsidRPr="00DD7B13" w:rsidRDefault="002B71BE" w:rsidP="00335EF8">
          <w:pPr>
            <w:pStyle w:val="Zhlav"/>
            <w:jc w:val="center"/>
          </w:pPr>
          <w:r w:rsidRPr="00DD7B13">
            <w:t>Číslo vydání/aktualizace:</w:t>
          </w:r>
        </w:p>
        <w:p w:rsidR="002B71BE" w:rsidRPr="00DD7B13" w:rsidRDefault="002B71BE" w:rsidP="00335EF8">
          <w:pPr>
            <w:pStyle w:val="Zhlav"/>
            <w:jc w:val="center"/>
          </w:pPr>
          <w:r w:rsidRPr="00DD7B13">
            <w:fldChar w:fldCharType="begin"/>
          </w:r>
          <w:r w:rsidRPr="00DD7B13">
            <w:instrText xml:space="preserve"> MACROBUTTON </w:instrText>
          </w:r>
          <w:r w:rsidRPr="00DD7B13">
            <w:fldChar w:fldCharType="end"/>
          </w:r>
          <w:r>
            <w:t>4</w:t>
          </w:r>
          <w:r w:rsidRPr="00DD7B13">
            <w:t>/0</w:t>
          </w:r>
        </w:p>
      </w:tc>
      <w:tc>
        <w:tcPr>
          <w:tcW w:w="1560" w:type="dxa"/>
          <w:tcBorders>
            <w:top w:val="single" w:sz="4" w:space="0" w:color="auto"/>
            <w:bottom w:val="single" w:sz="4" w:space="0" w:color="auto"/>
          </w:tcBorders>
          <w:vAlign w:val="center"/>
        </w:tcPr>
        <w:p w:rsidR="002B71BE" w:rsidRPr="00DD7B13" w:rsidRDefault="002B71BE" w:rsidP="00335EF8">
          <w:pPr>
            <w:pStyle w:val="Zhlav"/>
            <w:jc w:val="center"/>
          </w:pPr>
          <w:r w:rsidRPr="00DD7B13">
            <w:t xml:space="preserve">Platnost </w:t>
          </w:r>
          <w:proofErr w:type="gramStart"/>
          <w:r w:rsidRPr="00DD7B13">
            <w:t>od</w:t>
          </w:r>
          <w:proofErr w:type="gramEnd"/>
          <w:r w:rsidRPr="00DD7B13">
            <w:t xml:space="preserve">: </w:t>
          </w:r>
        </w:p>
        <w:p w:rsidR="002B71BE" w:rsidRPr="00DD7B13" w:rsidRDefault="002B71BE" w:rsidP="00335EF8">
          <w:pPr>
            <w:pStyle w:val="Zhlav"/>
            <w:jc w:val="center"/>
          </w:pPr>
          <w:r>
            <w:t>1. 7. 2017</w:t>
          </w:r>
        </w:p>
      </w:tc>
      <w:tc>
        <w:tcPr>
          <w:tcW w:w="1417" w:type="dxa"/>
          <w:vMerge/>
          <w:tcBorders>
            <w:bottom w:val="single" w:sz="4" w:space="0" w:color="auto"/>
          </w:tcBorders>
          <w:vAlign w:val="center"/>
        </w:tcPr>
        <w:p w:rsidR="002B71BE" w:rsidRPr="00DD7B13" w:rsidRDefault="002B71BE" w:rsidP="00335EF8">
          <w:pPr>
            <w:pStyle w:val="Zhlav"/>
            <w:jc w:val="center"/>
          </w:pPr>
        </w:p>
      </w:tc>
    </w:tr>
  </w:tbl>
  <w:p w:rsidR="002B71BE" w:rsidRPr="00DD7B13" w:rsidRDefault="002B71B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1"/>
      <w:gridCol w:w="3267"/>
      <w:gridCol w:w="2614"/>
      <w:gridCol w:w="2399"/>
      <w:gridCol w:w="2178"/>
    </w:tblGrid>
    <w:tr w:rsidR="002B71BE" w:rsidTr="00335EF8">
      <w:trPr>
        <w:cantSplit/>
        <w:trHeight w:hRule="exact" w:val="236"/>
      </w:trPr>
      <w:tc>
        <w:tcPr>
          <w:tcW w:w="3811" w:type="dxa"/>
          <w:vMerge w:val="restart"/>
          <w:vAlign w:val="center"/>
        </w:tcPr>
        <w:p w:rsidR="002B71BE" w:rsidRDefault="002B71BE" w:rsidP="00335EF8">
          <w:pPr>
            <w:pStyle w:val="Zhlav"/>
            <w:ind w:right="74"/>
            <w:rPr>
              <w:sz w:val="16"/>
            </w:rPr>
          </w:pPr>
          <w:r>
            <w:rPr>
              <w:noProof/>
            </w:rPr>
            <w:drawing>
              <wp:inline distT="0" distB="0" distL="0" distR="0" wp14:anchorId="07AD0155" wp14:editId="1318BDEC">
                <wp:extent cx="1680210" cy="488950"/>
                <wp:effectExtent l="0" t="0" r="0" b="635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210" cy="488950"/>
                        </a:xfrm>
                        <a:prstGeom prst="rect">
                          <a:avLst/>
                        </a:prstGeom>
                        <a:noFill/>
                        <a:ln>
                          <a:noFill/>
                        </a:ln>
                      </pic:spPr>
                    </pic:pic>
                  </a:graphicData>
                </a:graphic>
              </wp:inline>
            </w:drawing>
          </w:r>
        </w:p>
      </w:tc>
      <w:tc>
        <w:tcPr>
          <w:tcW w:w="8280" w:type="dxa"/>
          <w:gridSpan w:val="3"/>
          <w:tcBorders>
            <w:bottom w:val="single" w:sz="4" w:space="0" w:color="auto"/>
          </w:tcBorders>
          <w:vAlign w:val="center"/>
        </w:tcPr>
        <w:p w:rsidR="002B71BE" w:rsidRDefault="002B71BE" w:rsidP="00335EF8">
          <w:pPr>
            <w:pStyle w:val="Zhlav"/>
            <w:rPr>
              <w:rFonts w:ascii="Arial" w:hAnsi="Arial" w:cs="Arial"/>
              <w:sz w:val="16"/>
            </w:rPr>
          </w:pPr>
          <w:r>
            <w:rPr>
              <w:rFonts w:ascii="Arial" w:hAnsi="Arial" w:cs="Arial"/>
              <w:sz w:val="16"/>
            </w:rPr>
            <w:t>Příloha Operačního manuálu OP PIK</w:t>
          </w:r>
        </w:p>
      </w:tc>
      <w:tc>
        <w:tcPr>
          <w:tcW w:w="2178" w:type="dxa"/>
          <w:vMerge w:val="restart"/>
          <w:vAlign w:val="center"/>
        </w:tcPr>
        <w:p w:rsidR="002B71BE" w:rsidRDefault="002B71BE" w:rsidP="00335EF8">
          <w:pPr>
            <w:pStyle w:val="Zhlav"/>
            <w:rPr>
              <w:rFonts w:ascii="Arial" w:hAnsi="Arial" w:cs="Arial"/>
              <w:sz w:val="16"/>
            </w:rPr>
          </w:pPr>
          <w:r>
            <w:rPr>
              <w:noProof/>
            </w:rPr>
            <w:drawing>
              <wp:inline distT="0" distB="0" distL="0" distR="0" wp14:anchorId="74B0CC9B" wp14:editId="3DA644FA">
                <wp:extent cx="808355" cy="436245"/>
                <wp:effectExtent l="0" t="0" r="0" b="1905"/>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355" cy="436245"/>
                        </a:xfrm>
                        <a:prstGeom prst="rect">
                          <a:avLst/>
                        </a:prstGeom>
                        <a:noFill/>
                        <a:ln>
                          <a:noFill/>
                        </a:ln>
                      </pic:spPr>
                    </pic:pic>
                  </a:graphicData>
                </a:graphic>
              </wp:inline>
            </w:drawing>
          </w:r>
        </w:p>
      </w:tc>
    </w:tr>
    <w:tr w:rsidR="002B71BE" w:rsidTr="00335EF8">
      <w:trPr>
        <w:cantSplit/>
        <w:trHeight w:val="619"/>
      </w:trPr>
      <w:tc>
        <w:tcPr>
          <w:tcW w:w="3811" w:type="dxa"/>
          <w:vMerge/>
          <w:tcBorders>
            <w:bottom w:val="single" w:sz="4" w:space="0" w:color="auto"/>
          </w:tcBorders>
        </w:tcPr>
        <w:p w:rsidR="002B71BE" w:rsidRDefault="002B71BE" w:rsidP="00335EF8">
          <w:pPr>
            <w:pStyle w:val="Zhlav"/>
            <w:rPr>
              <w:sz w:val="16"/>
            </w:rPr>
          </w:pPr>
        </w:p>
      </w:tc>
      <w:tc>
        <w:tcPr>
          <w:tcW w:w="3267" w:type="dxa"/>
          <w:tcBorders>
            <w:top w:val="single" w:sz="4" w:space="0" w:color="auto"/>
            <w:bottom w:val="single" w:sz="4" w:space="0" w:color="auto"/>
          </w:tcBorders>
          <w:vAlign w:val="center"/>
        </w:tcPr>
        <w:p w:rsidR="002B71BE" w:rsidRDefault="002B71BE" w:rsidP="00335EF8">
          <w:pPr>
            <w:pStyle w:val="Zhlav"/>
            <w:jc w:val="center"/>
            <w:rPr>
              <w:b/>
              <w:bCs/>
            </w:rPr>
          </w:pPr>
          <w:r w:rsidRPr="00DD7B13">
            <w:rPr>
              <w:bCs/>
            </w:rPr>
            <w:t>D7_01_F_Rozhodnutí o poskytnutí dotace – obecná část</w:t>
          </w:r>
        </w:p>
      </w:tc>
      <w:tc>
        <w:tcPr>
          <w:tcW w:w="2614" w:type="dxa"/>
          <w:tcBorders>
            <w:top w:val="single" w:sz="4" w:space="0" w:color="auto"/>
            <w:bottom w:val="single" w:sz="4" w:space="0" w:color="auto"/>
          </w:tcBorders>
          <w:vAlign w:val="center"/>
        </w:tcPr>
        <w:p w:rsidR="002B71BE" w:rsidRDefault="002B71BE" w:rsidP="00335EF8">
          <w:pPr>
            <w:pStyle w:val="Zhlav"/>
            <w:jc w:val="center"/>
          </w:pPr>
          <w:r>
            <w:t>Číslo vydání/aktualizace:</w:t>
          </w:r>
        </w:p>
        <w:p w:rsidR="002B71BE" w:rsidRDefault="002B71BE" w:rsidP="00335EF8">
          <w:pPr>
            <w:pStyle w:val="Zhlav"/>
            <w:jc w:val="center"/>
          </w:pPr>
          <w:r>
            <w:fldChar w:fldCharType="begin"/>
          </w:r>
          <w:r>
            <w:instrText xml:space="preserve"> MACROBUTTON </w:instrText>
          </w:r>
          <w:r>
            <w:fldChar w:fldCharType="end"/>
          </w:r>
          <w:r>
            <w:t>4/0</w:t>
          </w:r>
        </w:p>
      </w:tc>
      <w:tc>
        <w:tcPr>
          <w:tcW w:w="2397" w:type="dxa"/>
          <w:tcBorders>
            <w:top w:val="single" w:sz="4" w:space="0" w:color="auto"/>
            <w:bottom w:val="single" w:sz="4" w:space="0" w:color="auto"/>
          </w:tcBorders>
          <w:vAlign w:val="center"/>
        </w:tcPr>
        <w:p w:rsidR="002B71BE" w:rsidRDefault="002B71BE" w:rsidP="00335EF8">
          <w:pPr>
            <w:pStyle w:val="Zhlav"/>
            <w:jc w:val="center"/>
          </w:pPr>
          <w:r>
            <w:t xml:space="preserve">Platnost </w:t>
          </w:r>
          <w:proofErr w:type="gramStart"/>
          <w:r>
            <w:t>od</w:t>
          </w:r>
          <w:proofErr w:type="gramEnd"/>
          <w:r>
            <w:t>:</w:t>
          </w:r>
        </w:p>
        <w:p w:rsidR="002B71BE" w:rsidRDefault="002B71BE" w:rsidP="00335EF8">
          <w:pPr>
            <w:pStyle w:val="Zhlav"/>
            <w:jc w:val="center"/>
          </w:pPr>
          <w:r>
            <w:t>1. 7. 2017</w:t>
          </w:r>
        </w:p>
      </w:tc>
      <w:tc>
        <w:tcPr>
          <w:tcW w:w="2178" w:type="dxa"/>
          <w:vMerge/>
          <w:tcBorders>
            <w:bottom w:val="single" w:sz="4" w:space="0" w:color="auto"/>
          </w:tcBorders>
          <w:vAlign w:val="center"/>
        </w:tcPr>
        <w:p w:rsidR="002B71BE" w:rsidRDefault="002B71BE" w:rsidP="00335EF8">
          <w:pPr>
            <w:pStyle w:val="Zhlav"/>
            <w:jc w:val="center"/>
          </w:pPr>
        </w:p>
      </w:tc>
    </w:tr>
  </w:tbl>
  <w:p w:rsidR="002B71BE" w:rsidRDefault="002B71B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126"/>
      <w:gridCol w:w="2127"/>
      <w:gridCol w:w="1134"/>
      <w:gridCol w:w="1417"/>
    </w:tblGrid>
    <w:tr w:rsidR="002B71BE" w:rsidTr="00335EF8">
      <w:trPr>
        <w:cantSplit/>
        <w:trHeight w:hRule="exact" w:val="265"/>
      </w:trPr>
      <w:tc>
        <w:tcPr>
          <w:tcW w:w="2480" w:type="dxa"/>
          <w:vMerge w:val="restart"/>
          <w:vAlign w:val="center"/>
        </w:tcPr>
        <w:p w:rsidR="002B71BE" w:rsidRDefault="002B71BE" w:rsidP="00335EF8">
          <w:pPr>
            <w:pStyle w:val="Zhlav"/>
            <w:ind w:right="74"/>
            <w:rPr>
              <w:sz w:val="16"/>
            </w:rPr>
          </w:pPr>
          <w:r>
            <w:rPr>
              <w:noProof/>
            </w:rPr>
            <w:drawing>
              <wp:inline distT="0" distB="0" distL="0" distR="0" wp14:anchorId="66BAA488" wp14:editId="2146D22B">
                <wp:extent cx="1673225" cy="491490"/>
                <wp:effectExtent l="0" t="0" r="3175" b="381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491490"/>
                        </a:xfrm>
                        <a:prstGeom prst="rect">
                          <a:avLst/>
                        </a:prstGeom>
                        <a:noFill/>
                        <a:ln>
                          <a:noFill/>
                        </a:ln>
                      </pic:spPr>
                    </pic:pic>
                  </a:graphicData>
                </a:graphic>
              </wp:inline>
            </w:drawing>
          </w:r>
        </w:p>
      </w:tc>
      <w:tc>
        <w:tcPr>
          <w:tcW w:w="5387" w:type="dxa"/>
          <w:gridSpan w:val="3"/>
          <w:tcBorders>
            <w:bottom w:val="single" w:sz="4" w:space="0" w:color="auto"/>
          </w:tcBorders>
          <w:vAlign w:val="center"/>
        </w:tcPr>
        <w:p w:rsidR="002B71BE" w:rsidRDefault="002B71BE" w:rsidP="00335EF8">
          <w:pPr>
            <w:pStyle w:val="Zhlav"/>
            <w:rPr>
              <w:rFonts w:ascii="Arial" w:hAnsi="Arial" w:cs="Arial"/>
              <w:sz w:val="16"/>
            </w:rPr>
          </w:pPr>
          <w:r>
            <w:rPr>
              <w:rFonts w:ascii="Arial" w:hAnsi="Arial" w:cs="Arial"/>
              <w:sz w:val="16"/>
            </w:rPr>
            <w:t>Příloha Operačního manuálu OPPIK</w:t>
          </w:r>
        </w:p>
      </w:tc>
      <w:tc>
        <w:tcPr>
          <w:tcW w:w="1417" w:type="dxa"/>
          <w:vMerge w:val="restart"/>
          <w:vAlign w:val="center"/>
        </w:tcPr>
        <w:p w:rsidR="002B71BE" w:rsidRDefault="002B71BE" w:rsidP="00335EF8">
          <w:pPr>
            <w:pStyle w:val="Zhlav"/>
            <w:rPr>
              <w:rFonts w:ascii="Arial" w:hAnsi="Arial" w:cs="Arial"/>
              <w:sz w:val="16"/>
            </w:rPr>
          </w:pPr>
          <w:r>
            <w:rPr>
              <w:noProof/>
            </w:rPr>
            <w:drawing>
              <wp:inline distT="0" distB="0" distL="0" distR="0" wp14:anchorId="1405B7BE" wp14:editId="3A66A986">
                <wp:extent cx="810895" cy="440055"/>
                <wp:effectExtent l="0" t="0" r="8255"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440055"/>
                        </a:xfrm>
                        <a:prstGeom prst="rect">
                          <a:avLst/>
                        </a:prstGeom>
                        <a:noFill/>
                        <a:ln>
                          <a:noFill/>
                        </a:ln>
                      </pic:spPr>
                    </pic:pic>
                  </a:graphicData>
                </a:graphic>
              </wp:inline>
            </w:drawing>
          </w:r>
        </w:p>
      </w:tc>
    </w:tr>
    <w:tr w:rsidR="002B71BE" w:rsidTr="00335EF8">
      <w:trPr>
        <w:cantSplit/>
        <w:trHeight w:val="695"/>
      </w:trPr>
      <w:tc>
        <w:tcPr>
          <w:tcW w:w="2480" w:type="dxa"/>
          <w:vMerge/>
          <w:tcBorders>
            <w:bottom w:val="single" w:sz="4" w:space="0" w:color="auto"/>
          </w:tcBorders>
        </w:tcPr>
        <w:p w:rsidR="002B71BE" w:rsidRDefault="002B71BE" w:rsidP="00335EF8">
          <w:pPr>
            <w:pStyle w:val="Zhlav"/>
            <w:rPr>
              <w:sz w:val="16"/>
            </w:rPr>
          </w:pPr>
        </w:p>
      </w:tc>
      <w:tc>
        <w:tcPr>
          <w:tcW w:w="2126" w:type="dxa"/>
          <w:tcBorders>
            <w:top w:val="single" w:sz="4" w:space="0" w:color="auto"/>
            <w:bottom w:val="single" w:sz="4" w:space="0" w:color="auto"/>
          </w:tcBorders>
          <w:vAlign w:val="center"/>
        </w:tcPr>
        <w:p w:rsidR="002B71BE" w:rsidRDefault="002B71BE" w:rsidP="00335EF8">
          <w:pPr>
            <w:pStyle w:val="Zhlav"/>
            <w:rPr>
              <w:b/>
              <w:bCs/>
            </w:rPr>
          </w:pPr>
          <w:r w:rsidRPr="00DD7B13">
            <w:rPr>
              <w:bCs/>
            </w:rPr>
            <w:t xml:space="preserve">D7_01_F_Rozhodnutí o poskytnutí dotace – </w:t>
          </w:r>
          <w:r>
            <w:rPr>
              <w:bCs/>
            </w:rPr>
            <w:t>zvláštní</w:t>
          </w:r>
          <w:r w:rsidRPr="00DD7B13">
            <w:rPr>
              <w:bCs/>
            </w:rPr>
            <w:t xml:space="preserve"> část</w:t>
          </w:r>
        </w:p>
      </w:tc>
      <w:tc>
        <w:tcPr>
          <w:tcW w:w="2127" w:type="dxa"/>
          <w:tcBorders>
            <w:top w:val="single" w:sz="4" w:space="0" w:color="auto"/>
            <w:bottom w:val="single" w:sz="4" w:space="0" w:color="auto"/>
          </w:tcBorders>
          <w:vAlign w:val="center"/>
        </w:tcPr>
        <w:p w:rsidR="002B71BE" w:rsidRDefault="002B71BE" w:rsidP="00335EF8">
          <w:pPr>
            <w:pStyle w:val="Zhlav"/>
            <w:jc w:val="center"/>
          </w:pPr>
          <w:r>
            <w:t>Číslo vydání/aktualizace:</w:t>
          </w:r>
        </w:p>
        <w:p w:rsidR="002B71BE" w:rsidRDefault="002B71BE" w:rsidP="00335EF8">
          <w:pPr>
            <w:pStyle w:val="Zhlav"/>
            <w:jc w:val="center"/>
          </w:pPr>
          <w:r>
            <w:fldChar w:fldCharType="begin"/>
          </w:r>
          <w:r>
            <w:instrText xml:space="preserve"> MACROBUTTON </w:instrText>
          </w:r>
          <w:r>
            <w:fldChar w:fldCharType="end"/>
          </w:r>
          <w:r>
            <w:t>3/0</w:t>
          </w:r>
        </w:p>
      </w:tc>
      <w:tc>
        <w:tcPr>
          <w:tcW w:w="1134" w:type="dxa"/>
          <w:tcBorders>
            <w:top w:val="single" w:sz="4" w:space="0" w:color="auto"/>
            <w:bottom w:val="single" w:sz="4" w:space="0" w:color="auto"/>
          </w:tcBorders>
          <w:vAlign w:val="center"/>
        </w:tcPr>
        <w:p w:rsidR="002B71BE" w:rsidRDefault="002B71BE" w:rsidP="00335EF8">
          <w:pPr>
            <w:pStyle w:val="Zhlav"/>
            <w:jc w:val="center"/>
          </w:pPr>
          <w:r>
            <w:t xml:space="preserve">Platnost </w:t>
          </w:r>
          <w:proofErr w:type="gramStart"/>
          <w:r>
            <w:t>od</w:t>
          </w:r>
          <w:proofErr w:type="gramEnd"/>
          <w:r>
            <w:t xml:space="preserve">: </w:t>
          </w:r>
        </w:p>
        <w:p w:rsidR="002B71BE" w:rsidRDefault="002B71BE" w:rsidP="00335EF8">
          <w:pPr>
            <w:pStyle w:val="Zhlav"/>
            <w:jc w:val="center"/>
          </w:pPr>
          <w:r>
            <w:t>30. 9. 2016</w:t>
          </w:r>
        </w:p>
      </w:tc>
      <w:tc>
        <w:tcPr>
          <w:tcW w:w="1417" w:type="dxa"/>
          <w:vMerge/>
          <w:tcBorders>
            <w:bottom w:val="single" w:sz="4" w:space="0" w:color="auto"/>
          </w:tcBorders>
          <w:vAlign w:val="center"/>
        </w:tcPr>
        <w:p w:rsidR="002B71BE" w:rsidRDefault="002B71BE" w:rsidP="00335EF8">
          <w:pPr>
            <w:pStyle w:val="Zhlav"/>
            <w:jc w:val="center"/>
          </w:pPr>
        </w:p>
      </w:tc>
    </w:tr>
  </w:tbl>
  <w:p w:rsidR="002B71BE" w:rsidRDefault="002B71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1BF"/>
    <w:multiLevelType w:val="hybridMultilevel"/>
    <w:tmpl w:val="04082128"/>
    <w:lvl w:ilvl="0" w:tplc="D2A23A1E">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90079A"/>
    <w:multiLevelType w:val="hybridMultilevel"/>
    <w:tmpl w:val="AA505010"/>
    <w:lvl w:ilvl="0" w:tplc="7FFE9200">
      <w:start w:val="3"/>
      <w:numFmt w:val="decimal"/>
      <w:lvlText w:val="(%1)"/>
      <w:lvlJc w:val="left"/>
      <w:pPr>
        <w:tabs>
          <w:tab w:val="num" w:pos="720"/>
        </w:tabs>
        <w:ind w:left="720" w:hanging="360"/>
      </w:pPr>
      <w:rPr>
        <w:rFonts w:hint="default"/>
      </w:rPr>
    </w:lvl>
    <w:lvl w:ilvl="1" w:tplc="D2A23A1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CB6382A"/>
    <w:multiLevelType w:val="hybridMultilevel"/>
    <w:tmpl w:val="2A241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B7B4DF2"/>
    <w:multiLevelType w:val="hybridMultilevel"/>
    <w:tmpl w:val="DF9C18E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DBF02E9"/>
    <w:multiLevelType w:val="hybridMultilevel"/>
    <w:tmpl w:val="BD8063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653A6E"/>
    <w:multiLevelType w:val="hybridMultilevel"/>
    <w:tmpl w:val="CDF23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D0"/>
    <w:rsid w:val="000F3A0E"/>
    <w:rsid w:val="0011687A"/>
    <w:rsid w:val="002B71BE"/>
    <w:rsid w:val="00335EF8"/>
    <w:rsid w:val="00343B3E"/>
    <w:rsid w:val="00457420"/>
    <w:rsid w:val="00663F65"/>
    <w:rsid w:val="006D7213"/>
    <w:rsid w:val="009211D0"/>
    <w:rsid w:val="00963920"/>
    <w:rsid w:val="00E04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211D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9211D0"/>
    <w:rPr>
      <w:rFonts w:ascii="Times New Roman" w:eastAsia="Times New Roman" w:hAnsi="Times New Roman" w:cs="Times New Roman"/>
      <w:sz w:val="20"/>
      <w:szCs w:val="20"/>
      <w:lang w:eastAsia="cs-CZ"/>
    </w:rPr>
  </w:style>
  <w:style w:type="paragraph" w:styleId="Zpat">
    <w:name w:val="footer"/>
    <w:basedOn w:val="Normln"/>
    <w:link w:val="ZpatChar"/>
    <w:semiHidden/>
    <w:rsid w:val="009211D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semiHidden/>
    <w:rsid w:val="009211D0"/>
    <w:rPr>
      <w:rFonts w:ascii="Times New Roman" w:eastAsia="Times New Roman" w:hAnsi="Times New Roman" w:cs="Times New Roman"/>
      <w:sz w:val="20"/>
      <w:szCs w:val="20"/>
      <w:lang w:eastAsia="cs-CZ"/>
    </w:rPr>
  </w:style>
  <w:style w:type="character" w:styleId="slostrnky">
    <w:name w:val="page number"/>
    <w:basedOn w:val="Standardnpsmoodstavce"/>
    <w:semiHidden/>
    <w:rsid w:val="009211D0"/>
  </w:style>
  <w:style w:type="paragraph" w:styleId="Textpoznpodarou">
    <w:name w:val="footnote text"/>
    <w:basedOn w:val="Normln"/>
    <w:link w:val="TextpoznpodarouChar"/>
    <w:uiPriority w:val="99"/>
    <w:semiHidden/>
    <w:rsid w:val="009211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9211D0"/>
    <w:rPr>
      <w:rFonts w:ascii="Times New Roman" w:eastAsia="Times New Roman" w:hAnsi="Times New Roman" w:cs="Times New Roman"/>
      <w:sz w:val="20"/>
      <w:szCs w:val="20"/>
      <w:lang w:eastAsia="cs-CZ"/>
    </w:rPr>
  </w:style>
  <w:style w:type="character" w:styleId="Znakapoznpodarou">
    <w:name w:val="footnote reference"/>
    <w:uiPriority w:val="99"/>
    <w:semiHidden/>
    <w:rsid w:val="009211D0"/>
    <w:rPr>
      <w:vertAlign w:val="superscript"/>
    </w:rPr>
  </w:style>
  <w:style w:type="table" w:styleId="Mkatabulky">
    <w:name w:val="Table Grid"/>
    <w:basedOn w:val="Normlntabulka"/>
    <w:uiPriority w:val="59"/>
    <w:rsid w:val="009211D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211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1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211D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9211D0"/>
    <w:rPr>
      <w:rFonts w:ascii="Times New Roman" w:eastAsia="Times New Roman" w:hAnsi="Times New Roman" w:cs="Times New Roman"/>
      <w:sz w:val="20"/>
      <w:szCs w:val="20"/>
      <w:lang w:eastAsia="cs-CZ"/>
    </w:rPr>
  </w:style>
  <w:style w:type="paragraph" w:styleId="Zpat">
    <w:name w:val="footer"/>
    <w:basedOn w:val="Normln"/>
    <w:link w:val="ZpatChar"/>
    <w:semiHidden/>
    <w:rsid w:val="009211D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semiHidden/>
    <w:rsid w:val="009211D0"/>
    <w:rPr>
      <w:rFonts w:ascii="Times New Roman" w:eastAsia="Times New Roman" w:hAnsi="Times New Roman" w:cs="Times New Roman"/>
      <w:sz w:val="20"/>
      <w:szCs w:val="20"/>
      <w:lang w:eastAsia="cs-CZ"/>
    </w:rPr>
  </w:style>
  <w:style w:type="character" w:styleId="slostrnky">
    <w:name w:val="page number"/>
    <w:basedOn w:val="Standardnpsmoodstavce"/>
    <w:semiHidden/>
    <w:rsid w:val="009211D0"/>
  </w:style>
  <w:style w:type="paragraph" w:styleId="Textpoznpodarou">
    <w:name w:val="footnote text"/>
    <w:basedOn w:val="Normln"/>
    <w:link w:val="TextpoznpodarouChar"/>
    <w:uiPriority w:val="99"/>
    <w:semiHidden/>
    <w:rsid w:val="009211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9211D0"/>
    <w:rPr>
      <w:rFonts w:ascii="Times New Roman" w:eastAsia="Times New Roman" w:hAnsi="Times New Roman" w:cs="Times New Roman"/>
      <w:sz w:val="20"/>
      <w:szCs w:val="20"/>
      <w:lang w:eastAsia="cs-CZ"/>
    </w:rPr>
  </w:style>
  <w:style w:type="character" w:styleId="Znakapoznpodarou">
    <w:name w:val="footnote reference"/>
    <w:uiPriority w:val="99"/>
    <w:semiHidden/>
    <w:rsid w:val="009211D0"/>
    <w:rPr>
      <w:vertAlign w:val="superscript"/>
    </w:rPr>
  </w:style>
  <w:style w:type="table" w:styleId="Mkatabulky">
    <w:name w:val="Table Grid"/>
    <w:basedOn w:val="Normlntabulka"/>
    <w:uiPriority w:val="59"/>
    <w:rsid w:val="009211D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211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1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eu/stats/exchange/eurofxref/html/index.en.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rukturalni-fondy.cz/cs/Fondy-EU/2014-2020/Dokument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19</Pages>
  <Words>7832</Words>
  <Characters>46213</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2017-10-19T14:25:00Z</dcterms:created>
  <dcterms:modified xsi:type="dcterms:W3CDTF">2017-10-23T12:23:00Z</dcterms:modified>
</cp:coreProperties>
</file>