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BD" w:rsidRDefault="00875B27">
      <w:pPr>
        <w:ind w:left="1368"/>
        <w:rPr>
          <w:rFonts w:ascii="Tahoma" w:hAnsi="Tahoma"/>
          <w:b/>
          <w:color w:val="000000"/>
          <w:spacing w:val="-2"/>
          <w:sz w:val="20"/>
          <w:u w:val="single"/>
          <w:lang w:val="cs-CZ"/>
        </w:rPr>
      </w:pPr>
      <w:bookmarkStart w:id="0" w:name="_GoBack"/>
      <w:bookmarkEnd w:id="0"/>
      <w:r>
        <w:rPr>
          <w:rFonts w:ascii="Tahoma" w:hAnsi="Tahoma"/>
          <w:b/>
          <w:color w:val="000000"/>
          <w:spacing w:val="-2"/>
          <w:sz w:val="20"/>
          <w:u w:val="single"/>
          <w:lang w:val="cs-CZ"/>
        </w:rPr>
        <w:t>Zápis z jednání</w:t>
      </w:r>
      <w:r>
        <w:rPr>
          <w:rFonts w:ascii="Arial" w:hAnsi="Arial"/>
          <w:b/>
          <w:color w:val="333333"/>
          <w:spacing w:val="-2"/>
          <w:sz w:val="6"/>
          <w:u w:val="single"/>
          <w:lang w:val="cs-CZ"/>
        </w:rPr>
        <w:t xml:space="preserve"> —</w:t>
      </w:r>
      <w:r>
        <w:rPr>
          <w:rFonts w:ascii="Tahoma" w:hAnsi="Tahoma"/>
          <w:b/>
          <w:color w:val="000000"/>
          <w:spacing w:val="-2"/>
          <w:sz w:val="20"/>
          <w:u w:val="single"/>
          <w:lang w:val="cs-CZ"/>
        </w:rPr>
        <w:t xml:space="preserve"> Slezská nemocnice v Opavě — ze dne 25.5.2017 </w:t>
      </w:r>
    </w:p>
    <w:p w:rsidR="00D379BD" w:rsidRDefault="00875B27">
      <w:pPr>
        <w:tabs>
          <w:tab w:val="right" w:pos="2117"/>
        </w:tabs>
        <w:spacing w:before="180" w:after="36" w:line="532" w:lineRule="auto"/>
        <w:ind w:right="1152"/>
        <w:rPr>
          <w:rFonts w:ascii="Tahoma" w:hAnsi="Tahoma"/>
          <w:b/>
          <w:color w:val="000000"/>
          <w:spacing w:val="-3"/>
          <w:sz w:val="15"/>
          <w:u w:val="single"/>
          <w:lang w:val="cs-CZ"/>
        </w:rPr>
      </w:pPr>
      <w:r>
        <w:rPr>
          <w:rFonts w:ascii="Tahoma" w:hAnsi="Tahoma"/>
          <w:b/>
          <w:color w:val="000000"/>
          <w:spacing w:val="-3"/>
          <w:sz w:val="15"/>
          <w:u w:val="single"/>
          <w:lang w:val="cs-CZ"/>
        </w:rPr>
        <w:t>Místo:</w:t>
      </w:r>
      <w:r>
        <w:rPr>
          <w:rFonts w:ascii="Verdana" w:hAnsi="Verdana"/>
          <w:color w:val="000000"/>
          <w:spacing w:val="-3"/>
          <w:sz w:val="15"/>
          <w:lang w:val="cs-CZ"/>
        </w:rPr>
        <w:t xml:space="preserve"> Slezská nemocnice v Opavě, příspěvková organizace, Olomoucká 470/86, Předměstí, 74601 Opava </w:t>
      </w:r>
      <w:r>
        <w:rPr>
          <w:rFonts w:ascii="Tahoma" w:hAnsi="Tahoma"/>
          <w:b/>
          <w:color w:val="000000"/>
          <w:spacing w:val="-6"/>
          <w:sz w:val="15"/>
          <w:u w:val="single"/>
          <w:lang w:val="cs-CZ"/>
        </w:rPr>
        <w:t>Datum:</w:t>
      </w:r>
      <w:r>
        <w:rPr>
          <w:rFonts w:ascii="Tahoma" w:hAnsi="Tahoma"/>
          <w:color w:val="5A5C8E"/>
          <w:spacing w:val="-6"/>
          <w:sz w:val="18"/>
          <w:lang w:val="cs-CZ"/>
        </w:rPr>
        <w:tab/>
      </w:r>
    </w:p>
    <w:tbl>
      <w:tblPr>
        <w:tblW w:w="0" w:type="auto"/>
        <w:tblLayout w:type="fixed"/>
        <w:tblCellMar>
          <w:left w:w="0" w:type="dxa"/>
          <w:right w:w="0" w:type="dxa"/>
        </w:tblCellMar>
        <w:tblLook w:val="0000" w:firstRow="0" w:lastRow="0" w:firstColumn="0" w:lastColumn="0" w:noHBand="0" w:noVBand="0"/>
      </w:tblPr>
      <w:tblGrid>
        <w:gridCol w:w="1271"/>
        <w:gridCol w:w="7749"/>
      </w:tblGrid>
      <w:tr w:rsidR="00D379BD">
        <w:trPr>
          <w:trHeight w:hRule="exact" w:val="704"/>
        </w:trPr>
        <w:tc>
          <w:tcPr>
            <w:tcW w:w="1271" w:type="dxa"/>
            <w:tcBorders>
              <w:top w:val="none" w:sz="0" w:space="0" w:color="000000"/>
              <w:left w:val="none" w:sz="0" w:space="0" w:color="000000"/>
              <w:bottom w:val="none" w:sz="0" w:space="0" w:color="000000"/>
              <w:right w:val="none" w:sz="0" w:space="0" w:color="000000"/>
            </w:tcBorders>
          </w:tcPr>
          <w:p w:rsidR="00D379BD" w:rsidRDefault="00875B27">
            <w:pPr>
              <w:spacing w:line="156" w:lineRule="exact"/>
              <w:rPr>
                <w:rFonts w:ascii="Tahoma" w:hAnsi="Tahoma"/>
                <w:b/>
                <w:color w:val="000000"/>
                <w:spacing w:val="-6"/>
                <w:sz w:val="15"/>
                <w:u w:val="single"/>
                <w:lang w:val="cs-CZ"/>
              </w:rPr>
            </w:pPr>
            <w:r>
              <w:rPr>
                <w:rFonts w:ascii="Tahoma" w:hAnsi="Tahoma"/>
                <w:b/>
                <w:color w:val="000000"/>
                <w:spacing w:val="-6"/>
                <w:sz w:val="15"/>
                <w:u w:val="single"/>
                <w:lang w:val="cs-CZ"/>
              </w:rPr>
              <w:t xml:space="preserve">Přítomni: </w:t>
            </w:r>
          </w:p>
          <w:p w:rsidR="00D379BD" w:rsidRDefault="00875B27">
            <w:pPr>
              <w:spacing w:before="72" w:line="217" w:lineRule="exact"/>
              <w:ind w:right="144"/>
              <w:rPr>
                <w:rFonts w:ascii="Tahoma" w:hAnsi="Tahoma"/>
                <w:b/>
                <w:color w:val="000000"/>
                <w:sz w:val="15"/>
                <w:lang w:val="cs-CZ"/>
              </w:rPr>
            </w:pPr>
            <w:r>
              <w:rPr>
                <w:rFonts w:ascii="Tahoma" w:hAnsi="Tahoma"/>
                <w:b/>
                <w:color w:val="000000"/>
                <w:sz w:val="15"/>
                <w:lang w:val="cs-CZ"/>
              </w:rPr>
              <w:t xml:space="preserve">za nemocnici: </w:t>
            </w:r>
            <w:r>
              <w:rPr>
                <w:rFonts w:ascii="Tahoma" w:hAnsi="Tahoma"/>
                <w:b/>
                <w:color w:val="000000"/>
                <w:spacing w:val="-6"/>
                <w:sz w:val="15"/>
                <w:lang w:val="cs-CZ"/>
              </w:rPr>
              <w:t>za spol. Baxter:</w:t>
            </w:r>
          </w:p>
        </w:tc>
        <w:tc>
          <w:tcPr>
            <w:tcW w:w="7749" w:type="dxa"/>
            <w:tcBorders>
              <w:top w:val="none" w:sz="0" w:space="0" w:color="000000"/>
              <w:left w:val="none" w:sz="0" w:space="0" w:color="000000"/>
              <w:bottom w:val="none" w:sz="0" w:space="0" w:color="000000"/>
              <w:right w:val="none" w:sz="0" w:space="0" w:color="000000"/>
            </w:tcBorders>
          </w:tcPr>
          <w:p w:rsidR="00D379BD" w:rsidRDefault="00875B27">
            <w:pPr>
              <w:spacing w:line="360" w:lineRule="auto"/>
              <w:ind w:left="108" w:right="6048"/>
              <w:rPr>
                <w:rFonts w:ascii="Verdana" w:hAnsi="Verdana"/>
                <w:color w:val="000000"/>
                <w:spacing w:val="-2"/>
                <w:sz w:val="15"/>
                <w:lang w:val="cs-CZ"/>
              </w:rPr>
            </w:pPr>
            <w:r>
              <w:rPr>
                <w:rFonts w:ascii="Verdana" w:hAnsi="Verdana"/>
                <w:color w:val="000000"/>
                <w:spacing w:val="-2"/>
                <w:sz w:val="15"/>
                <w:lang w:val="cs-CZ"/>
              </w:rPr>
              <w:t xml:space="preserve">MUDr. Lucia Butela </w:t>
            </w:r>
            <w:r>
              <w:rPr>
                <w:rFonts w:ascii="Verdana" w:hAnsi="Verdana"/>
                <w:color w:val="000000"/>
                <w:spacing w:val="-5"/>
                <w:sz w:val="15"/>
                <w:lang w:val="cs-CZ"/>
              </w:rPr>
              <w:t>Ing. Marek Macháček</w:t>
            </w:r>
          </w:p>
        </w:tc>
      </w:tr>
    </w:tbl>
    <w:p w:rsidR="00D379BD" w:rsidRDefault="00D379BD">
      <w:pPr>
        <w:spacing w:after="232" w:line="20" w:lineRule="exact"/>
      </w:pPr>
    </w:p>
    <w:p w:rsidR="00D379BD" w:rsidRDefault="00875B27">
      <w:pPr>
        <w:spacing w:line="278" w:lineRule="auto"/>
        <w:ind w:right="792"/>
        <w:rPr>
          <w:rFonts w:ascii="Verdana" w:hAnsi="Verdana"/>
          <w:color w:val="000000"/>
          <w:spacing w:val="-6"/>
          <w:sz w:val="15"/>
          <w:lang w:val="cs-CZ"/>
        </w:rPr>
      </w:pPr>
      <w:r>
        <w:rPr>
          <w:rFonts w:ascii="Verdana" w:hAnsi="Verdana"/>
          <w:color w:val="000000"/>
          <w:spacing w:val="-6"/>
          <w:sz w:val="15"/>
          <w:lang w:val="cs-CZ"/>
        </w:rPr>
        <w:t xml:space="preserve">Z důvodů řádného zajištění zdravotní péče pro pacienty Nemocnice se účastníci jednání dohodli na následujících </w:t>
      </w:r>
      <w:r>
        <w:rPr>
          <w:rFonts w:ascii="Verdana" w:hAnsi="Verdana"/>
          <w:color w:val="000000"/>
          <w:spacing w:val="-5"/>
          <w:sz w:val="15"/>
          <w:lang w:val="cs-CZ"/>
        </w:rPr>
        <w:t>podmínkách dočasné bonusové akce:</w:t>
      </w:r>
    </w:p>
    <w:p w:rsidR="00D379BD" w:rsidRDefault="00875B27">
      <w:pPr>
        <w:numPr>
          <w:ilvl w:val="0"/>
          <w:numId w:val="1"/>
        </w:numPr>
        <w:tabs>
          <w:tab w:val="clear" w:pos="360"/>
          <w:tab w:val="decimal" w:pos="792"/>
        </w:tabs>
        <w:spacing w:before="180" w:line="283" w:lineRule="auto"/>
        <w:ind w:left="792" w:right="72" w:hanging="360"/>
        <w:rPr>
          <w:rFonts w:ascii="Verdana" w:hAnsi="Verdana"/>
          <w:color w:val="000000"/>
          <w:spacing w:val="-4"/>
          <w:sz w:val="15"/>
          <w:lang w:val="cs-CZ"/>
        </w:rPr>
      </w:pPr>
      <w:r>
        <w:rPr>
          <w:rFonts w:ascii="Verdana" w:hAnsi="Verdana"/>
          <w:color w:val="000000"/>
          <w:spacing w:val="-4"/>
          <w:sz w:val="15"/>
          <w:lang w:val="cs-CZ"/>
        </w:rPr>
        <w:t xml:space="preserve">Baxter poskytne Nemocnici za období 1.7.2017 — 30.6.2018 obratový bonus (dále jen „Bonus") za odběr výrobků </w:t>
      </w:r>
      <w:r>
        <w:rPr>
          <w:rFonts w:ascii="Verdana" w:hAnsi="Verdana"/>
          <w:color w:val="000000"/>
          <w:spacing w:val="-6"/>
          <w:sz w:val="15"/>
          <w:lang w:val="cs-CZ"/>
        </w:rPr>
        <w:t xml:space="preserve">v rámci portfolia PD dle přílohy č.l. Bonus se vypočítává z celkových částek bez DPH očištěných o vratky a </w:t>
      </w:r>
      <w:r>
        <w:rPr>
          <w:rFonts w:ascii="Verdana" w:hAnsi="Verdana"/>
          <w:color w:val="000000"/>
          <w:spacing w:val="-14"/>
          <w:sz w:val="15"/>
          <w:lang w:val="cs-CZ"/>
        </w:rPr>
        <w:t>dobropisy.</w:t>
      </w:r>
    </w:p>
    <w:p w:rsidR="00D379BD" w:rsidRDefault="00875B27">
      <w:pPr>
        <w:numPr>
          <w:ilvl w:val="0"/>
          <w:numId w:val="1"/>
        </w:numPr>
        <w:tabs>
          <w:tab w:val="clear" w:pos="360"/>
          <w:tab w:val="decimal" w:pos="792"/>
        </w:tabs>
        <w:spacing w:before="252" w:line="264" w:lineRule="auto"/>
        <w:ind w:left="792" w:hanging="360"/>
        <w:rPr>
          <w:rFonts w:ascii="Verdana" w:hAnsi="Verdana"/>
          <w:color w:val="000000"/>
          <w:spacing w:val="-4"/>
          <w:sz w:val="15"/>
          <w:lang w:val="cs-CZ"/>
        </w:rPr>
      </w:pPr>
      <w:r>
        <w:rPr>
          <w:rFonts w:ascii="Verdana" w:hAnsi="Verdana"/>
          <w:color w:val="000000"/>
          <w:spacing w:val="-4"/>
          <w:sz w:val="15"/>
          <w:lang w:val="cs-CZ"/>
        </w:rPr>
        <w:t>Bonus bude nemocnici vyplácen za příslušné období - vzájemným zápočtem pohledávek.</w:t>
      </w:r>
    </w:p>
    <w:p w:rsidR="00D379BD" w:rsidRDefault="00875B27">
      <w:pPr>
        <w:numPr>
          <w:ilvl w:val="0"/>
          <w:numId w:val="1"/>
        </w:numPr>
        <w:tabs>
          <w:tab w:val="clear" w:pos="360"/>
          <w:tab w:val="decimal" w:pos="792"/>
        </w:tabs>
        <w:spacing w:before="288" w:line="314" w:lineRule="auto"/>
        <w:ind w:left="792" w:right="144" w:hanging="360"/>
        <w:rPr>
          <w:rFonts w:ascii="Verdana" w:hAnsi="Verdana"/>
          <w:color w:val="000000"/>
          <w:spacing w:val="-7"/>
          <w:sz w:val="15"/>
          <w:lang w:val="cs-CZ"/>
        </w:rPr>
      </w:pPr>
      <w:r>
        <w:rPr>
          <w:rFonts w:ascii="Verdana" w:hAnsi="Verdana"/>
          <w:color w:val="000000"/>
          <w:spacing w:val="-7"/>
          <w:sz w:val="15"/>
          <w:lang w:val="cs-CZ"/>
        </w:rPr>
        <w:t xml:space="preserve">Dojde-li v referenčním období k významným změnám cen či úhrad výrobků, vstoupí obě strany do jednání o </w:t>
      </w:r>
      <w:r>
        <w:rPr>
          <w:rFonts w:ascii="Verdana" w:hAnsi="Verdana"/>
          <w:color w:val="000000"/>
          <w:spacing w:val="-6"/>
          <w:sz w:val="15"/>
          <w:lang w:val="cs-CZ"/>
        </w:rPr>
        <w:t xml:space="preserve">případném zrevidování nastavení těchto bonusů. Pokud nedojde mezi Baxter a Nemocnicí k dohodě o ceně, má </w:t>
      </w:r>
      <w:r>
        <w:rPr>
          <w:rFonts w:ascii="Verdana" w:hAnsi="Verdana"/>
          <w:color w:val="000000"/>
          <w:spacing w:val="-4"/>
          <w:sz w:val="15"/>
          <w:lang w:val="cs-CZ"/>
        </w:rPr>
        <w:t>kterákoliv strana právo odstoupit od těchto ujednání o bonusové akci.</w:t>
      </w:r>
    </w:p>
    <w:p w:rsidR="00D379BD" w:rsidRDefault="00875B27">
      <w:pPr>
        <w:numPr>
          <w:ilvl w:val="0"/>
          <w:numId w:val="1"/>
        </w:numPr>
        <w:tabs>
          <w:tab w:val="clear" w:pos="360"/>
          <w:tab w:val="decimal" w:pos="792"/>
        </w:tabs>
        <w:spacing w:before="216" w:line="268" w:lineRule="auto"/>
        <w:ind w:left="792" w:hanging="360"/>
        <w:rPr>
          <w:rFonts w:ascii="Verdana" w:hAnsi="Verdana"/>
          <w:color w:val="000000"/>
          <w:spacing w:val="-3"/>
          <w:sz w:val="15"/>
          <w:lang w:val="cs-CZ"/>
        </w:rPr>
      </w:pPr>
      <w:r>
        <w:rPr>
          <w:rFonts w:ascii="Verdana" w:hAnsi="Verdana"/>
          <w:color w:val="000000"/>
          <w:spacing w:val="-3"/>
          <w:sz w:val="15"/>
          <w:lang w:val="cs-CZ"/>
        </w:rPr>
        <w:t>BAXTER může po Nemocnici požadovat reprezentativní doklady k nárokování bonusů (výpisy o odebraném zboží).</w:t>
      </w:r>
    </w:p>
    <w:p w:rsidR="00D379BD" w:rsidRDefault="00875B27">
      <w:pPr>
        <w:numPr>
          <w:ilvl w:val="0"/>
          <w:numId w:val="1"/>
        </w:numPr>
        <w:tabs>
          <w:tab w:val="clear" w:pos="360"/>
          <w:tab w:val="decimal" w:pos="792"/>
        </w:tabs>
        <w:spacing w:before="252" w:line="288" w:lineRule="auto"/>
        <w:ind w:left="792" w:right="72" w:hanging="360"/>
        <w:jc w:val="both"/>
        <w:rPr>
          <w:rFonts w:ascii="Verdana" w:hAnsi="Verdana"/>
          <w:color w:val="000000"/>
          <w:spacing w:val="-3"/>
          <w:sz w:val="15"/>
          <w:lang w:val="cs-CZ"/>
        </w:rPr>
      </w:pPr>
      <w:r>
        <w:rPr>
          <w:rFonts w:ascii="Verdana" w:hAnsi="Verdana"/>
          <w:color w:val="000000"/>
          <w:spacing w:val="-3"/>
          <w:sz w:val="15"/>
          <w:lang w:val="cs-CZ"/>
        </w:rPr>
        <w:t xml:space="preserve">Nemocnice není jakkoliv zavázána odebírat léčivé přípravky (Výrobky) společnosti Baxter, a to ani od třetích osob </w:t>
      </w:r>
      <w:r>
        <w:rPr>
          <w:rFonts w:ascii="Verdana" w:hAnsi="Verdana"/>
          <w:color w:val="000000"/>
          <w:spacing w:val="-6"/>
          <w:sz w:val="15"/>
          <w:lang w:val="cs-CZ"/>
        </w:rPr>
        <w:t xml:space="preserve">v jakémkoli množství a nadále disponuje absolutní volností co do výběru Výrobků, a to bez ohledu na to, zda jsou </w:t>
      </w:r>
      <w:r>
        <w:rPr>
          <w:rFonts w:ascii="Verdana" w:hAnsi="Verdana"/>
          <w:color w:val="000000"/>
          <w:spacing w:val="-4"/>
          <w:sz w:val="15"/>
          <w:lang w:val="cs-CZ"/>
        </w:rPr>
        <w:t>vyráběny či dodávány společností Baxter nebo zda jsou Výrobky konkurenčními s Výrobky společnosti Baxter.</w:t>
      </w:r>
    </w:p>
    <w:p w:rsidR="00D379BD" w:rsidRDefault="00875B27">
      <w:pPr>
        <w:numPr>
          <w:ilvl w:val="0"/>
          <w:numId w:val="1"/>
        </w:numPr>
        <w:tabs>
          <w:tab w:val="clear" w:pos="360"/>
          <w:tab w:val="decimal" w:pos="792"/>
        </w:tabs>
        <w:spacing w:before="252" w:line="285" w:lineRule="auto"/>
        <w:ind w:left="792" w:right="144" w:hanging="360"/>
        <w:rPr>
          <w:rFonts w:ascii="Verdana" w:hAnsi="Verdana"/>
          <w:color w:val="000000"/>
          <w:spacing w:val="-3"/>
          <w:sz w:val="15"/>
          <w:lang w:val="cs-CZ"/>
        </w:rPr>
      </w:pPr>
      <w:r>
        <w:rPr>
          <w:rFonts w:ascii="Verdana" w:hAnsi="Verdana"/>
          <w:color w:val="000000"/>
          <w:spacing w:val="-3"/>
          <w:sz w:val="15"/>
          <w:lang w:val="cs-CZ"/>
        </w:rPr>
        <w:t xml:space="preserve">Obě strany prohlašují, že poskytnutí bonusu není pobídkou či návodem na neoprávněné čerpání prostředků </w:t>
      </w:r>
      <w:r>
        <w:rPr>
          <w:rFonts w:ascii="Verdana" w:hAnsi="Verdana"/>
          <w:color w:val="000000"/>
          <w:spacing w:val="-6"/>
          <w:sz w:val="15"/>
          <w:lang w:val="cs-CZ"/>
        </w:rPr>
        <w:t xml:space="preserve">z veřejného zdravotního pojištění a zároveň prohlašují, že jim nejsou známé žádné skutečnosti, které by bránily poskytnutí těchto bonusů. Případné závazky Nemocnice vůči zdravotním pojišťovnám a jejich vypořádání jsou </w:t>
      </w:r>
      <w:r>
        <w:rPr>
          <w:rFonts w:ascii="Verdana" w:hAnsi="Verdana"/>
          <w:color w:val="000000"/>
          <w:spacing w:val="-7"/>
          <w:sz w:val="15"/>
          <w:lang w:val="cs-CZ"/>
        </w:rPr>
        <w:t>výhradní záležitostí Nemocnice.</w:t>
      </w:r>
    </w:p>
    <w:p w:rsidR="00D379BD" w:rsidRDefault="00875B27">
      <w:pPr>
        <w:numPr>
          <w:ilvl w:val="0"/>
          <w:numId w:val="1"/>
        </w:numPr>
        <w:tabs>
          <w:tab w:val="clear" w:pos="360"/>
          <w:tab w:val="decimal" w:pos="792"/>
        </w:tabs>
        <w:spacing w:before="252" w:line="288" w:lineRule="auto"/>
        <w:ind w:left="792" w:right="72" w:hanging="360"/>
        <w:rPr>
          <w:rFonts w:ascii="Verdana" w:hAnsi="Verdana"/>
          <w:color w:val="000000"/>
          <w:spacing w:val="-6"/>
          <w:sz w:val="15"/>
          <w:lang w:val="cs-CZ"/>
        </w:rPr>
      </w:pPr>
      <w:r>
        <w:rPr>
          <w:rFonts w:ascii="Verdana" w:hAnsi="Verdana"/>
          <w:color w:val="000000"/>
          <w:spacing w:val="-6"/>
          <w:sz w:val="15"/>
          <w:lang w:val="cs-CZ"/>
        </w:rPr>
        <w:t xml:space="preserve">Obě strany se zavazují, že pokud by se objevilo důvodné podezření, že poskytování bonusů zde popsaných, může </w:t>
      </w:r>
      <w:r>
        <w:rPr>
          <w:rFonts w:ascii="Verdana" w:hAnsi="Verdana"/>
          <w:color w:val="000000"/>
          <w:spacing w:val="-7"/>
          <w:sz w:val="15"/>
          <w:lang w:val="cs-CZ"/>
        </w:rPr>
        <w:t xml:space="preserve">vyvolat nebo vyvolává účinky omezení hospodářské soutěže, budou podmínky bonusů stranami neodkladně </w:t>
      </w:r>
      <w:r>
        <w:rPr>
          <w:rFonts w:ascii="Verdana" w:hAnsi="Verdana"/>
          <w:color w:val="000000"/>
          <w:spacing w:val="-6"/>
          <w:sz w:val="15"/>
          <w:lang w:val="cs-CZ"/>
        </w:rPr>
        <w:t xml:space="preserve">revidovány. Pokud některá ze stran odmítne takovou revizi provést, je druhá strana oprávněna poskytování nebo přijímání bonusů odmítnout. Strany dále souhlasí, že pokud se za trvání této dohody změní aplikace nebo text </w:t>
      </w:r>
      <w:r>
        <w:rPr>
          <w:rFonts w:ascii="Verdana" w:hAnsi="Verdana"/>
          <w:color w:val="000000"/>
          <w:spacing w:val="-5"/>
          <w:sz w:val="15"/>
          <w:lang w:val="cs-CZ"/>
        </w:rPr>
        <w:t xml:space="preserve">právních předpisů aplikovatelných na tuto dohodu, zejména zákona o dani z přidané hodnoty, nebo předpisů o </w:t>
      </w:r>
      <w:r>
        <w:rPr>
          <w:rFonts w:ascii="Verdana" w:hAnsi="Verdana"/>
          <w:color w:val="000000"/>
          <w:spacing w:val="-6"/>
          <w:sz w:val="15"/>
          <w:lang w:val="cs-CZ"/>
        </w:rPr>
        <w:t xml:space="preserve">cenové regulaci léčivých přípravků nebo zákona o regulaci reklamy, strany v dobré míře projednají poskytnutí </w:t>
      </w:r>
      <w:r>
        <w:rPr>
          <w:rFonts w:ascii="Verdana" w:hAnsi="Verdana"/>
          <w:color w:val="000000"/>
          <w:spacing w:val="-4"/>
          <w:sz w:val="15"/>
          <w:lang w:val="cs-CZ"/>
        </w:rPr>
        <w:t xml:space="preserve">bonusu. V případě, že tímto postupem strany nedospějí k dohodě, je kterákoliv strana oprávněna poskytování </w:t>
      </w:r>
      <w:r>
        <w:rPr>
          <w:rFonts w:ascii="Verdana" w:hAnsi="Verdana"/>
          <w:color w:val="000000"/>
          <w:spacing w:val="-3"/>
          <w:sz w:val="15"/>
          <w:lang w:val="cs-CZ"/>
        </w:rPr>
        <w:t>nebo přijímání bonusů odmítnout a od této dohody případně písemně odstoupit.</w:t>
      </w:r>
    </w:p>
    <w:p w:rsidR="00D379BD" w:rsidRDefault="00875B27">
      <w:pPr>
        <w:numPr>
          <w:ilvl w:val="0"/>
          <w:numId w:val="1"/>
        </w:numPr>
        <w:tabs>
          <w:tab w:val="clear" w:pos="360"/>
          <w:tab w:val="decimal" w:pos="792"/>
        </w:tabs>
        <w:spacing w:before="216" w:after="576"/>
        <w:ind w:left="792" w:hanging="360"/>
        <w:rPr>
          <w:rFonts w:ascii="Verdana" w:hAnsi="Verdana"/>
          <w:color w:val="000000"/>
          <w:spacing w:val="-6"/>
          <w:sz w:val="15"/>
          <w:lang w:val="cs-CZ"/>
        </w:rPr>
      </w:pPr>
      <w:r>
        <w:rPr>
          <w:noProof/>
          <w:lang w:val="cs-CZ" w:eastAsia="cs-CZ"/>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633730</wp:posOffset>
                </wp:positionV>
                <wp:extent cx="378460" cy="0"/>
                <wp:effectExtent l="9525" t="14605" r="12065" b="13970"/>
                <wp:wrapNone/>
                <wp:docPr id="3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1206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DA63B5" id="Line 4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9pt" to="29.8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WJIQIAAEQ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" strokeweight=".95pt">
                <v:stroke dashstyle="1 1"/>
              </v:line>
            </w:pict>
          </mc:Fallback>
        </mc:AlternateContent>
      </w:r>
      <w:r>
        <w:rPr>
          <w:noProof/>
          <w:lang w:val="cs-CZ" w:eastAsia="cs-CZ"/>
        </w:rPr>
        <mc:AlternateContent>
          <mc:Choice Requires="wps">
            <w:drawing>
              <wp:anchor distT="0" distB="0" distL="114300" distR="114300" simplePos="0" relativeHeight="251654656" behindDoc="0" locked="0" layoutInCell="1" allowOverlap="1">
                <wp:simplePos x="0" y="0"/>
                <wp:positionH relativeFrom="column">
                  <wp:posOffset>472440</wp:posOffset>
                </wp:positionH>
                <wp:positionV relativeFrom="paragraph">
                  <wp:posOffset>633730</wp:posOffset>
                </wp:positionV>
                <wp:extent cx="1064260" cy="0"/>
                <wp:effectExtent l="15240" t="14605" r="6350" b="13970"/>
                <wp:wrapNone/>
                <wp:docPr id="3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1206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3FD0E9" id="Line 4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49.9pt" to="121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gIQIAAEU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" strokeweight=".95pt">
                <v:stroke dashstyle="1 1"/>
              </v:line>
            </w:pict>
          </mc:Fallback>
        </mc:AlternateContent>
      </w:r>
      <w:r>
        <w:rPr>
          <w:noProof/>
          <w:lang w:val="cs-CZ" w:eastAsia="cs-CZ"/>
        </w:rPr>
        <mc:AlternateContent>
          <mc:Choice Requires="wps">
            <w:drawing>
              <wp:anchor distT="0" distB="0" distL="114300" distR="114300" simplePos="0" relativeHeight="251655680" behindDoc="0" locked="0" layoutInCell="1" allowOverlap="1">
                <wp:simplePos x="0" y="0"/>
                <wp:positionH relativeFrom="column">
                  <wp:posOffset>3590290</wp:posOffset>
                </wp:positionH>
                <wp:positionV relativeFrom="paragraph">
                  <wp:posOffset>640080</wp:posOffset>
                </wp:positionV>
                <wp:extent cx="1439545" cy="0"/>
                <wp:effectExtent l="8890" t="11430" r="8890" b="7620"/>
                <wp:wrapNone/>
                <wp:docPr id="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C22DE5" id="Line 4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pt,50.4pt" to="396.0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4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" strokeweight="1.2pt">
                <v:stroke dashstyle="1 1"/>
              </v:line>
            </w:pict>
          </mc:Fallback>
        </mc:AlternateContent>
      </w:r>
      <w:r>
        <w:rPr>
          <w:rFonts w:ascii="Verdana" w:hAnsi="Verdana"/>
          <w:color w:val="000000"/>
          <w:spacing w:val="-6"/>
          <w:sz w:val="15"/>
          <w:lang w:val="cs-CZ"/>
        </w:rPr>
        <w:t>Platnost této dohody je od 1.7.2017 do 30.6.2018</w:t>
      </w:r>
    </w:p>
    <w:p w:rsidR="00D379BD" w:rsidRDefault="00D379BD">
      <w:pPr>
        <w:sectPr w:rsidR="00D379BD">
          <w:pgSz w:w="11918" w:h="16854"/>
          <w:pgMar w:top="1336" w:right="1446" w:bottom="768" w:left="1392" w:header="720" w:footer="720" w:gutter="0"/>
          <w:cols w:space="708"/>
        </w:sectPr>
      </w:pPr>
    </w:p>
    <w:p w:rsidR="00D379BD" w:rsidRDefault="00D379BD">
      <w:pPr>
        <w:spacing w:before="9" w:line="288" w:lineRule="exact"/>
        <w:rPr>
          <w:rFonts w:ascii="Times New Roman" w:hAnsi="Times New Roman"/>
          <w:color w:val="000000"/>
          <w:sz w:val="24"/>
        </w:rPr>
      </w:pPr>
    </w:p>
    <w:p w:rsidR="00D379BD" w:rsidRDefault="00D379BD">
      <w:pPr>
        <w:sectPr w:rsidR="00D379BD">
          <w:type w:val="continuous"/>
          <w:pgSz w:w="11918" w:h="16854"/>
          <w:pgMar w:top="1336" w:right="1358" w:bottom="768" w:left="1417" w:header="720" w:footer="720" w:gutter="0"/>
          <w:cols w:space="708"/>
        </w:sectPr>
      </w:pPr>
    </w:p>
    <w:p w:rsidR="00D379BD" w:rsidRDefault="00875B27">
      <w:pPr>
        <w:rPr>
          <w:rFonts w:ascii="Verdana" w:hAnsi="Verdana"/>
          <w:color w:val="000000"/>
          <w:spacing w:val="-2"/>
          <w:sz w:val="15"/>
          <w:lang w:val="cs-CZ"/>
        </w:rPr>
      </w:pPr>
      <w:r>
        <w:rPr>
          <w:rFonts w:ascii="Verdana" w:hAnsi="Verdana"/>
          <w:color w:val="000000"/>
          <w:spacing w:val="-2"/>
          <w:sz w:val="15"/>
          <w:lang w:val="cs-CZ"/>
        </w:rPr>
        <w:lastRenderedPageBreak/>
        <w:t>MUDr. Ladislav Václavec, MBA</w:t>
      </w:r>
    </w:p>
    <w:p w:rsidR="00D379BD" w:rsidRDefault="00875B27">
      <w:pPr>
        <w:spacing w:before="180"/>
        <w:rPr>
          <w:rFonts w:ascii="Verdana" w:hAnsi="Verdana"/>
          <w:color w:val="000000"/>
          <w:sz w:val="15"/>
          <w:lang w:val="cs-CZ"/>
        </w:rPr>
      </w:pPr>
      <w:r>
        <w:rPr>
          <w:rFonts w:ascii="Verdana" w:hAnsi="Verdana"/>
          <w:color w:val="000000"/>
          <w:sz w:val="15"/>
          <w:lang w:val="cs-CZ"/>
        </w:rPr>
        <w:t>Slezská nemocnice v Opavě, příspěvková organizace</w:t>
      </w:r>
      <w:r>
        <w:rPr>
          <w:rFonts w:ascii="Arial" w:hAnsi="Arial"/>
          <w:color w:val="9A9B97"/>
          <w:sz w:val="15"/>
          <w:lang w:val="cs-CZ"/>
        </w:rPr>
        <w:t xml:space="preserve"> a,</w:t>
      </w:r>
    </w:p>
    <w:p w:rsidR="00D379BD" w:rsidRDefault="00875B27">
      <w:pPr>
        <w:spacing w:after="108" w:line="552" w:lineRule="auto"/>
        <w:ind w:right="648"/>
        <w:jc w:val="both"/>
        <w:rPr>
          <w:rFonts w:ascii="Verdana" w:hAnsi="Verdana"/>
          <w:color w:val="000000"/>
          <w:spacing w:val="-5"/>
          <w:sz w:val="15"/>
          <w:lang w:val="cs-CZ"/>
        </w:rPr>
      </w:pPr>
      <w:r>
        <w:rPr>
          <w:noProof/>
          <w:lang w:val="cs-CZ" w:eastAsia="cs-CZ"/>
        </w:rPr>
        <mc:AlternateContent>
          <mc:Choice Requires="wps">
            <w:drawing>
              <wp:anchor distT="0" distB="0" distL="114300" distR="114300" simplePos="0" relativeHeight="251656704" behindDoc="0" locked="0" layoutInCell="1" allowOverlap="1">
                <wp:simplePos x="0" y="0"/>
                <wp:positionH relativeFrom="column">
                  <wp:posOffset>1133475</wp:posOffset>
                </wp:positionH>
                <wp:positionV relativeFrom="paragraph">
                  <wp:posOffset>648970</wp:posOffset>
                </wp:positionV>
                <wp:extent cx="0" cy="619760"/>
                <wp:effectExtent l="9525" t="10795" r="9525" b="7620"/>
                <wp:wrapNone/>
                <wp:docPr id="2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760"/>
                        </a:xfrm>
                        <a:prstGeom prst="line">
                          <a:avLst/>
                        </a:prstGeom>
                        <a:noFill/>
                        <a:ln w="8890">
                          <a:solidFill>
                            <a:srgbClr val="8483A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0E5F5" id="Line 4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51.1pt" to="89.2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" strokecolor="#8483a9" strokeweight=".7pt"/>
            </w:pict>
          </mc:Fallback>
        </mc:AlternateContent>
      </w:r>
      <w:r>
        <w:br w:type="column"/>
      </w:r>
      <w:r>
        <w:rPr>
          <w:rFonts w:ascii="Verdana" w:hAnsi="Verdana"/>
          <w:color w:val="000000"/>
          <w:spacing w:val="-5"/>
          <w:sz w:val="15"/>
          <w:lang w:val="cs-CZ"/>
        </w:rPr>
        <w:lastRenderedPageBreak/>
        <w:t xml:space="preserve">Ing. Marek Macháček </w:t>
      </w:r>
      <w:r>
        <w:rPr>
          <w:rFonts w:ascii="Verdana" w:hAnsi="Verdana"/>
          <w:color w:val="000000"/>
          <w:spacing w:val="-8"/>
          <w:sz w:val="15"/>
          <w:lang w:val="cs-CZ"/>
        </w:rPr>
        <w:t xml:space="preserve">BAXTER CZECH s.r.o., </w:t>
      </w:r>
      <w:r>
        <w:rPr>
          <w:rFonts w:ascii="Verdana" w:hAnsi="Verdana"/>
          <w:color w:val="000000"/>
          <w:sz w:val="15"/>
          <w:lang w:val="cs-CZ"/>
        </w:rPr>
        <w:t>National Product</w:t>
      </w:r>
    </w:p>
    <w:p w:rsidR="00D379BD" w:rsidRDefault="00875B27">
      <w:pPr>
        <w:pBdr>
          <w:top w:val="dotted" w:sz="9" w:space="13" w:color="000000"/>
        </w:pBdr>
        <w:spacing w:before="13" w:line="549" w:lineRule="auto"/>
        <w:rPr>
          <w:rFonts w:ascii="Verdana" w:hAnsi="Verdana"/>
          <w:color w:val="000000"/>
          <w:sz w:val="15"/>
          <w:lang w:val="cs-CZ"/>
        </w:rPr>
      </w:pPr>
      <w:r>
        <w:rPr>
          <w:rFonts w:ascii="Verdana" w:hAnsi="Verdana"/>
          <w:color w:val="000000"/>
          <w:sz w:val="15"/>
          <w:lang w:val="cs-CZ"/>
        </w:rPr>
        <w:t xml:space="preserve">Pharmdr. Daniel Ferianc </w:t>
      </w:r>
      <w:r>
        <w:rPr>
          <w:rFonts w:ascii="Verdana" w:hAnsi="Verdana"/>
          <w:color w:val="000000"/>
          <w:spacing w:val="-5"/>
          <w:sz w:val="15"/>
          <w:lang w:val="cs-CZ"/>
        </w:rPr>
        <w:t>BAXTE</w:t>
      </w:r>
      <w:r>
        <w:rPr>
          <w:rFonts w:ascii="Arial" w:hAnsi="Arial"/>
          <w:color w:val="E7E8E7"/>
          <w:spacing w:val="-5"/>
          <w:w w:val="125"/>
          <w:sz w:val="13"/>
          <w:lang w:val="cs-CZ"/>
        </w:rPr>
        <w:t>•</w:t>
      </w:r>
      <w:r>
        <w:rPr>
          <w:rFonts w:ascii="Verdana" w:hAnsi="Verdana"/>
          <w:color w:val="000000"/>
          <w:spacing w:val="-5"/>
          <w:sz w:val="15"/>
          <w:lang w:val="cs-CZ"/>
        </w:rPr>
        <w:t>CZECH s. r. o., jednatel</w:t>
      </w:r>
    </w:p>
    <w:p w:rsidR="00D379BD" w:rsidRDefault="00875B27">
      <w:pPr>
        <w:spacing w:before="396" w:after="36" w:line="208" w:lineRule="auto"/>
        <w:ind w:left="72"/>
        <w:rPr>
          <w:rFonts w:ascii="Verdana" w:hAnsi="Verdana"/>
          <w:color w:val="000000"/>
          <w:spacing w:val="-4"/>
          <w:sz w:val="15"/>
          <w:lang w:val="cs-CZ"/>
        </w:rPr>
      </w:pPr>
      <w:r>
        <w:rPr>
          <w:noProof/>
          <w:lang w:val="cs-CZ" w:eastAsia="cs-CZ"/>
        </w:rPr>
        <mc:AlternateContent>
          <mc:Choice Requires="wps">
            <w:drawing>
              <wp:anchor distT="0" distB="0" distL="114300" distR="114300" simplePos="0" relativeHeight="251657728" behindDoc="0" locked="0" layoutInCell="1" allowOverlap="1">
                <wp:simplePos x="0" y="0"/>
                <wp:positionH relativeFrom="column">
                  <wp:posOffset>734695</wp:posOffset>
                </wp:positionH>
                <wp:positionV relativeFrom="paragraph">
                  <wp:posOffset>59690</wp:posOffset>
                </wp:positionV>
                <wp:extent cx="777875" cy="0"/>
                <wp:effectExtent l="10795" t="12065" r="11430" b="6985"/>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line">
                          <a:avLst/>
                        </a:prstGeom>
                        <a:noFill/>
                        <a:ln w="1206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BB5EBB"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4.7pt" to="119.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" strokeweight=".95pt">
                <v:stroke dashstyle="1 1"/>
              </v:line>
            </w:pict>
          </mc:Fallback>
        </mc:AlternateContent>
      </w:r>
      <w:r>
        <w:rPr>
          <w:rFonts w:ascii="Verdana" w:hAnsi="Verdana"/>
          <w:color w:val="000000"/>
          <w:spacing w:val="-4"/>
          <w:sz w:val="15"/>
          <w:lang w:val="cs-CZ"/>
        </w:rPr>
        <w:t>Ing. Jiří Michalík</w:t>
      </w:r>
    </w:p>
    <w:p w:rsidR="00D379BD" w:rsidRDefault="00D379BD">
      <w:pPr>
        <w:sectPr w:rsidR="00D379BD">
          <w:type w:val="continuous"/>
          <w:pgSz w:w="11918" w:h="16854"/>
          <w:pgMar w:top="1336" w:right="2589" w:bottom="768" w:left="1502" w:header="720" w:footer="720" w:gutter="0"/>
          <w:cols w:num="2" w:space="0" w:equalWidth="0">
            <w:col w:w="4613" w:space="917"/>
            <w:col w:w="2237" w:space="0"/>
          </w:cols>
        </w:sectPr>
      </w:pPr>
    </w:p>
    <w:p w:rsidR="00D379BD" w:rsidRDefault="00875B27">
      <w:pPr>
        <w:spacing w:before="216"/>
        <w:jc w:val="right"/>
        <w:rPr>
          <w:rFonts w:ascii="Verdana" w:hAnsi="Verdana"/>
          <w:color w:val="000000"/>
          <w:spacing w:val="-7"/>
          <w:sz w:val="15"/>
          <w:lang w:val="cs-CZ"/>
        </w:rPr>
      </w:pPr>
      <w:r>
        <w:rPr>
          <w:rFonts w:ascii="Verdana" w:hAnsi="Verdana"/>
          <w:color w:val="000000"/>
          <w:spacing w:val="-7"/>
          <w:sz w:val="15"/>
          <w:lang w:val="cs-CZ"/>
        </w:rPr>
        <w:lastRenderedPageBreak/>
        <w:t>BAXTER CZECH s. r. o., jednatel</w:t>
      </w:r>
    </w:p>
    <w:p w:rsidR="00D379BD" w:rsidRDefault="00D379BD">
      <w:pPr>
        <w:sectPr w:rsidR="00D379BD">
          <w:type w:val="continuous"/>
          <w:pgSz w:w="11918" w:h="16854"/>
          <w:pgMar w:top="1336" w:right="2506" w:bottom="768" w:left="7032" w:header="720" w:footer="720" w:gutter="0"/>
          <w:cols w:space="708"/>
        </w:sectPr>
      </w:pPr>
    </w:p>
    <w:p w:rsidR="00D379BD" w:rsidRDefault="00875B27">
      <w:pPr>
        <w:spacing w:line="211" w:lineRule="auto"/>
        <w:ind w:left="216"/>
        <w:rPr>
          <w:rFonts w:ascii="Tahoma" w:hAnsi="Tahoma"/>
          <w:b/>
          <w:color w:val="0D0D0D"/>
          <w:sz w:val="18"/>
          <w:u w:val="single"/>
          <w:lang w:val="cs-CZ"/>
        </w:rPr>
      </w:pPr>
      <w:r>
        <w:rPr>
          <w:rFonts w:ascii="Tahoma" w:hAnsi="Tahoma"/>
          <w:b/>
          <w:color w:val="0D0D0D"/>
          <w:sz w:val="18"/>
          <w:u w:val="single"/>
          <w:lang w:val="cs-CZ"/>
        </w:rPr>
        <w:lastRenderedPageBreak/>
        <w:t>Příloha č. 1</w:t>
      </w:r>
    </w:p>
    <w:p w:rsidR="00D379BD" w:rsidRDefault="00875B27">
      <w:pPr>
        <w:spacing w:before="1116" w:after="720"/>
        <w:ind w:left="72" w:right="144"/>
        <w:rPr>
          <w:rFonts w:ascii="Arial" w:hAnsi="Arial"/>
          <w:b/>
          <w:color w:val="0D0D0D"/>
          <w:spacing w:val="12"/>
          <w:sz w:val="21"/>
          <w:lang w:val="cs-CZ"/>
        </w:rPr>
      </w:pPr>
      <w:r>
        <w:rPr>
          <w:rFonts w:ascii="Arial" w:hAnsi="Arial"/>
          <w:b/>
          <w:color w:val="0D0D0D"/>
          <w:spacing w:val="12"/>
          <w:sz w:val="21"/>
          <w:lang w:val="cs-CZ"/>
        </w:rPr>
        <w:t xml:space="preserve">Tato příloha nepodléhá povinnosti zveřejnění dle §3 odst. 2 písm. b) zákona č. </w:t>
      </w:r>
      <w:r>
        <w:rPr>
          <w:rFonts w:ascii="Arial" w:hAnsi="Arial"/>
          <w:b/>
          <w:color w:val="0D0D0D"/>
          <w:sz w:val="21"/>
          <w:lang w:val="cs-CZ"/>
        </w:rPr>
        <w:t>340/2015 Sb.</w:t>
      </w:r>
    </w:p>
    <w:tbl>
      <w:tblPr>
        <w:tblW w:w="0" w:type="auto"/>
        <w:tblInd w:w="5" w:type="dxa"/>
        <w:tblLayout w:type="fixed"/>
        <w:tblCellMar>
          <w:left w:w="0" w:type="dxa"/>
          <w:right w:w="0" w:type="dxa"/>
        </w:tblCellMar>
        <w:tblLook w:val="0000" w:firstRow="0" w:lastRow="0" w:firstColumn="0" w:lastColumn="0" w:noHBand="0" w:noVBand="0"/>
      </w:tblPr>
      <w:tblGrid>
        <w:gridCol w:w="4651"/>
        <w:gridCol w:w="4656"/>
      </w:tblGrid>
      <w:tr w:rsidR="00D379BD">
        <w:trPr>
          <w:trHeight w:hRule="exact" w:val="264"/>
        </w:trPr>
        <w:tc>
          <w:tcPr>
            <w:tcW w:w="9307" w:type="dxa"/>
            <w:gridSpan w:val="2"/>
            <w:tcBorders>
              <w:top w:val="single" w:sz="4" w:space="0" w:color="000000"/>
              <w:left w:val="single" w:sz="4" w:space="0" w:color="000000"/>
              <w:bottom w:val="single" w:sz="4" w:space="0" w:color="000000"/>
              <w:right w:val="single" w:sz="4" w:space="0" w:color="000000"/>
            </w:tcBorders>
            <w:vAlign w:val="center"/>
          </w:tcPr>
          <w:p w:rsidR="00D379BD" w:rsidRDefault="00875B27">
            <w:pPr>
              <w:ind w:left="120"/>
              <w:rPr>
                <w:rFonts w:ascii="Arial" w:hAnsi="Arial"/>
                <w:b/>
                <w:color w:val="0D0D0D"/>
                <w:spacing w:val="4"/>
                <w:sz w:val="21"/>
                <w:lang w:val="cs-CZ"/>
              </w:rPr>
            </w:pPr>
            <w:r>
              <w:rPr>
                <w:rFonts w:ascii="Arial" w:hAnsi="Arial"/>
                <w:b/>
                <w:color w:val="0D0D0D"/>
                <w:spacing w:val="4"/>
                <w:sz w:val="21"/>
                <w:lang w:val="cs-CZ"/>
              </w:rPr>
              <w:t>OBCHODNÍ TAJEMSTVÍ</w:t>
            </w:r>
          </w:p>
        </w:tc>
      </w:tr>
      <w:tr w:rsidR="00D379BD">
        <w:trPr>
          <w:trHeight w:hRule="exact" w:val="5016"/>
        </w:trPr>
        <w:tc>
          <w:tcPr>
            <w:tcW w:w="9307" w:type="dxa"/>
            <w:gridSpan w:val="2"/>
            <w:tcBorders>
              <w:top w:val="single" w:sz="4" w:space="0" w:color="000000"/>
              <w:left w:val="single" w:sz="4" w:space="0" w:color="000000"/>
              <w:bottom w:val="single" w:sz="4" w:space="0" w:color="000000"/>
              <w:right w:val="single" w:sz="4" w:space="0" w:color="000000"/>
            </w:tcBorders>
          </w:tcPr>
          <w:p w:rsidR="00D379BD" w:rsidRDefault="00875B27">
            <w:pPr>
              <w:spacing w:before="504"/>
              <w:ind w:left="108" w:right="144"/>
              <w:jc w:val="both"/>
              <w:rPr>
                <w:rFonts w:ascii="Arial" w:hAnsi="Arial"/>
                <w:color w:val="0D0D0D"/>
                <w:spacing w:val="5"/>
                <w:sz w:val="21"/>
                <w:lang w:val="cs-CZ"/>
              </w:rPr>
            </w:pPr>
            <w:r>
              <w:rPr>
                <w:rFonts w:ascii="Arial" w:hAnsi="Arial"/>
                <w:color w:val="0D0D0D"/>
                <w:spacing w:val="5"/>
                <w:sz w:val="21"/>
                <w:lang w:val="cs-CZ"/>
              </w:rPr>
              <w:t xml:space="preserve">Dodavatel uvádí, že informace o výši objemového finančního bonusu a podmínkách nároku </w:t>
            </w:r>
            <w:r>
              <w:rPr>
                <w:rFonts w:ascii="Arial" w:hAnsi="Arial"/>
                <w:color w:val="0D0D0D"/>
                <w:spacing w:val="14"/>
                <w:sz w:val="21"/>
                <w:lang w:val="cs-CZ"/>
              </w:rPr>
              <w:t xml:space="preserve">na něj považuje za informace konkurenčně významné ve smyslu zákonné definice </w:t>
            </w:r>
            <w:r>
              <w:rPr>
                <w:rFonts w:ascii="Arial" w:hAnsi="Arial"/>
                <w:color w:val="0D0D0D"/>
                <w:spacing w:val="4"/>
                <w:sz w:val="21"/>
                <w:lang w:val="cs-CZ"/>
              </w:rPr>
              <w:t xml:space="preserve">obchodního tajemství (§ 504 zákona č. 89/2012 Sb., občanský zákoník), nebot' všeobecný </w:t>
            </w:r>
            <w:r>
              <w:rPr>
                <w:rFonts w:ascii="Arial" w:hAnsi="Arial"/>
                <w:color w:val="0D0D0D"/>
                <w:spacing w:val="8"/>
                <w:sz w:val="21"/>
                <w:lang w:val="cs-CZ"/>
              </w:rPr>
              <w:t xml:space="preserve">přístup k těmto informacím může mít podstatný dopad na ekonomické výsledky a tržní </w:t>
            </w:r>
            <w:r>
              <w:rPr>
                <w:rFonts w:ascii="Arial" w:hAnsi="Arial"/>
                <w:color w:val="0D0D0D"/>
                <w:spacing w:val="2"/>
                <w:sz w:val="21"/>
                <w:lang w:val="cs-CZ"/>
              </w:rPr>
              <w:t>postavení dodavatele.</w:t>
            </w:r>
          </w:p>
          <w:p w:rsidR="00D379BD" w:rsidRDefault="00875B27">
            <w:pPr>
              <w:spacing w:before="288"/>
              <w:ind w:left="108" w:right="144"/>
              <w:jc w:val="both"/>
              <w:rPr>
                <w:rFonts w:ascii="Arial" w:hAnsi="Arial"/>
                <w:color w:val="0D0D0D"/>
                <w:spacing w:val="4"/>
                <w:sz w:val="21"/>
                <w:lang w:val="cs-CZ"/>
              </w:rPr>
            </w:pPr>
            <w:r>
              <w:rPr>
                <w:rFonts w:ascii="Arial" w:hAnsi="Arial"/>
                <w:color w:val="0D0D0D"/>
                <w:spacing w:val="4"/>
                <w:sz w:val="21"/>
                <w:lang w:val="cs-CZ"/>
              </w:rPr>
              <w:t xml:space="preserve">Odběratel prohlašuje, že i pro něj jsou informace o výši objemového finančního bonusu a </w:t>
            </w:r>
            <w:r>
              <w:rPr>
                <w:rFonts w:ascii="Arial" w:hAnsi="Arial"/>
                <w:color w:val="0D0D0D"/>
                <w:spacing w:val="3"/>
                <w:sz w:val="21"/>
                <w:lang w:val="cs-CZ"/>
              </w:rPr>
              <w:t xml:space="preserve">podmínkách nároku na něj informace konkurenčně významné ve smyslu zákonné definice </w:t>
            </w:r>
            <w:r>
              <w:rPr>
                <w:rFonts w:ascii="Arial" w:hAnsi="Arial"/>
                <w:color w:val="0D0D0D"/>
                <w:spacing w:val="4"/>
                <w:sz w:val="21"/>
                <w:lang w:val="cs-CZ"/>
              </w:rPr>
              <w:t xml:space="preserve">obchodního tajemství (§ 504 zákona č. 89/2012 Sb., občanský zákoník), nebot' všeobecný </w:t>
            </w:r>
            <w:r>
              <w:rPr>
                <w:rFonts w:ascii="Arial" w:hAnsi="Arial"/>
                <w:color w:val="0D0D0D"/>
                <w:spacing w:val="8"/>
                <w:sz w:val="21"/>
                <w:lang w:val="cs-CZ"/>
              </w:rPr>
              <w:t xml:space="preserve">přístup k těmto informacím může mít podstatný dopad na jeho ekonomické výsledky a </w:t>
            </w:r>
            <w:r>
              <w:rPr>
                <w:rFonts w:ascii="Arial" w:hAnsi="Arial"/>
                <w:color w:val="0D0D0D"/>
                <w:spacing w:val="2"/>
                <w:sz w:val="21"/>
                <w:lang w:val="cs-CZ"/>
              </w:rPr>
              <w:t>vyjednávací pozici.</w:t>
            </w:r>
          </w:p>
          <w:p w:rsidR="00D379BD" w:rsidRDefault="00875B27">
            <w:pPr>
              <w:tabs>
                <w:tab w:val="left" w:pos="1013"/>
                <w:tab w:val="left" w:pos="1848"/>
                <w:tab w:val="left" w:pos="2261"/>
                <w:tab w:val="right" w:pos="3398"/>
                <w:tab w:val="left" w:pos="3586"/>
                <w:tab w:val="left" w:pos="4176"/>
                <w:tab w:val="left" w:pos="5549"/>
                <w:tab w:val="left" w:pos="6806"/>
                <w:tab w:val="left" w:pos="7853"/>
                <w:tab w:val="right" w:pos="9182"/>
              </w:tabs>
              <w:spacing w:before="288"/>
              <w:ind w:left="108"/>
              <w:rPr>
                <w:rFonts w:ascii="Arial" w:hAnsi="Arial"/>
                <w:color w:val="0D0D0D"/>
                <w:spacing w:val="-2"/>
                <w:sz w:val="21"/>
                <w:lang w:val="cs-CZ"/>
              </w:rPr>
            </w:pPr>
            <w:r>
              <w:rPr>
                <w:rFonts w:ascii="Arial" w:hAnsi="Arial"/>
                <w:color w:val="0D0D0D"/>
                <w:spacing w:val="-2"/>
                <w:sz w:val="21"/>
                <w:lang w:val="cs-CZ"/>
              </w:rPr>
              <w:t>Smluvní</w:t>
            </w:r>
            <w:r>
              <w:rPr>
                <w:rFonts w:ascii="Arial" w:hAnsi="Arial"/>
                <w:color w:val="0D0D0D"/>
                <w:spacing w:val="-2"/>
                <w:sz w:val="21"/>
                <w:lang w:val="cs-CZ"/>
              </w:rPr>
              <w:tab/>
            </w:r>
            <w:r>
              <w:rPr>
                <w:rFonts w:ascii="Arial" w:hAnsi="Arial"/>
                <w:color w:val="0D0D0D"/>
                <w:sz w:val="21"/>
                <w:lang w:val="cs-CZ"/>
              </w:rPr>
              <w:t>strany</w:t>
            </w:r>
            <w:r>
              <w:rPr>
                <w:rFonts w:ascii="Arial" w:hAnsi="Arial"/>
                <w:color w:val="0D0D0D"/>
                <w:sz w:val="21"/>
                <w:lang w:val="cs-CZ"/>
              </w:rPr>
              <w:tab/>
            </w:r>
            <w:r>
              <w:rPr>
                <w:rFonts w:ascii="Arial" w:hAnsi="Arial"/>
                <w:color w:val="0D0D0D"/>
                <w:spacing w:val="-32"/>
                <w:sz w:val="21"/>
                <w:lang w:val="cs-CZ"/>
              </w:rPr>
              <w:t>se</w:t>
            </w:r>
            <w:r>
              <w:rPr>
                <w:rFonts w:ascii="Arial" w:hAnsi="Arial"/>
                <w:color w:val="0D0D0D"/>
                <w:spacing w:val="-32"/>
                <w:sz w:val="21"/>
                <w:lang w:val="cs-CZ"/>
              </w:rPr>
              <w:tab/>
            </w:r>
            <w:r>
              <w:rPr>
                <w:rFonts w:ascii="Arial" w:hAnsi="Arial"/>
                <w:color w:val="0D0D0D"/>
                <w:spacing w:val="-10"/>
                <w:sz w:val="21"/>
                <w:lang w:val="cs-CZ"/>
              </w:rPr>
              <w:t>dohodly,</w:t>
            </w:r>
            <w:r>
              <w:rPr>
                <w:rFonts w:ascii="Arial" w:hAnsi="Arial"/>
                <w:color w:val="0D0D0D"/>
                <w:spacing w:val="-10"/>
                <w:sz w:val="21"/>
                <w:lang w:val="cs-CZ"/>
              </w:rPr>
              <w:tab/>
            </w:r>
            <w:r>
              <w:rPr>
                <w:rFonts w:ascii="Arial" w:hAnsi="Arial"/>
                <w:color w:val="0D0D0D"/>
                <w:sz w:val="21"/>
                <w:lang w:val="cs-CZ"/>
              </w:rPr>
              <w:t>že</w:t>
            </w:r>
            <w:r>
              <w:rPr>
                <w:rFonts w:ascii="Arial" w:hAnsi="Arial"/>
                <w:color w:val="0D0D0D"/>
                <w:sz w:val="21"/>
                <w:lang w:val="cs-CZ"/>
              </w:rPr>
              <w:tab/>
              <w:t>bez</w:t>
            </w:r>
            <w:r>
              <w:rPr>
                <w:rFonts w:ascii="Arial" w:hAnsi="Arial"/>
                <w:color w:val="0D0D0D"/>
                <w:sz w:val="21"/>
                <w:lang w:val="cs-CZ"/>
              </w:rPr>
              <w:tab/>
            </w:r>
            <w:r>
              <w:rPr>
                <w:rFonts w:ascii="Arial" w:hAnsi="Arial"/>
                <w:color w:val="0D0D0D"/>
                <w:spacing w:val="-6"/>
                <w:sz w:val="21"/>
                <w:lang w:val="cs-CZ"/>
              </w:rPr>
              <w:t>předchozího</w:t>
            </w:r>
            <w:r>
              <w:rPr>
                <w:rFonts w:ascii="Arial" w:hAnsi="Arial"/>
                <w:color w:val="0D0D0D"/>
                <w:spacing w:val="-6"/>
                <w:sz w:val="21"/>
                <w:lang w:val="cs-CZ"/>
              </w:rPr>
              <w:tab/>
              <w:t>písemného</w:t>
            </w:r>
            <w:r>
              <w:rPr>
                <w:rFonts w:ascii="Arial" w:hAnsi="Arial"/>
                <w:color w:val="0D0D0D"/>
                <w:spacing w:val="-6"/>
                <w:sz w:val="21"/>
                <w:lang w:val="cs-CZ"/>
              </w:rPr>
              <w:tab/>
            </w:r>
            <w:r>
              <w:rPr>
                <w:rFonts w:ascii="Arial" w:hAnsi="Arial"/>
                <w:color w:val="0D0D0D"/>
                <w:spacing w:val="-8"/>
                <w:sz w:val="21"/>
                <w:lang w:val="cs-CZ"/>
              </w:rPr>
              <w:t>souhlasu</w:t>
            </w:r>
            <w:r>
              <w:rPr>
                <w:rFonts w:ascii="Arial" w:hAnsi="Arial"/>
                <w:color w:val="0D0D0D"/>
                <w:spacing w:val="-8"/>
                <w:sz w:val="21"/>
                <w:lang w:val="cs-CZ"/>
              </w:rPr>
              <w:tab/>
            </w:r>
            <w:r>
              <w:rPr>
                <w:rFonts w:ascii="Arial" w:hAnsi="Arial"/>
                <w:color w:val="0D0D0D"/>
                <w:spacing w:val="-4"/>
                <w:sz w:val="21"/>
                <w:lang w:val="cs-CZ"/>
              </w:rPr>
              <w:t>druhé</w:t>
            </w:r>
            <w:r>
              <w:rPr>
                <w:rFonts w:ascii="Arial" w:hAnsi="Arial"/>
                <w:color w:val="0D0D0D"/>
                <w:spacing w:val="-4"/>
                <w:sz w:val="21"/>
                <w:lang w:val="cs-CZ"/>
              </w:rPr>
              <w:tab/>
            </w:r>
            <w:r>
              <w:rPr>
                <w:rFonts w:ascii="Arial" w:hAnsi="Arial"/>
                <w:color w:val="0D0D0D"/>
                <w:spacing w:val="1"/>
                <w:sz w:val="21"/>
                <w:lang w:val="cs-CZ"/>
              </w:rPr>
              <w:t>strany</w:t>
            </w:r>
          </w:p>
          <w:p w:rsidR="00D379BD" w:rsidRDefault="00875B27">
            <w:pPr>
              <w:ind w:left="108" w:right="144"/>
              <w:rPr>
                <w:rFonts w:ascii="Arial" w:hAnsi="Arial"/>
                <w:color w:val="0D0D0D"/>
                <w:spacing w:val="9"/>
                <w:sz w:val="21"/>
                <w:lang w:val="cs-CZ"/>
              </w:rPr>
            </w:pPr>
            <w:r>
              <w:rPr>
                <w:rFonts w:ascii="Arial" w:hAnsi="Arial"/>
                <w:color w:val="0D0D0D"/>
                <w:spacing w:val="9"/>
                <w:sz w:val="21"/>
                <w:lang w:val="cs-CZ"/>
              </w:rPr>
              <w:t xml:space="preserve">nezveřejní či jiným způsobem nezpřístupní třetím osobám výši objemového bonusu a </w:t>
            </w:r>
            <w:r>
              <w:rPr>
                <w:rFonts w:ascii="Arial" w:hAnsi="Arial"/>
                <w:color w:val="0D0D0D"/>
                <w:spacing w:val="3"/>
                <w:sz w:val="21"/>
                <w:lang w:val="cs-CZ"/>
              </w:rPr>
              <w:t>podmínky nároku na něj, a to i po skončení či zániku této spolupráce.</w:t>
            </w:r>
          </w:p>
        </w:tc>
      </w:tr>
      <w:tr w:rsidR="00D379BD">
        <w:trPr>
          <w:trHeight w:hRule="exact" w:val="259"/>
        </w:trPr>
        <w:tc>
          <w:tcPr>
            <w:tcW w:w="9307" w:type="dxa"/>
            <w:gridSpan w:val="2"/>
            <w:tcBorders>
              <w:top w:val="single" w:sz="4" w:space="0" w:color="000000"/>
              <w:left w:val="single" w:sz="4" w:space="0" w:color="000000"/>
              <w:bottom w:val="single" w:sz="4" w:space="0" w:color="000000"/>
              <w:right w:val="single" w:sz="4" w:space="0" w:color="000000"/>
            </w:tcBorders>
            <w:vAlign w:val="center"/>
          </w:tcPr>
          <w:p w:rsidR="00D379BD" w:rsidRDefault="00875B27">
            <w:pPr>
              <w:ind w:left="120"/>
              <w:rPr>
                <w:rFonts w:ascii="Arial" w:hAnsi="Arial"/>
                <w:b/>
                <w:color w:val="0D0D0D"/>
                <w:spacing w:val="4"/>
                <w:sz w:val="21"/>
                <w:lang w:val="cs-CZ"/>
              </w:rPr>
            </w:pPr>
            <w:r>
              <w:rPr>
                <w:rFonts w:ascii="Arial" w:hAnsi="Arial"/>
                <w:b/>
                <w:color w:val="0D0D0D"/>
                <w:spacing w:val="4"/>
                <w:sz w:val="21"/>
                <w:lang w:val="cs-CZ"/>
              </w:rPr>
              <w:t>VZOREC PRO VÝPOČET</w:t>
            </w:r>
          </w:p>
        </w:tc>
      </w:tr>
      <w:tr w:rsidR="00D379BD">
        <w:trPr>
          <w:trHeight w:hRule="exact" w:val="768"/>
        </w:trPr>
        <w:tc>
          <w:tcPr>
            <w:tcW w:w="4651" w:type="dxa"/>
            <w:tcBorders>
              <w:top w:val="single" w:sz="4" w:space="0" w:color="000000"/>
              <w:left w:val="single" w:sz="4" w:space="0" w:color="000000"/>
              <w:bottom w:val="single" w:sz="4" w:space="0" w:color="000000"/>
              <w:right w:val="single" w:sz="4" w:space="0" w:color="000000"/>
            </w:tcBorders>
          </w:tcPr>
          <w:p w:rsidR="00D379BD" w:rsidRDefault="00875B27">
            <w:pPr>
              <w:tabs>
                <w:tab w:val="left" w:pos="1507"/>
                <w:tab w:val="left" w:pos="2213"/>
                <w:tab w:val="left" w:pos="2726"/>
                <w:tab w:val="left" w:pos="3432"/>
                <w:tab w:val="right" w:pos="4531"/>
              </w:tabs>
              <w:ind w:left="108"/>
              <w:rPr>
                <w:rFonts w:ascii="Arial" w:hAnsi="Arial"/>
                <w:color w:val="0D0D0D"/>
                <w:spacing w:val="-6"/>
                <w:sz w:val="21"/>
                <w:lang w:val="cs-CZ"/>
              </w:rPr>
            </w:pPr>
            <w:r>
              <w:rPr>
                <w:rFonts w:ascii="Arial" w:hAnsi="Arial"/>
                <w:color w:val="0D0D0D"/>
                <w:spacing w:val="-6"/>
                <w:sz w:val="21"/>
                <w:lang w:val="cs-CZ"/>
              </w:rPr>
              <w:t>požadovaný</w:t>
            </w:r>
            <w:r>
              <w:rPr>
                <w:rFonts w:ascii="Arial" w:hAnsi="Arial"/>
                <w:color w:val="0D0D0D"/>
                <w:spacing w:val="-6"/>
                <w:sz w:val="21"/>
                <w:lang w:val="cs-CZ"/>
              </w:rPr>
              <w:tab/>
            </w:r>
            <w:r>
              <w:rPr>
                <w:rFonts w:ascii="Arial" w:hAnsi="Arial"/>
                <w:color w:val="0D0D0D"/>
                <w:spacing w:val="-4"/>
                <w:sz w:val="21"/>
                <w:lang w:val="cs-CZ"/>
              </w:rPr>
              <w:t>obrat</w:t>
            </w:r>
            <w:r>
              <w:rPr>
                <w:rFonts w:ascii="Arial" w:hAnsi="Arial"/>
                <w:color w:val="0D0D0D"/>
                <w:spacing w:val="-4"/>
                <w:sz w:val="21"/>
                <w:lang w:val="cs-CZ"/>
              </w:rPr>
              <w:tab/>
            </w:r>
            <w:r>
              <w:rPr>
                <w:rFonts w:ascii="Arial" w:hAnsi="Arial"/>
                <w:color w:val="0D0D0D"/>
                <w:sz w:val="21"/>
                <w:lang w:val="cs-CZ"/>
              </w:rPr>
              <w:t>pro</w:t>
            </w:r>
            <w:r>
              <w:rPr>
                <w:rFonts w:ascii="Arial" w:hAnsi="Arial"/>
                <w:color w:val="0D0D0D"/>
                <w:sz w:val="21"/>
                <w:lang w:val="cs-CZ"/>
              </w:rPr>
              <w:tab/>
            </w:r>
            <w:r>
              <w:rPr>
                <w:rFonts w:ascii="Arial" w:hAnsi="Arial"/>
                <w:color w:val="0D0D0D"/>
                <w:spacing w:val="-4"/>
                <w:sz w:val="21"/>
                <w:lang w:val="cs-CZ"/>
              </w:rPr>
              <w:t>vznik</w:t>
            </w:r>
            <w:r>
              <w:rPr>
                <w:rFonts w:ascii="Arial" w:hAnsi="Arial"/>
                <w:color w:val="0D0D0D"/>
                <w:spacing w:val="-4"/>
                <w:sz w:val="21"/>
                <w:lang w:val="cs-CZ"/>
              </w:rPr>
              <w:tab/>
            </w:r>
            <w:r>
              <w:rPr>
                <w:rFonts w:ascii="Arial" w:hAnsi="Arial"/>
                <w:color w:val="0D0D0D"/>
                <w:spacing w:val="-2"/>
                <w:sz w:val="21"/>
                <w:lang w:val="cs-CZ"/>
              </w:rPr>
              <w:t>nároku</w:t>
            </w:r>
            <w:r>
              <w:rPr>
                <w:rFonts w:ascii="Arial" w:hAnsi="Arial"/>
                <w:color w:val="0D0D0D"/>
                <w:spacing w:val="-2"/>
                <w:sz w:val="21"/>
                <w:lang w:val="cs-CZ"/>
              </w:rPr>
              <w:tab/>
            </w:r>
            <w:r>
              <w:rPr>
                <w:rFonts w:ascii="Arial" w:hAnsi="Arial"/>
                <w:color w:val="0D0D0D"/>
                <w:sz w:val="21"/>
                <w:lang w:val="cs-CZ"/>
              </w:rPr>
              <w:t>na</w:t>
            </w:r>
          </w:p>
          <w:p w:rsidR="00D379BD" w:rsidRDefault="00875B27">
            <w:pPr>
              <w:tabs>
                <w:tab w:val="right" w:pos="4282"/>
              </w:tabs>
              <w:ind w:left="108" w:right="108"/>
              <w:rPr>
                <w:rFonts w:ascii="Arial" w:hAnsi="Arial"/>
                <w:color w:val="0D0D0D"/>
                <w:spacing w:val="9"/>
                <w:sz w:val="21"/>
                <w:lang w:val="cs-CZ"/>
              </w:rPr>
            </w:pPr>
            <w:r>
              <w:rPr>
                <w:rFonts w:ascii="Arial" w:hAnsi="Arial"/>
                <w:color w:val="0D0D0D"/>
                <w:spacing w:val="9"/>
                <w:sz w:val="21"/>
                <w:lang w:val="cs-CZ"/>
              </w:rPr>
              <w:t xml:space="preserve">finanční bonus v Kč bez DPH za období 6 </w:t>
            </w:r>
            <w:r>
              <w:rPr>
                <w:rFonts w:ascii="Arial" w:hAnsi="Arial"/>
                <w:color w:val="0D0D0D"/>
                <w:spacing w:val="-8"/>
                <w:sz w:val="21"/>
                <w:lang w:val="cs-CZ"/>
              </w:rPr>
              <w:t>měsíců</w:t>
            </w:r>
            <w:r>
              <w:rPr>
                <w:rFonts w:ascii="Arial" w:hAnsi="Arial"/>
                <w:color w:val="0D0D0D"/>
                <w:spacing w:val="-8"/>
                <w:sz w:val="21"/>
                <w:lang w:val="cs-CZ"/>
              </w:rPr>
              <w:tab/>
            </w:r>
            <w:r>
              <w:rPr>
                <w:rFonts w:ascii="Arial" w:hAnsi="Arial"/>
                <w:color w:val="0D0D0D"/>
                <w:spacing w:val="2"/>
                <w:sz w:val="21"/>
                <w:lang w:val="cs-CZ"/>
              </w:rPr>
              <w:t>(1.7.-31.12.2017 a 1.1.-30.6.2018)</w:t>
            </w:r>
          </w:p>
        </w:tc>
        <w:tc>
          <w:tcPr>
            <w:tcW w:w="4656" w:type="dxa"/>
            <w:tcBorders>
              <w:top w:val="single" w:sz="4" w:space="0" w:color="000000"/>
              <w:left w:val="single" w:sz="4" w:space="0" w:color="000000"/>
              <w:bottom w:val="single" w:sz="4" w:space="0" w:color="000000"/>
              <w:right w:val="single" w:sz="4" w:space="0" w:color="000000"/>
            </w:tcBorders>
          </w:tcPr>
          <w:p w:rsidR="00D379BD" w:rsidRDefault="00875B27">
            <w:pPr>
              <w:ind w:left="111"/>
              <w:rPr>
                <w:rFonts w:ascii="Arial" w:hAnsi="Arial"/>
                <w:color w:val="0D0D0D"/>
                <w:spacing w:val="2"/>
                <w:sz w:val="21"/>
                <w:lang w:val="cs-CZ"/>
              </w:rPr>
            </w:pPr>
            <w:r>
              <w:rPr>
                <w:rFonts w:ascii="Arial" w:hAnsi="Arial"/>
                <w:color w:val="0D0D0D"/>
                <w:spacing w:val="2"/>
                <w:sz w:val="21"/>
                <w:lang w:val="cs-CZ"/>
              </w:rPr>
              <w:t>výše finančního bonusu v °A</w:t>
            </w:r>
          </w:p>
        </w:tc>
      </w:tr>
      <w:tr w:rsidR="00D379BD">
        <w:trPr>
          <w:trHeight w:hRule="exact" w:val="259"/>
        </w:trPr>
        <w:tc>
          <w:tcPr>
            <w:tcW w:w="4651" w:type="dxa"/>
            <w:tcBorders>
              <w:top w:val="single" w:sz="4" w:space="0" w:color="000000"/>
              <w:left w:val="single" w:sz="4" w:space="0" w:color="000000"/>
              <w:bottom w:val="single" w:sz="4" w:space="0" w:color="000000"/>
              <w:right w:val="single" w:sz="4" w:space="0" w:color="000000"/>
            </w:tcBorders>
            <w:vAlign w:val="center"/>
          </w:tcPr>
          <w:p w:rsidR="00D379BD" w:rsidRDefault="008235EB">
            <w:pPr>
              <w:ind w:left="120"/>
              <w:rPr>
                <w:rFonts w:ascii="Arial" w:hAnsi="Arial"/>
                <w:color w:val="0D0D0D"/>
                <w:spacing w:val="4"/>
                <w:sz w:val="21"/>
                <w:lang w:val="cs-CZ"/>
              </w:rPr>
            </w:pPr>
            <w:r>
              <w:rPr>
                <w:rFonts w:ascii="Arial" w:hAnsi="Arial"/>
                <w:color w:val="0D0D0D"/>
                <w:spacing w:val="4"/>
                <w:sz w:val="21"/>
                <w:lang w:val="cs-CZ"/>
              </w:rPr>
              <w:t>XXXX</w:t>
            </w:r>
          </w:p>
        </w:tc>
        <w:tc>
          <w:tcPr>
            <w:tcW w:w="4656" w:type="dxa"/>
            <w:tcBorders>
              <w:top w:val="single" w:sz="4" w:space="0" w:color="000000"/>
              <w:left w:val="single" w:sz="4" w:space="0" w:color="000000"/>
              <w:bottom w:val="single" w:sz="4" w:space="0" w:color="000000"/>
              <w:right w:val="single" w:sz="4" w:space="0" w:color="000000"/>
            </w:tcBorders>
            <w:vAlign w:val="center"/>
          </w:tcPr>
          <w:p w:rsidR="00D379BD" w:rsidRDefault="008235EB">
            <w:pPr>
              <w:ind w:left="111"/>
              <w:rPr>
                <w:rFonts w:ascii="Arial" w:hAnsi="Arial"/>
                <w:color w:val="0D0D0D"/>
                <w:sz w:val="21"/>
                <w:lang w:val="cs-CZ"/>
              </w:rPr>
            </w:pPr>
            <w:r>
              <w:rPr>
                <w:rFonts w:ascii="Arial" w:hAnsi="Arial"/>
                <w:color w:val="0D0D0D"/>
                <w:sz w:val="21"/>
                <w:lang w:val="cs-CZ"/>
              </w:rPr>
              <w:t>XXXX</w:t>
            </w:r>
          </w:p>
        </w:tc>
      </w:tr>
      <w:tr w:rsidR="00D379BD">
        <w:trPr>
          <w:trHeight w:hRule="exact" w:val="260"/>
        </w:trPr>
        <w:tc>
          <w:tcPr>
            <w:tcW w:w="4651" w:type="dxa"/>
            <w:tcBorders>
              <w:top w:val="single" w:sz="4" w:space="0" w:color="000000"/>
              <w:left w:val="single" w:sz="4" w:space="0" w:color="000000"/>
              <w:bottom w:val="single" w:sz="4" w:space="0" w:color="000000"/>
              <w:right w:val="single" w:sz="4" w:space="0" w:color="000000"/>
            </w:tcBorders>
            <w:vAlign w:val="center"/>
          </w:tcPr>
          <w:p w:rsidR="00D379BD" w:rsidRDefault="008235EB">
            <w:pPr>
              <w:ind w:left="120"/>
              <w:rPr>
                <w:rFonts w:ascii="Arial" w:hAnsi="Arial"/>
                <w:color w:val="0D0D0D"/>
                <w:spacing w:val="4"/>
                <w:sz w:val="21"/>
                <w:lang w:val="cs-CZ"/>
              </w:rPr>
            </w:pPr>
            <w:r>
              <w:rPr>
                <w:rFonts w:ascii="Arial" w:hAnsi="Arial"/>
                <w:color w:val="0D0D0D"/>
                <w:spacing w:val="4"/>
                <w:sz w:val="21"/>
                <w:lang w:val="cs-CZ"/>
              </w:rPr>
              <w:t>XXXX</w:t>
            </w:r>
          </w:p>
        </w:tc>
        <w:tc>
          <w:tcPr>
            <w:tcW w:w="4656" w:type="dxa"/>
            <w:tcBorders>
              <w:top w:val="single" w:sz="4" w:space="0" w:color="000000"/>
              <w:left w:val="single" w:sz="4" w:space="0" w:color="000000"/>
              <w:bottom w:val="single" w:sz="4" w:space="0" w:color="000000"/>
              <w:right w:val="single" w:sz="4" w:space="0" w:color="000000"/>
            </w:tcBorders>
            <w:vAlign w:val="center"/>
          </w:tcPr>
          <w:p w:rsidR="00D379BD" w:rsidRDefault="008235EB">
            <w:pPr>
              <w:ind w:left="111"/>
              <w:rPr>
                <w:rFonts w:ascii="Arial" w:hAnsi="Arial"/>
                <w:color w:val="0D0D0D"/>
                <w:sz w:val="21"/>
                <w:lang w:val="cs-CZ"/>
              </w:rPr>
            </w:pPr>
            <w:r>
              <w:rPr>
                <w:rFonts w:ascii="Arial" w:hAnsi="Arial"/>
                <w:color w:val="0D0D0D"/>
                <w:sz w:val="21"/>
                <w:lang w:val="cs-CZ"/>
              </w:rPr>
              <w:t>XXXX</w:t>
            </w:r>
          </w:p>
        </w:tc>
      </w:tr>
      <w:tr w:rsidR="00D379BD">
        <w:trPr>
          <w:trHeight w:hRule="exact" w:val="273"/>
        </w:trPr>
        <w:tc>
          <w:tcPr>
            <w:tcW w:w="4651" w:type="dxa"/>
            <w:tcBorders>
              <w:top w:val="single" w:sz="4" w:space="0" w:color="000000"/>
              <w:left w:val="single" w:sz="4" w:space="0" w:color="000000"/>
              <w:bottom w:val="single" w:sz="4" w:space="0" w:color="000000"/>
              <w:right w:val="single" w:sz="4" w:space="0" w:color="000000"/>
            </w:tcBorders>
            <w:vAlign w:val="center"/>
          </w:tcPr>
          <w:p w:rsidR="00D379BD" w:rsidRDefault="008235EB">
            <w:pPr>
              <w:ind w:left="120"/>
              <w:rPr>
                <w:rFonts w:ascii="Arial" w:hAnsi="Arial"/>
                <w:color w:val="0D0D0D"/>
                <w:spacing w:val="2"/>
                <w:sz w:val="21"/>
                <w:lang w:val="cs-CZ"/>
              </w:rPr>
            </w:pPr>
            <w:r>
              <w:rPr>
                <w:rFonts w:ascii="Arial" w:hAnsi="Arial"/>
                <w:color w:val="0D0D0D"/>
                <w:spacing w:val="2"/>
                <w:sz w:val="21"/>
                <w:lang w:val="cs-CZ"/>
              </w:rPr>
              <w:t>XXXX</w:t>
            </w:r>
          </w:p>
        </w:tc>
        <w:tc>
          <w:tcPr>
            <w:tcW w:w="4656" w:type="dxa"/>
            <w:tcBorders>
              <w:top w:val="single" w:sz="4" w:space="0" w:color="000000"/>
              <w:left w:val="single" w:sz="4" w:space="0" w:color="000000"/>
              <w:bottom w:val="single" w:sz="4" w:space="0" w:color="000000"/>
              <w:right w:val="single" w:sz="4" w:space="0" w:color="000000"/>
            </w:tcBorders>
            <w:vAlign w:val="center"/>
          </w:tcPr>
          <w:p w:rsidR="00D379BD" w:rsidRDefault="008235EB">
            <w:pPr>
              <w:ind w:left="111"/>
              <w:rPr>
                <w:rFonts w:ascii="Arial" w:hAnsi="Arial"/>
                <w:color w:val="0D0D0D"/>
                <w:sz w:val="21"/>
                <w:lang w:val="cs-CZ"/>
              </w:rPr>
            </w:pPr>
            <w:r>
              <w:rPr>
                <w:rFonts w:ascii="Arial" w:hAnsi="Arial"/>
                <w:color w:val="0D0D0D"/>
                <w:sz w:val="21"/>
                <w:lang w:val="cs-CZ"/>
              </w:rPr>
              <w:t>XXXX</w:t>
            </w:r>
          </w:p>
        </w:tc>
      </w:tr>
    </w:tbl>
    <w:p w:rsidR="00D379BD" w:rsidRDefault="00D379BD">
      <w:pPr>
        <w:spacing w:after="1286" w:line="20" w:lineRule="exact"/>
      </w:pPr>
    </w:p>
    <w:p w:rsidR="00D379BD" w:rsidRDefault="00875B27">
      <w:pPr>
        <w:spacing w:line="273" w:lineRule="auto"/>
        <w:ind w:left="72" w:right="936"/>
        <w:rPr>
          <w:rFonts w:ascii="Arial" w:hAnsi="Arial"/>
          <w:b/>
          <w:color w:val="0D0D0D"/>
          <w:spacing w:val="-5"/>
          <w:sz w:val="16"/>
          <w:lang w:val="cs-CZ"/>
        </w:rPr>
      </w:pPr>
      <w:r>
        <w:rPr>
          <w:rFonts w:ascii="Arial" w:hAnsi="Arial"/>
          <w:b/>
          <w:color w:val="0D0D0D"/>
          <w:spacing w:val="-5"/>
          <w:sz w:val="16"/>
          <w:lang w:val="cs-CZ"/>
        </w:rPr>
        <w:t xml:space="preserve">Pozn.: </w:t>
      </w:r>
      <w:r>
        <w:rPr>
          <w:rFonts w:ascii="Verdana" w:hAnsi="Verdana"/>
          <w:color w:val="0D0D0D"/>
          <w:spacing w:val="-5"/>
          <w:sz w:val="15"/>
          <w:lang w:val="cs-CZ"/>
        </w:rPr>
        <w:t xml:space="preserve">Obratový bonus bude vyplacen za celkově odebrané zboží v daném referenčním období očištěné o vratky a </w:t>
      </w:r>
      <w:r>
        <w:rPr>
          <w:rFonts w:ascii="Verdana" w:hAnsi="Verdana"/>
          <w:color w:val="0D0D0D"/>
          <w:sz w:val="15"/>
          <w:lang w:val="cs-CZ"/>
        </w:rPr>
        <w:t>dobropisy.</w:t>
      </w:r>
    </w:p>
    <w:p w:rsidR="00D379BD" w:rsidRDefault="00D379BD">
      <w:pPr>
        <w:sectPr w:rsidR="00D379BD">
          <w:pgSz w:w="11918" w:h="16854"/>
          <w:pgMar w:top="1374" w:right="1193" w:bottom="3730" w:left="1305" w:header="720" w:footer="720" w:gutter="0"/>
          <w:cols w:space="708"/>
        </w:sectPr>
      </w:pPr>
    </w:p>
    <w:p w:rsidR="00D379BD" w:rsidRDefault="00D379BD" w:rsidP="00F8472F">
      <w:pPr>
        <w:spacing w:after="108"/>
        <w:ind w:left="144"/>
        <w:rPr>
          <w:rFonts w:ascii="Verdana" w:hAnsi="Verdana"/>
          <w:b/>
          <w:color w:val="191919"/>
          <w:sz w:val="23"/>
          <w:lang w:val="cs-CZ"/>
        </w:rPr>
      </w:pPr>
    </w:p>
    <w:sectPr w:rsidR="00D379BD" w:rsidSect="00F8472F">
      <w:pgSz w:w="11918" w:h="16854"/>
      <w:pgMar w:top="1316" w:right="1264" w:bottom="189" w:left="12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697E"/>
    <w:multiLevelType w:val="multilevel"/>
    <w:tmpl w:val="982C64FE"/>
    <w:lvl w:ilvl="0">
      <w:start w:val="1"/>
      <w:numFmt w:val="decimal"/>
      <w:lvlText w:val="%1."/>
      <w:lvlJc w:val="left"/>
      <w:pPr>
        <w:tabs>
          <w:tab w:val="decimal" w:pos="360"/>
        </w:tabs>
        <w:ind w:left="720"/>
      </w:pPr>
      <w:rPr>
        <w:rFonts w:ascii="Verdana" w:hAnsi="Verdana"/>
        <w:strike w:val="0"/>
        <w:color w:val="000000"/>
        <w:spacing w:val="-4"/>
        <w:w w:val="100"/>
        <w:sz w:val="15"/>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BD"/>
    <w:rsid w:val="003E166E"/>
    <w:rsid w:val="008235EB"/>
    <w:rsid w:val="00875B27"/>
    <w:rsid w:val="008C79E3"/>
    <w:rsid w:val="00D379BD"/>
    <w:rsid w:val="00F847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C79E3"/>
    <w:rPr>
      <w:rFonts w:ascii="Tahoma" w:hAnsi="Tahoma" w:cs="Tahoma"/>
      <w:sz w:val="16"/>
      <w:szCs w:val="16"/>
    </w:rPr>
  </w:style>
  <w:style w:type="character" w:customStyle="1" w:styleId="TextbublinyChar">
    <w:name w:val="Text bubliny Char"/>
    <w:basedOn w:val="Standardnpsmoodstavce"/>
    <w:link w:val="Textbubliny"/>
    <w:uiPriority w:val="99"/>
    <w:semiHidden/>
    <w:rsid w:val="008C7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C79E3"/>
    <w:rPr>
      <w:rFonts w:ascii="Tahoma" w:hAnsi="Tahoma" w:cs="Tahoma"/>
      <w:sz w:val="16"/>
      <w:szCs w:val="16"/>
    </w:rPr>
  </w:style>
  <w:style w:type="character" w:customStyle="1" w:styleId="TextbublinyChar">
    <w:name w:val="Text bubliny Char"/>
    <w:basedOn w:val="Standardnpsmoodstavce"/>
    <w:link w:val="Textbubliny"/>
    <w:uiPriority w:val="99"/>
    <w:semiHidden/>
    <w:rsid w:val="008C7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3683</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Mrkvová</dc:creator>
  <cp:lastModifiedBy>Renáta Mrkvová</cp:lastModifiedBy>
  <cp:revision>2</cp:revision>
  <dcterms:created xsi:type="dcterms:W3CDTF">2017-11-13T13:02:00Z</dcterms:created>
  <dcterms:modified xsi:type="dcterms:W3CDTF">2017-11-13T13:02:00Z</dcterms:modified>
</cp:coreProperties>
</file>