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FA" w:rsidRDefault="009E2D8F">
      <w:pPr>
        <w:pStyle w:val="Bodytext60"/>
        <w:framePr w:wrap="none" w:vAnchor="page" w:hAnchor="page" w:x="4990" w:y="1771"/>
        <w:shd w:val="clear" w:color="auto" w:fill="auto"/>
      </w:pPr>
      <w:r>
        <w:t>Dodatek č. 5</w:t>
      </w:r>
    </w:p>
    <w:p w:rsidR="00A054FA" w:rsidRPr="003B1DFD" w:rsidRDefault="00A054FA" w:rsidP="003B1DFD">
      <w:pPr>
        <w:pStyle w:val="Bodytext30"/>
        <w:framePr w:w="9974" w:h="912" w:hRule="exact" w:wrap="none" w:vAnchor="page" w:hAnchor="page" w:x="1634" w:y="1742"/>
        <w:shd w:val="clear" w:color="auto" w:fill="auto"/>
        <w:ind w:left="7027"/>
        <w:rPr>
          <w:b w:val="0"/>
        </w:rPr>
      </w:pPr>
    </w:p>
    <w:p w:rsidR="00A054FA" w:rsidRPr="003B1DFD" w:rsidRDefault="009E2D8F">
      <w:pPr>
        <w:pStyle w:val="Bodytext40"/>
        <w:framePr w:w="9974" w:h="912" w:hRule="exact" w:wrap="none" w:vAnchor="page" w:hAnchor="page" w:x="1634" w:y="1742"/>
        <w:shd w:val="clear" w:color="auto" w:fill="auto"/>
        <w:spacing w:after="0"/>
        <w:ind w:left="1603"/>
        <w:rPr>
          <w:b w:val="0"/>
        </w:rPr>
      </w:pPr>
      <w:r w:rsidRPr="003B1DFD">
        <w:rPr>
          <w:b w:val="0"/>
        </w:rPr>
        <w:t>k</w:t>
      </w:r>
      <w:r w:rsidRPr="003B1DFD">
        <w:rPr>
          <w:b w:val="0"/>
        </w:rPr>
        <w:t xml:space="preserve">e </w:t>
      </w:r>
      <w:r w:rsidRPr="003B1DFD">
        <w:rPr>
          <w:rStyle w:val="Bodytext4NotBold"/>
          <w:b/>
        </w:rPr>
        <w:t xml:space="preserve">Smlouvě </w:t>
      </w:r>
      <w:r w:rsidRPr="003B1DFD">
        <w:rPr>
          <w:b w:val="0"/>
        </w:rPr>
        <w:t>o nájmu ze dne 25.10.1999 v platném znění</w:t>
      </w:r>
    </w:p>
    <w:p w:rsidR="00A054FA" w:rsidRDefault="009E2D8F">
      <w:pPr>
        <w:pStyle w:val="Bodytext20"/>
        <w:framePr w:w="9974" w:h="1065" w:hRule="exact" w:wrap="none" w:vAnchor="page" w:hAnchor="page" w:x="1634" w:y="2867"/>
        <w:shd w:val="clear" w:color="auto" w:fill="auto"/>
        <w:spacing w:before="0"/>
        <w:ind w:left="420"/>
      </w:pPr>
      <w:r>
        <w:t>uzavřený níže uvedeného dne, měsíce a roku dle hlavy sedmé, oddílu prvního - třetího</w:t>
      </w:r>
    </w:p>
    <w:p w:rsidR="00A054FA" w:rsidRDefault="009E2D8F">
      <w:pPr>
        <w:pStyle w:val="Bodytext20"/>
        <w:framePr w:w="9974" w:h="1065" w:hRule="exact" w:wrap="none" w:vAnchor="page" w:hAnchor="page" w:x="1634" w:y="2867"/>
        <w:shd w:val="clear" w:color="auto" w:fill="auto"/>
        <w:spacing w:before="0" w:after="260"/>
        <w:ind w:left="3280"/>
      </w:pPr>
      <w:r>
        <w:t>Občanského zákoníku</w:t>
      </w:r>
    </w:p>
    <w:p w:rsidR="00A054FA" w:rsidRDefault="009E2D8F">
      <w:pPr>
        <w:pStyle w:val="Bodytext20"/>
        <w:framePr w:w="9974" w:h="1065" w:hRule="exact" w:wrap="none" w:vAnchor="page" w:hAnchor="page" w:x="1634" w:y="2867"/>
        <w:shd w:val="clear" w:color="auto" w:fill="auto"/>
        <w:spacing w:before="0"/>
        <w:ind w:left="3960"/>
      </w:pPr>
      <w:r>
        <w:t>uzavírá</w:t>
      </w:r>
    </w:p>
    <w:p w:rsidR="00A054FA" w:rsidRDefault="009E2D8F">
      <w:pPr>
        <w:pStyle w:val="Bodytext40"/>
        <w:framePr w:w="9974" w:h="5730" w:hRule="exact" w:wrap="none" w:vAnchor="page" w:hAnchor="page" w:x="1634" w:y="4123"/>
        <w:shd w:val="clear" w:color="auto" w:fill="auto"/>
        <w:spacing w:after="0" w:line="259" w:lineRule="exact"/>
        <w:ind w:left="420"/>
      </w:pPr>
      <w:r>
        <w:t>Město Český Těšín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se sídlem Český Těšín, nám. ČSA č. 1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zastoupený starostou Ing. Vítem Slováčkem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bank. spojení KB, a.s. exp. Český Těšín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č. účtu: 86-6000360257/0100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1Č: 00297437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9" w:lineRule="exact"/>
        <w:ind w:left="420"/>
      </w:pPr>
      <w:r>
        <w:t>(dále jen pronajímatel)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after="484" w:line="259" w:lineRule="exact"/>
        <w:ind w:left="4440"/>
      </w:pPr>
      <w:r>
        <w:t>a</w:t>
      </w:r>
    </w:p>
    <w:p w:rsidR="00A054FA" w:rsidRDefault="009E2D8F">
      <w:pPr>
        <w:pStyle w:val="Bodytext40"/>
        <w:framePr w:w="9974" w:h="5730" w:hRule="exact" w:wrap="none" w:vAnchor="page" w:hAnchor="page" w:x="1634" w:y="4123"/>
        <w:shd w:val="clear" w:color="auto" w:fill="auto"/>
        <w:spacing w:after="0" w:line="254" w:lineRule="exact"/>
        <w:ind w:left="420"/>
      </w:pPr>
      <w:r>
        <w:t xml:space="preserve">Bytový podnik </w:t>
      </w:r>
      <w:r>
        <w:rPr>
          <w:rStyle w:val="Bodytext4NotBold"/>
        </w:rPr>
        <w:t xml:space="preserve">Č. </w:t>
      </w:r>
      <w:r>
        <w:t xml:space="preserve">Těšín </w:t>
      </w:r>
      <w:r>
        <w:rPr>
          <w:rStyle w:val="Bodytext4NotBold"/>
        </w:rPr>
        <w:t>a.s.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se sídlem Tovární č. 314/27,737 01 Český Těšín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zastoupený ředitelem Ing. Josefe</w:t>
      </w:r>
      <w:r>
        <w:t>m Gabzdylem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bank. spojení KB, a.s. exp. Český Těšín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č. účtu: 19-5753310217/0100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ÍČ:25391330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left="420"/>
      </w:pPr>
      <w:r>
        <w:t>DIČ: CZ25391330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after="260" w:line="254" w:lineRule="exact"/>
        <w:ind w:left="420"/>
      </w:pPr>
      <w:r>
        <w:t>(dále jen nájemce)</w:t>
      </w:r>
    </w:p>
    <w:p w:rsidR="00A054FA" w:rsidRDefault="009E2D8F">
      <w:pPr>
        <w:pStyle w:val="Bodytext20"/>
        <w:framePr w:w="9974" w:h="5730" w:hRule="exact" w:wrap="none" w:vAnchor="page" w:hAnchor="page" w:x="1634" w:y="4123"/>
        <w:shd w:val="clear" w:color="auto" w:fill="auto"/>
        <w:spacing w:before="0" w:line="254" w:lineRule="exact"/>
        <w:ind w:right="1620"/>
        <w:jc w:val="both"/>
      </w:pPr>
      <w:r>
        <w:t xml:space="preserve">Smlouva o nájmu uzavřená mezi výše uvedenými stranami dne 25.10.1999 ve znění dodatku č. 1 ze dne 26.1,2000,dodatku č. 2 ze dne </w:t>
      </w:r>
      <w:r>
        <w:t>28.6.2000,dodatku č. 3 ze dne 17.5.2001 a dodatku č.4, který nabyl účinnosti dnem 1.1.2002 se mění takto:</w:t>
      </w:r>
    </w:p>
    <w:p w:rsidR="00A054FA" w:rsidRDefault="009E2D8F">
      <w:pPr>
        <w:pStyle w:val="Bodytext20"/>
        <w:framePr w:w="9974" w:h="1061" w:hRule="exact" w:wrap="none" w:vAnchor="page" w:hAnchor="page" w:x="1634" w:y="10077"/>
        <w:shd w:val="clear" w:color="auto" w:fill="auto"/>
        <w:spacing w:before="0" w:after="256"/>
        <w:ind w:left="4200"/>
      </w:pPr>
      <w:r>
        <w:t>1.</w:t>
      </w:r>
    </w:p>
    <w:p w:rsidR="00A054FA" w:rsidRDefault="009E2D8F">
      <w:pPr>
        <w:pStyle w:val="Bodytext20"/>
        <w:framePr w:w="9974" w:h="1061" w:hRule="exact" w:wrap="none" w:vAnchor="page" w:hAnchor="page" w:x="1634" w:y="10077"/>
        <w:shd w:val="clear" w:color="auto" w:fill="auto"/>
        <w:spacing w:before="0" w:line="250" w:lineRule="exact"/>
        <w:ind w:right="2520" w:firstLine="540"/>
      </w:pPr>
      <w:r>
        <w:t xml:space="preserve">Z </w:t>
      </w:r>
      <w:r>
        <w:rPr>
          <w:rStyle w:val="Bodytext2Bold"/>
        </w:rPr>
        <w:t xml:space="preserve">přílohy </w:t>
      </w:r>
      <w:r>
        <w:t xml:space="preserve">č. </w:t>
      </w:r>
      <w:r>
        <w:rPr>
          <w:rStyle w:val="Bodytext2Bold"/>
        </w:rPr>
        <w:t xml:space="preserve">I </w:t>
      </w:r>
      <w:r>
        <w:t>- seznam pronajatých kotelen se vypouští řádek o kotelnách : Komenského 14. Čapkova 5. Čapkova 7 a Na Horkách.</w:t>
      </w:r>
    </w:p>
    <w:p w:rsidR="00A054FA" w:rsidRDefault="009E2D8F">
      <w:pPr>
        <w:pStyle w:val="Bodytext50"/>
        <w:framePr w:wrap="none" w:vAnchor="page" w:hAnchor="page" w:x="1634" w:y="11858"/>
        <w:shd w:val="clear" w:color="auto" w:fill="auto"/>
        <w:spacing w:before="0" w:after="0"/>
        <w:ind w:left="4200"/>
      </w:pPr>
      <w:r>
        <w:rPr>
          <w:rStyle w:val="Bodytext5TimesNewRoman11ptBold"/>
          <w:rFonts w:eastAsia="EucrosiaUPC"/>
        </w:rPr>
        <w:t>2</w:t>
      </w:r>
      <w:r>
        <w:t>.</w:t>
      </w:r>
    </w:p>
    <w:p w:rsidR="00A054FA" w:rsidRDefault="009E2D8F">
      <w:pPr>
        <w:pStyle w:val="Bodytext20"/>
        <w:framePr w:w="9974" w:h="561" w:hRule="exact" w:wrap="none" w:vAnchor="page" w:hAnchor="page" w:x="1634" w:y="12886"/>
        <w:shd w:val="clear" w:color="auto" w:fill="auto"/>
        <w:spacing w:before="0" w:line="254" w:lineRule="exact"/>
        <w:ind w:right="1940" w:firstLine="540"/>
      </w:pPr>
      <w:r>
        <w:t xml:space="preserve">V příloze č. 2 se </w:t>
      </w:r>
      <w:r>
        <w:t>dosavadní text této přílohy nahrazuje zněním uvedeným v příloze tohoto dodatku.</w:t>
      </w:r>
    </w:p>
    <w:p w:rsidR="00A054FA" w:rsidRDefault="00A054FA">
      <w:pPr>
        <w:pStyle w:val="Barcode0"/>
        <w:framePr w:w="2482" w:h="480" w:hRule="exact" w:wrap="none" w:vAnchor="page" w:hAnchor="page" w:x="7404" w:y="1046"/>
        <w:shd w:val="clear" w:color="auto" w:fill="auto"/>
      </w:pPr>
    </w:p>
    <w:p w:rsidR="00A054FA" w:rsidRDefault="00A054FA">
      <w:pPr>
        <w:rPr>
          <w:sz w:val="2"/>
          <w:szCs w:val="2"/>
        </w:rPr>
        <w:sectPr w:rsidR="00A05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54FA" w:rsidRDefault="009E2D8F">
      <w:pPr>
        <w:pStyle w:val="Bodytext40"/>
        <w:framePr w:wrap="none" w:vAnchor="page" w:hAnchor="page" w:x="1269" w:y="2072"/>
        <w:shd w:val="clear" w:color="auto" w:fill="auto"/>
        <w:spacing w:after="0"/>
        <w:ind w:left="4480"/>
      </w:pPr>
      <w:r>
        <w:lastRenderedPageBreak/>
        <w:t>3.</w:t>
      </w:r>
    </w:p>
    <w:p w:rsidR="00A054FA" w:rsidRDefault="009E2D8F">
      <w:pPr>
        <w:pStyle w:val="Bodytext20"/>
        <w:framePr w:w="9974" w:h="1061" w:hRule="exact" w:wrap="none" w:vAnchor="page" w:hAnchor="page" w:x="1269" w:y="2829"/>
        <w:shd w:val="clear" w:color="auto" w:fill="auto"/>
        <w:spacing w:before="0" w:line="250" w:lineRule="exact"/>
        <w:ind w:left="340" w:firstLine="480"/>
      </w:pPr>
      <w:r w:rsidRPr="003B1DFD">
        <w:rPr>
          <w:lang w:eastAsia="en-US" w:bidi="en-US"/>
        </w:rPr>
        <w:t xml:space="preserve">Text </w:t>
      </w:r>
      <w:r>
        <w:rPr>
          <w:rStyle w:val="Bodytext2Bold"/>
        </w:rPr>
        <w:t xml:space="preserve">článku </w:t>
      </w:r>
      <w:r w:rsidRPr="003B1DFD">
        <w:rPr>
          <w:rStyle w:val="Bodytext2Bold"/>
          <w:lang w:eastAsia="en-US" w:bidi="en-US"/>
        </w:rPr>
        <w:t xml:space="preserve">111. </w:t>
      </w:r>
      <w:r w:rsidRPr="003B1DFD">
        <w:rPr>
          <w:lang w:eastAsia="en-US" w:bidi="en-US"/>
        </w:rPr>
        <w:t xml:space="preserve">- </w:t>
      </w:r>
      <w:r>
        <w:t xml:space="preserve">výše </w:t>
      </w:r>
      <w:r>
        <w:rPr>
          <w:rStyle w:val="Bodytext2Bold"/>
        </w:rPr>
        <w:t xml:space="preserve">nájmu, </w:t>
      </w:r>
      <w:r>
        <w:t>se ruší a nahrazuje tímto zněním:</w:t>
      </w:r>
    </w:p>
    <w:p w:rsidR="00A054FA" w:rsidRDefault="009E2D8F">
      <w:pPr>
        <w:pStyle w:val="Bodytext20"/>
        <w:framePr w:w="9974" w:h="1061" w:hRule="exact" w:wrap="none" w:vAnchor="page" w:hAnchor="page" w:x="1269" w:y="2829"/>
        <w:shd w:val="clear" w:color="auto" w:fill="auto"/>
        <w:spacing w:before="0" w:line="250" w:lineRule="exact"/>
        <w:ind w:left="340" w:right="1180" w:firstLine="100"/>
        <w:jc w:val="both"/>
      </w:pPr>
      <w:r>
        <w:t xml:space="preserve">Roční nájem předmětu se stanovuje </w:t>
      </w:r>
      <w:r>
        <w:rPr>
          <w:rStyle w:val="Bodytext2Bold"/>
        </w:rPr>
        <w:t xml:space="preserve">paušálně ve výši 6 486 507,00 Kč </w:t>
      </w:r>
      <w:r>
        <w:t xml:space="preserve">a </w:t>
      </w:r>
      <w:r>
        <w:t>je splatný v pravidelných čtvrtletních splátkách ve výši jedné čtvrtiny nájemného vždy k 31.3., 30.6., 30.9. a 31.12. daného roku.</w:t>
      </w:r>
    </w:p>
    <w:p w:rsidR="00A054FA" w:rsidRDefault="009E2D8F">
      <w:pPr>
        <w:pStyle w:val="Bodytext40"/>
        <w:framePr w:wrap="none" w:vAnchor="page" w:hAnchor="page" w:x="1269" w:y="4366"/>
        <w:shd w:val="clear" w:color="auto" w:fill="auto"/>
        <w:spacing w:after="0"/>
        <w:ind w:left="4480"/>
      </w:pPr>
      <w:r>
        <w:t>4.</w:t>
      </w:r>
    </w:p>
    <w:p w:rsidR="00A054FA" w:rsidRDefault="009E2D8F">
      <w:pPr>
        <w:pStyle w:val="Bodytext20"/>
        <w:framePr w:wrap="none" w:vAnchor="page" w:hAnchor="page" w:x="1269" w:y="5393"/>
        <w:shd w:val="clear" w:color="auto" w:fill="auto"/>
        <w:spacing w:before="0"/>
        <w:ind w:left="340" w:firstLine="480"/>
      </w:pPr>
      <w:r>
        <w:t>Ruší se příloha č. 1 a Dodatku č. 1 ze dne 26.1.2000.</w:t>
      </w:r>
    </w:p>
    <w:p w:rsidR="00A054FA" w:rsidRDefault="009E2D8F">
      <w:pPr>
        <w:pStyle w:val="Bodytext20"/>
        <w:framePr w:w="9974" w:h="555" w:hRule="exact" w:wrap="none" w:vAnchor="page" w:hAnchor="page" w:x="1269" w:y="6170"/>
        <w:shd w:val="clear" w:color="auto" w:fill="auto"/>
        <w:spacing w:before="0" w:line="250" w:lineRule="exact"/>
        <w:ind w:left="340" w:right="1440" w:firstLine="480"/>
      </w:pPr>
      <w:r>
        <w:t xml:space="preserve">Ostatní ujednání smlouvy zůstávají nezměněna. Tento dodatek nabývá </w:t>
      </w:r>
      <w:r>
        <w:t>účinnosti dnem podpisu obou smluvních stran.</w:t>
      </w:r>
    </w:p>
    <w:p w:rsidR="00A054FA" w:rsidRDefault="00A054FA">
      <w:pPr>
        <w:pStyle w:val="Bodytext70"/>
        <w:framePr w:wrap="none" w:vAnchor="page" w:hAnchor="page" w:x="971" w:y="10289"/>
        <w:shd w:val="clear" w:color="auto" w:fill="auto"/>
      </w:pPr>
    </w:p>
    <w:p w:rsidR="00A054FA" w:rsidRDefault="003B1DFD">
      <w:pPr>
        <w:pStyle w:val="Picturecaption0"/>
        <w:framePr w:wrap="none" w:vAnchor="page" w:hAnchor="page" w:x="1519" w:y="9202"/>
        <w:shd w:val="clear" w:color="auto" w:fill="auto"/>
      </w:pPr>
      <w:r>
        <w:t>V Českém Těšíně dne:</w:t>
      </w:r>
    </w:p>
    <w:p w:rsidR="00A054FA" w:rsidRDefault="00A054FA">
      <w:pPr>
        <w:pStyle w:val="Bodytext20"/>
        <w:framePr w:wrap="none" w:vAnchor="page" w:hAnchor="page" w:x="2421" w:y="10323"/>
        <w:shd w:val="clear" w:color="auto" w:fill="auto"/>
        <w:spacing w:before="0"/>
        <w:ind w:left="220"/>
      </w:pPr>
    </w:p>
    <w:p w:rsidR="00A054FA" w:rsidRDefault="00A054FA" w:rsidP="003B1DFD">
      <w:pPr>
        <w:pStyle w:val="Bodytext80"/>
        <w:framePr w:w="2381" w:h="774" w:hRule="exact" w:wrap="none" w:vAnchor="page" w:hAnchor="page" w:x="2623" w:y="10369"/>
        <w:shd w:val="clear" w:color="auto" w:fill="auto"/>
        <w:ind w:right="1980"/>
      </w:pPr>
    </w:p>
    <w:p w:rsidR="00A054FA" w:rsidRDefault="00A054FA" w:rsidP="003B1DFD">
      <w:pPr>
        <w:pStyle w:val="Bodytext20"/>
        <w:framePr w:w="1766" w:h="816" w:hRule="exact" w:wrap="none" w:vAnchor="page" w:hAnchor="page" w:x="7538" w:y="10041"/>
        <w:shd w:val="clear" w:color="auto" w:fill="auto"/>
        <w:spacing w:before="0" w:line="254" w:lineRule="exact"/>
        <w:ind w:right="566"/>
        <w:jc w:val="both"/>
      </w:pPr>
    </w:p>
    <w:p w:rsidR="00A054FA" w:rsidRDefault="00A054FA">
      <w:pPr>
        <w:pStyle w:val="Bodytext100"/>
        <w:framePr w:wrap="none" w:vAnchor="page" w:hAnchor="page" w:x="1269" w:y="12517"/>
        <w:shd w:val="clear" w:color="auto" w:fill="auto"/>
        <w:spacing w:before="0" w:after="0"/>
        <w:ind w:left="200"/>
      </w:pPr>
    </w:p>
    <w:p w:rsidR="00A054FA" w:rsidRPr="003B1DFD" w:rsidRDefault="00A054FA">
      <w:pPr>
        <w:pStyle w:val="Bodytext110"/>
        <w:framePr w:wrap="none" w:vAnchor="page" w:hAnchor="page" w:x="1269" w:y="15354"/>
        <w:shd w:val="clear" w:color="auto" w:fill="auto"/>
        <w:spacing w:before="0"/>
        <w:ind w:left="2840"/>
        <w:rPr>
          <w:lang w:val="pl-PL"/>
        </w:rPr>
      </w:pPr>
    </w:p>
    <w:p w:rsidR="00A054FA" w:rsidRDefault="00A054FA">
      <w:pPr>
        <w:rPr>
          <w:sz w:val="2"/>
          <w:szCs w:val="2"/>
        </w:rPr>
        <w:sectPr w:rsidR="00A05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54FA" w:rsidRDefault="009E2D8F">
      <w:pPr>
        <w:pStyle w:val="Heading20"/>
        <w:framePr w:wrap="none" w:vAnchor="page" w:hAnchor="page" w:x="1494" w:y="1763"/>
        <w:shd w:val="clear" w:color="auto" w:fill="auto"/>
      </w:pPr>
      <w:bookmarkStart w:id="0" w:name="bookmark1"/>
      <w:r>
        <w:lastRenderedPageBreak/>
        <w:t>Příloha č. I: Seznam kotelen</w:t>
      </w:r>
      <w:bookmarkEnd w:id="0"/>
    </w:p>
    <w:p w:rsidR="003B1DFD" w:rsidRDefault="009E2D8F">
      <w:pPr>
        <w:pStyle w:val="Bodytext20"/>
        <w:framePr w:w="8822" w:h="7507" w:hRule="exact" w:wrap="none" w:vAnchor="page" w:hAnchor="page" w:x="1250" w:y="2554"/>
        <w:shd w:val="clear" w:color="auto" w:fill="auto"/>
        <w:spacing w:before="0" w:line="254" w:lineRule="exact"/>
        <w:ind w:left="280" w:right="7200"/>
        <w:jc w:val="both"/>
      </w:pPr>
      <w:r>
        <w:t>Šte</w:t>
      </w:r>
      <w:r w:rsidR="003B1DFD">
        <w:t>fanikova 20 Stře</w:t>
      </w:r>
      <w:r>
        <w:t xml:space="preserve">lniční 9 Frýdeeká </w:t>
      </w:r>
    </w:p>
    <w:p w:rsidR="003B1DFD" w:rsidRDefault="003B1DFD">
      <w:pPr>
        <w:pStyle w:val="Bodytext20"/>
        <w:framePr w:w="8822" w:h="7507" w:hRule="exact" w:wrap="none" w:vAnchor="page" w:hAnchor="page" w:x="1250" w:y="2554"/>
        <w:shd w:val="clear" w:color="auto" w:fill="auto"/>
        <w:spacing w:before="0" w:line="254" w:lineRule="exact"/>
        <w:ind w:left="280" w:right="7200"/>
        <w:jc w:val="both"/>
      </w:pPr>
      <w:r>
        <w:t>H</w:t>
      </w:r>
      <w:r w:rsidR="009E2D8F">
        <w:t xml:space="preserve">rabínská Náměstí </w:t>
      </w:r>
      <w:r>
        <w:t xml:space="preserve">ČSA6 </w:t>
      </w:r>
      <w:r w:rsidR="009E2D8F">
        <w:t>Městský úřad</w:t>
      </w:r>
    </w:p>
    <w:p w:rsidR="003B1DFD" w:rsidRDefault="003B1DFD">
      <w:pPr>
        <w:pStyle w:val="Bodytext20"/>
        <w:framePr w:w="8822" w:h="7507" w:hRule="exact" w:wrap="none" w:vAnchor="page" w:hAnchor="page" w:x="1250" w:y="2554"/>
        <w:shd w:val="clear" w:color="auto" w:fill="auto"/>
        <w:spacing w:before="0" w:line="254" w:lineRule="exact"/>
        <w:ind w:left="280" w:right="7200"/>
        <w:jc w:val="both"/>
      </w:pPr>
      <w:r>
        <w:t>Tovární 12 Jablunkov</w:t>
      </w:r>
      <w:r w:rsidR="009E2D8F">
        <w:t xml:space="preserve">ská Ostravská ! Ostravska 2 Ostravská 3 Ostravska 4 Ostravská 5 Ostravská 6 Mojská 1 Mojská 2 Mojská 3 Mojská 4 Mojská 5 </w:t>
      </w:r>
    </w:p>
    <w:p w:rsidR="00A054FA" w:rsidRDefault="009E2D8F">
      <w:pPr>
        <w:pStyle w:val="Bodytext20"/>
        <w:framePr w:w="8822" w:h="7507" w:hRule="exact" w:wrap="none" w:vAnchor="page" w:hAnchor="page" w:x="1250" w:y="2554"/>
        <w:shd w:val="clear" w:color="auto" w:fill="auto"/>
        <w:spacing w:before="0" w:line="254" w:lineRule="exact"/>
        <w:ind w:left="280" w:right="7200"/>
        <w:jc w:val="both"/>
      </w:pPr>
      <w:r>
        <w:t>Svi</w:t>
      </w:r>
      <w:r w:rsidRPr="003B1DFD">
        <w:rPr>
          <w:lang w:eastAsia="en-US" w:bidi="en-US"/>
        </w:rPr>
        <w:t xml:space="preserve">bice </w:t>
      </w:r>
      <w:r>
        <w:t xml:space="preserve">1 Svibice 2 Svibice 3 Svibice 4 Svibice 5 Svibice 6 Svibice 7 Svibice 8 Poliklinika </w:t>
      </w:r>
      <w:r w:rsidR="003B1DFD">
        <w:t>Štefá</w:t>
      </w:r>
      <w:r>
        <w:t>nikova 10</w:t>
      </w:r>
    </w:p>
    <w:p w:rsidR="00A054FA" w:rsidRDefault="00A054FA">
      <w:pPr>
        <w:rPr>
          <w:sz w:val="2"/>
          <w:szCs w:val="2"/>
        </w:rPr>
        <w:sectPr w:rsidR="00A05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54FA" w:rsidRDefault="003B1DFD">
      <w:pPr>
        <w:pStyle w:val="Heading20"/>
        <w:framePr w:wrap="none" w:vAnchor="page" w:hAnchor="page" w:x="1269" w:y="1763"/>
        <w:shd w:val="clear" w:color="auto" w:fill="auto"/>
        <w:ind w:left="320"/>
      </w:pPr>
      <w:bookmarkStart w:id="1" w:name="bookmark2"/>
      <w:r>
        <w:lastRenderedPageBreak/>
        <w:t>Příloha č</w:t>
      </w:r>
      <w:r w:rsidR="009E2D8F">
        <w:t>. 2: Seznam smluv o dodávce tepla a teplé vody s odběrateli:</w:t>
      </w:r>
      <w:bookmarkEnd w:id="1"/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54" w:lineRule="exact"/>
      </w:pPr>
      <w:r>
        <w:t>SBD Těšíňan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54" w:lineRule="exact"/>
      </w:pPr>
      <w:r>
        <w:t>RPG Byty . s r.o.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54" w:lineRule="exact"/>
      </w:pPr>
      <w:r>
        <w:t>NsP Karviná Ráj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54" w:lineRule="exact"/>
      </w:pPr>
      <w:r>
        <w:t xml:space="preserve">ZŠ Pod </w:t>
      </w:r>
      <w:r w:rsidR="003B1DFD">
        <w:t xml:space="preserve">Zvonek 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54" w:lineRule="exact"/>
      </w:pPr>
      <w:r>
        <w:t>I</w:t>
      </w:r>
      <w:r w:rsidR="009E2D8F">
        <w:t xml:space="preserve"> .realitní kancelář v Třinci s r.o.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54" w:lineRule="exact"/>
      </w:pPr>
      <w:r>
        <w:t>Družstvo Delta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54" w:lineRule="exact"/>
      </w:pPr>
      <w:r>
        <w:t>D.P.U. Consulting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54" w:lineRule="exact"/>
      </w:pPr>
      <w:r>
        <w:t>ZŠ</w:t>
      </w:r>
      <w:r w:rsidR="009E2D8F">
        <w:t xml:space="preserve"> Slezská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54" w:lineRule="exact"/>
      </w:pPr>
      <w:r>
        <w:t xml:space="preserve">ZŠ </w:t>
      </w:r>
      <w:r w:rsidR="009E2D8F">
        <w:t>Ostravská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shd w:val="clear" w:color="auto" w:fill="auto"/>
        <w:spacing w:before="0" w:line="254" w:lineRule="exact"/>
      </w:pPr>
      <w:r>
        <w:t>11</w:t>
      </w:r>
      <w:r w:rsidR="009E2D8F">
        <w:t xml:space="preserve">. </w:t>
      </w:r>
      <w:r>
        <w:t xml:space="preserve">  </w:t>
      </w:r>
      <w:r w:rsidR="009E2D8F">
        <w:t>Mě</w:t>
      </w:r>
      <w:r>
        <w:t>Ú</w:t>
      </w:r>
      <w:r w:rsidR="009E2D8F">
        <w:t xml:space="preserve"> Český Těšín - radnice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 xml:space="preserve">MěU Česky </w:t>
      </w:r>
      <w:r w:rsidR="003B1DFD">
        <w:t>T</w:t>
      </w:r>
      <w:r>
        <w:t>ěšin - OSM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Richard Mazurek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MŠ Čáslavská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MŠ Hra</w:t>
      </w:r>
      <w:r w:rsidRPr="003B1DFD">
        <w:rPr>
          <w:lang w:eastAsia="en-US" w:bidi="en-US"/>
        </w:rPr>
        <w:t>bin</w:t>
      </w:r>
      <w:r>
        <w:t>ská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PMŠ Havlíčkova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Družstvo Mlýna 46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Bytové družstvo O 48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27"/>
        </w:tabs>
        <w:spacing w:before="0" w:line="254" w:lineRule="exact"/>
      </w:pPr>
      <w:r>
        <w:t>Družstvo Pod svahem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0"/>
        </w:tabs>
        <w:spacing w:before="0" w:line="254" w:lineRule="exact"/>
      </w:pPr>
      <w:r>
        <w:t>Bytové družstvo Slezska 7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0"/>
        </w:tabs>
        <w:spacing w:before="0" w:line="254" w:lineRule="exact"/>
      </w:pPr>
      <w:r>
        <w:t>Bytové družstvo Ostravská 70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Družstvo Hrabínská 21A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 xml:space="preserve">Družstvo </w:t>
      </w:r>
      <w:r>
        <w:t>Okružní 14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Družstvo i babina 21c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Polní 12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Pod Zvonek 24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Dynamik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Koperníkova 17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Mládežnická 1.3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Svibiee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Družstvo F</w:t>
      </w:r>
      <w:r w:rsidR="009E2D8F">
        <w:t>rýdecká 40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Slezská 14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Hornická 1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Hrabinská 23a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Tovární 14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Bytové družstvo Hrabiňák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 xml:space="preserve">Společenství pro dům </w:t>
      </w:r>
      <w:r w:rsidR="003B1DFD">
        <w:t>Š</w:t>
      </w:r>
      <w:r>
        <w:t>te</w:t>
      </w:r>
      <w:r w:rsidR="003B1DFD">
        <w:t>f</w:t>
      </w:r>
      <w:r>
        <w:t>ánikova 22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dum Okružní 26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Hrabinská 23b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Hornická 3</w:t>
      </w:r>
    </w:p>
    <w:p w:rsidR="00A054FA" w:rsidRDefault="009E2D8F">
      <w:pPr>
        <w:pStyle w:val="Bodytext1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</w:pPr>
      <w:r>
        <w:t>By</w:t>
      </w:r>
      <w:r w:rsidR="003B1DFD">
        <w:t>tové družstvo Štef</w:t>
      </w:r>
      <w:r>
        <w:t>ánikova 10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vlastníků Tovární 10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Tovární 8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dum Tovární 4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54" w:lineRule="exact"/>
      </w:pPr>
      <w:r>
        <w:t>Společenství pro dům Tovární 4a</w:t>
      </w:r>
    </w:p>
    <w:p w:rsidR="00A054FA" w:rsidRDefault="009E2D8F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9"/>
        </w:tabs>
        <w:spacing w:before="0" w:line="254" w:lineRule="exact"/>
      </w:pPr>
      <w:r>
        <w:t>Společenství pro dum nám CSA 6</w:t>
      </w:r>
    </w:p>
    <w:p w:rsidR="00A054FA" w:rsidRDefault="003B1DFD">
      <w:pPr>
        <w:pStyle w:val="Bodytext20"/>
        <w:framePr w:w="3782" w:h="12141" w:hRule="exact" w:wrap="none" w:vAnchor="page" w:hAnchor="page" w:x="1557" w:y="2303"/>
        <w:numPr>
          <w:ilvl w:val="0"/>
          <w:numId w:val="3"/>
        </w:numPr>
        <w:shd w:val="clear" w:color="auto" w:fill="auto"/>
        <w:tabs>
          <w:tab w:val="left" w:pos="459"/>
        </w:tabs>
        <w:spacing w:before="0" w:line="254" w:lineRule="exact"/>
      </w:pPr>
      <w:r>
        <w:t>Společenství pro dům Štef</w:t>
      </w:r>
      <w:r w:rsidR="009E2D8F">
        <w:t>ánikova 16</w:t>
      </w:r>
    </w:p>
    <w:p w:rsidR="00A054FA" w:rsidRDefault="003B1DFD">
      <w:pPr>
        <w:pStyle w:val="Bodytext20"/>
        <w:framePr w:w="3758" w:h="1079" w:hRule="exact" w:wrap="none" w:vAnchor="page" w:hAnchor="page" w:x="6227" w:y="2313"/>
        <w:numPr>
          <w:ilvl w:val="0"/>
          <w:numId w:val="3"/>
        </w:numPr>
        <w:shd w:val="clear" w:color="auto" w:fill="auto"/>
        <w:tabs>
          <w:tab w:val="left" w:pos="458"/>
        </w:tabs>
        <w:spacing w:before="0" w:line="254" w:lineRule="exact"/>
      </w:pPr>
      <w:r>
        <w:t>Společenství pro dům Štef</w:t>
      </w:r>
      <w:r w:rsidR="009E2D8F">
        <w:t>ánikova</w:t>
      </w:r>
      <w:r w:rsidR="009E2D8F">
        <w:t xml:space="preserve"> 18</w:t>
      </w:r>
    </w:p>
    <w:p w:rsidR="00A054FA" w:rsidRDefault="003B1DFD">
      <w:pPr>
        <w:pStyle w:val="Bodytext20"/>
        <w:framePr w:w="3758" w:h="1079" w:hRule="exact" w:wrap="none" w:vAnchor="page" w:hAnchor="page" w:x="6227" w:y="2313"/>
        <w:numPr>
          <w:ilvl w:val="0"/>
          <w:numId w:val="3"/>
        </w:numPr>
        <w:shd w:val="clear" w:color="auto" w:fill="auto"/>
        <w:tabs>
          <w:tab w:val="left" w:pos="459"/>
        </w:tabs>
        <w:spacing w:before="0" w:line="254" w:lineRule="exact"/>
      </w:pPr>
      <w:r>
        <w:t>Společenství pro dům Štefánikova20</w:t>
      </w:r>
    </w:p>
    <w:p w:rsidR="00A054FA" w:rsidRDefault="009E2D8F">
      <w:pPr>
        <w:pStyle w:val="Bodytext20"/>
        <w:framePr w:w="3758" w:h="1079" w:hRule="exact" w:wrap="none" w:vAnchor="page" w:hAnchor="page" w:x="6227" w:y="2313"/>
        <w:numPr>
          <w:ilvl w:val="0"/>
          <w:numId w:val="3"/>
        </w:numPr>
        <w:shd w:val="clear" w:color="auto" w:fill="auto"/>
        <w:tabs>
          <w:tab w:val="left" w:pos="459"/>
        </w:tabs>
        <w:spacing w:before="0" w:line="254" w:lineRule="exact"/>
      </w:pPr>
      <w:r>
        <w:t>Společenství pro dům Tovární 12</w:t>
      </w:r>
    </w:p>
    <w:p w:rsidR="00A054FA" w:rsidRDefault="009E2D8F">
      <w:pPr>
        <w:pStyle w:val="Bodytext20"/>
        <w:framePr w:w="3758" w:h="1079" w:hRule="exact" w:wrap="none" w:vAnchor="page" w:hAnchor="page" w:x="6227" w:y="2313"/>
        <w:numPr>
          <w:ilvl w:val="0"/>
          <w:numId w:val="3"/>
        </w:numPr>
        <w:shd w:val="clear" w:color="auto" w:fill="auto"/>
        <w:tabs>
          <w:tab w:val="left" w:pos="459"/>
        </w:tabs>
        <w:spacing w:before="0" w:line="254" w:lineRule="exact"/>
      </w:pPr>
      <w:r>
        <w:t>Společenství pro dům Dukelská 1</w:t>
      </w:r>
    </w:p>
    <w:p w:rsidR="00A054FA" w:rsidRDefault="00A054FA">
      <w:pPr>
        <w:rPr>
          <w:sz w:val="2"/>
          <w:szCs w:val="2"/>
        </w:rPr>
      </w:pPr>
      <w:bookmarkStart w:id="2" w:name="_GoBack"/>
      <w:bookmarkEnd w:id="2"/>
    </w:p>
    <w:sectPr w:rsidR="00A054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8F" w:rsidRDefault="009E2D8F">
      <w:r>
        <w:separator/>
      </w:r>
    </w:p>
  </w:endnote>
  <w:endnote w:type="continuationSeparator" w:id="0">
    <w:p w:rsidR="009E2D8F" w:rsidRDefault="009E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crosiaUPC">
    <w:altName w:val="Times New Roman"/>
    <w:panose1 w:val="02020603050405020304"/>
    <w:charset w:val="00"/>
    <w:family w:val="roman"/>
    <w:notTrueType/>
    <w:pitch w:val="default"/>
  </w:font>
  <w:font w:name="DotumChe">
    <w:altName w:val="MS Gothic"/>
    <w:panose1 w:val="020B0609000101010101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8F" w:rsidRDefault="009E2D8F"/>
  </w:footnote>
  <w:footnote w:type="continuationSeparator" w:id="0">
    <w:p w:rsidR="009E2D8F" w:rsidRDefault="009E2D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D33C0"/>
    <w:multiLevelType w:val="multilevel"/>
    <w:tmpl w:val="334A2B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54833"/>
    <w:multiLevelType w:val="multilevel"/>
    <w:tmpl w:val="357AE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51C90"/>
    <w:multiLevelType w:val="multilevel"/>
    <w:tmpl w:val="C94611D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54FA"/>
    <w:rsid w:val="003B1DFD"/>
    <w:rsid w:val="009E2D8F"/>
    <w:rsid w:val="00A0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A86C7-25E7-4EAF-B590-09B3B48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Standardnpsmoodstavce"/>
    <w:link w:val="Heading10"/>
    <w:rPr>
      <w:rFonts w:ascii="EucrosiaUPC" w:eastAsia="EucrosiaUPC" w:hAnsi="EucrosiaUPC" w:cs="EucrosiaUPC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EucrosiaUPC" w:eastAsia="EucrosiaUPC" w:hAnsi="EucrosiaUPC" w:cs="Eucros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5TimesNewRoman11ptBold">
    <w:name w:val="Body text (5) + Times New Roman;11 pt;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Italic">
    <w:name w:val="Picture caption + Italic"/>
    <w:basedOn w:val="Pictur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DotumChe" w:eastAsia="DotumChe" w:hAnsi="DotumChe" w:cs="DotumCh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TimesNewRoman11pt">
    <w:name w:val="Body text (8) + Times New Roman;11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Verdana" w:eastAsia="Verdana" w:hAnsi="Verdana" w:cs="Verdana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EucrosiaUPC" w:eastAsia="EucrosiaUPC" w:hAnsi="EucrosiaUPC" w:cs="EucrosiaUPC"/>
      <w:b/>
      <w:bCs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8" w:lineRule="exac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54" w:lineRule="exact"/>
    </w:pPr>
    <w:rPr>
      <w:b/>
      <w:bCs/>
      <w:i/>
      <w:iCs/>
      <w:sz w:val="32"/>
      <w:szCs w:val="3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0" w:lineRule="exact"/>
      <w:outlineLvl w:val="0"/>
    </w:pPr>
    <w:rPr>
      <w:rFonts w:ascii="EucrosiaUPC" w:eastAsia="EucrosiaUPC" w:hAnsi="EucrosiaUPC" w:cs="EucrosiaUPC"/>
      <w:b/>
      <w:bCs/>
      <w:i/>
      <w:iCs/>
      <w:sz w:val="56"/>
      <w:szCs w:val="5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60" w:line="244" w:lineRule="exact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line="244" w:lineRule="exact"/>
    </w:pPr>
    <w:rPr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780" w:after="780" w:line="244" w:lineRule="exact"/>
    </w:pPr>
    <w:rPr>
      <w:rFonts w:ascii="EucrosiaUPC" w:eastAsia="EucrosiaUPC" w:hAnsi="EucrosiaUPC" w:cs="EucrosiaUPC"/>
      <w:sz w:val="32"/>
      <w:szCs w:val="32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44" w:lineRule="exact"/>
    </w:pPr>
    <w:rPr>
      <w:rFonts w:ascii="DotumChe" w:eastAsia="DotumChe" w:hAnsi="DotumChe" w:cs="DotumChe"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660" w:line="354" w:lineRule="exact"/>
    </w:pPr>
    <w:rPr>
      <w:rFonts w:ascii="Verdana" w:eastAsia="Verdana" w:hAnsi="Verdana" w:cs="Verdana"/>
      <w:i/>
      <w:iCs/>
      <w:sz w:val="32"/>
      <w:szCs w:val="3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660" w:after="2640" w:line="380" w:lineRule="exact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640" w:line="332" w:lineRule="exact"/>
    </w:pPr>
    <w:rPr>
      <w:rFonts w:ascii="EucrosiaUPC" w:eastAsia="EucrosiaUPC" w:hAnsi="EucrosiaUPC" w:cs="EucrosiaUPC"/>
      <w:b/>
      <w:bCs/>
      <w:i/>
      <w:iCs/>
      <w:sz w:val="38"/>
      <w:szCs w:val="38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8" w:lineRule="exact"/>
      <w:outlineLvl w:val="1"/>
    </w:pPr>
    <w:rPr>
      <w:sz w:val="26"/>
      <w:szCs w:val="2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254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2017-11-10T09:42:00Z</dcterms:created>
  <dcterms:modified xsi:type="dcterms:W3CDTF">2017-11-10T09:50:00Z</dcterms:modified>
</cp:coreProperties>
</file>