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9E" w:rsidRDefault="00AC069E" w:rsidP="00AC069E">
      <w:pPr>
        <w:contextualSpacing/>
      </w:pPr>
    </w:p>
    <w:p w:rsidR="00AC3790" w:rsidRPr="00AC069E" w:rsidRDefault="00AC3790" w:rsidP="00AC069E">
      <w:pPr>
        <w:contextualSpacing/>
      </w:pPr>
    </w:p>
    <w:p w:rsidR="00AC069E" w:rsidRPr="00AC069E" w:rsidRDefault="00AC069E" w:rsidP="00AC069E">
      <w:pPr>
        <w:pStyle w:val="Normlnweb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</w:rPr>
      </w:pPr>
      <w:r w:rsidRPr="00AC069E">
        <w:rPr>
          <w:rFonts w:asciiTheme="minorHAnsi" w:hAnsiTheme="minorHAnsi"/>
          <w:b/>
          <w:sz w:val="22"/>
          <w:szCs w:val="22"/>
        </w:rPr>
        <w:t>Nadace Český hudební fond</w:t>
      </w:r>
      <w:r w:rsidRPr="00AC069E">
        <w:rPr>
          <w:rFonts w:asciiTheme="minorHAnsi" w:hAnsiTheme="minorHAnsi"/>
          <w:sz w:val="22"/>
          <w:szCs w:val="22"/>
        </w:rPr>
        <w:t>, zapsaná v nadačním rejstříku vedeném Městským soudem v Praze v oddílu N, číslo vložky 2</w:t>
      </w:r>
    </w:p>
    <w:p w:rsidR="00AC069E" w:rsidRPr="00AC069E" w:rsidRDefault="00AC069E" w:rsidP="00AC069E">
      <w:pPr>
        <w:pStyle w:val="Normlnweb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</w:rPr>
      </w:pPr>
      <w:r w:rsidRPr="00AC069E">
        <w:rPr>
          <w:rFonts w:asciiTheme="minorHAnsi" w:hAnsiTheme="minorHAnsi"/>
          <w:sz w:val="22"/>
          <w:szCs w:val="22"/>
        </w:rPr>
        <w:t>se sídlem: Besední 3, 118 00 Praha 1</w:t>
      </w:r>
    </w:p>
    <w:p w:rsidR="00AC069E" w:rsidRPr="00AC069E" w:rsidRDefault="00AC069E" w:rsidP="00AC069E">
      <w:pPr>
        <w:pStyle w:val="Normlnweb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</w:rPr>
      </w:pPr>
      <w:r w:rsidRPr="00AC069E">
        <w:rPr>
          <w:rFonts w:asciiTheme="minorHAnsi" w:hAnsiTheme="minorHAnsi"/>
          <w:sz w:val="22"/>
          <w:szCs w:val="22"/>
        </w:rPr>
        <w:t>IČO: 61381390</w:t>
      </w:r>
    </w:p>
    <w:p w:rsidR="00AC069E" w:rsidRPr="00AC069E" w:rsidRDefault="00AC069E" w:rsidP="00AC069E">
      <w:pPr>
        <w:pStyle w:val="Normlnweb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</w:rPr>
      </w:pPr>
      <w:r w:rsidRPr="00AC069E">
        <w:rPr>
          <w:rFonts w:asciiTheme="minorHAnsi" w:hAnsiTheme="minorHAnsi"/>
          <w:sz w:val="22"/>
          <w:szCs w:val="22"/>
        </w:rPr>
        <w:t>zastoupen</w:t>
      </w:r>
      <w:r w:rsidR="003145EA">
        <w:rPr>
          <w:rFonts w:asciiTheme="minorHAnsi" w:hAnsiTheme="minorHAnsi"/>
          <w:sz w:val="22"/>
          <w:szCs w:val="22"/>
        </w:rPr>
        <w:t xml:space="preserve">á Ing. Zdeněk </w:t>
      </w:r>
      <w:proofErr w:type="spellStart"/>
      <w:r w:rsidR="003145EA">
        <w:rPr>
          <w:rFonts w:asciiTheme="minorHAnsi" w:hAnsiTheme="minorHAnsi"/>
          <w:sz w:val="22"/>
          <w:szCs w:val="22"/>
        </w:rPr>
        <w:t>Justoň</w:t>
      </w:r>
      <w:proofErr w:type="spellEnd"/>
      <w:r w:rsidR="003145EA">
        <w:rPr>
          <w:rFonts w:asciiTheme="minorHAnsi" w:hAnsiTheme="minorHAnsi"/>
          <w:sz w:val="22"/>
          <w:szCs w:val="22"/>
        </w:rPr>
        <w:t>, předseda správní rady a Pavel Fiedler, člen správní rady</w:t>
      </w:r>
    </w:p>
    <w:p w:rsidR="00AC069E" w:rsidRPr="00AC069E" w:rsidRDefault="00AC069E" w:rsidP="00AC069E">
      <w:pPr>
        <w:pStyle w:val="Normlnweb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</w:rPr>
      </w:pPr>
      <w:r w:rsidRPr="00AC069E">
        <w:rPr>
          <w:rFonts w:asciiTheme="minorHAnsi" w:hAnsiTheme="minorHAnsi"/>
          <w:sz w:val="22"/>
          <w:szCs w:val="22"/>
        </w:rPr>
        <w:t>(dále jen „prodávající“)</w:t>
      </w:r>
    </w:p>
    <w:p w:rsidR="00203037" w:rsidRPr="00AC069E" w:rsidRDefault="00203037" w:rsidP="00AC069E">
      <w:pPr>
        <w:contextualSpacing/>
      </w:pPr>
    </w:p>
    <w:p w:rsidR="00AC069E" w:rsidRPr="00AC069E" w:rsidRDefault="00AC069E" w:rsidP="00AC069E">
      <w:pPr>
        <w:contextualSpacing/>
      </w:pPr>
      <w:r w:rsidRPr="00AC069E">
        <w:t>a</w:t>
      </w:r>
    </w:p>
    <w:p w:rsidR="00AC069E" w:rsidRPr="00AC069E" w:rsidRDefault="00AC069E" w:rsidP="00AC069E">
      <w:pPr>
        <w:contextualSpacing/>
      </w:pPr>
    </w:p>
    <w:p w:rsidR="00AC069E" w:rsidRPr="00AC069E" w:rsidRDefault="00AC069E" w:rsidP="00AC069E">
      <w:pPr>
        <w:contextualSpacing/>
        <w:rPr>
          <w:rFonts w:cs="Tahoma"/>
          <w:b/>
        </w:rPr>
      </w:pPr>
      <w:r w:rsidRPr="00AC069E">
        <w:rPr>
          <w:rFonts w:cs="Tahoma"/>
          <w:b/>
        </w:rPr>
        <w:t>Národní muzeum</w:t>
      </w:r>
    </w:p>
    <w:p w:rsidR="00AC069E" w:rsidRPr="00AC069E" w:rsidRDefault="00AC069E" w:rsidP="00AC069E">
      <w:pPr>
        <w:contextualSpacing/>
        <w:rPr>
          <w:rFonts w:cs="Tahoma"/>
        </w:rPr>
      </w:pPr>
      <w:r w:rsidRPr="00AC069E">
        <w:rPr>
          <w:rFonts w:cs="Tahoma"/>
        </w:rPr>
        <w:t xml:space="preserve">příspěvková organizace nepodléhající zápisu do obchodního rejstříku, zřízená Ministerstvem kultury ČR, zřizovací listina č. </w:t>
      </w:r>
      <w:proofErr w:type="spellStart"/>
      <w:r w:rsidRPr="00AC069E">
        <w:rPr>
          <w:rFonts w:cs="Tahoma"/>
        </w:rPr>
        <w:t>j</w:t>
      </w:r>
      <w:proofErr w:type="spellEnd"/>
      <w:r w:rsidRPr="00AC069E">
        <w:rPr>
          <w:rFonts w:cs="Tahoma"/>
        </w:rPr>
        <w:t>. 17461/2000 ve znění pozdějších změn a doplňků</w:t>
      </w:r>
    </w:p>
    <w:p w:rsidR="00AC069E" w:rsidRPr="00AC069E" w:rsidRDefault="00AC069E" w:rsidP="00AC069E">
      <w:pPr>
        <w:contextualSpacing/>
        <w:rPr>
          <w:rFonts w:cs="Tahoma"/>
        </w:rPr>
      </w:pPr>
      <w:r w:rsidRPr="00AC069E">
        <w:rPr>
          <w:rFonts w:cs="Tahoma"/>
        </w:rPr>
        <w:t>se sídlem Václavské náměstí 68, 115 79 Praha 1</w:t>
      </w:r>
    </w:p>
    <w:p w:rsidR="00AC069E" w:rsidRPr="00AC069E" w:rsidRDefault="00AC069E" w:rsidP="00AC069E">
      <w:pPr>
        <w:contextualSpacing/>
        <w:rPr>
          <w:rFonts w:cs="Tahoma"/>
        </w:rPr>
      </w:pPr>
      <w:r w:rsidRPr="00AC069E">
        <w:rPr>
          <w:rFonts w:cs="Tahoma"/>
        </w:rPr>
        <w:t xml:space="preserve">zastoupené: PhDr. Michal Lukeš, </w:t>
      </w:r>
      <w:proofErr w:type="spellStart"/>
      <w:r w:rsidRPr="00AC069E">
        <w:rPr>
          <w:rFonts w:cs="Tahoma"/>
        </w:rPr>
        <w:t>Ph.D</w:t>
      </w:r>
      <w:proofErr w:type="spellEnd"/>
      <w:r w:rsidRPr="00AC069E">
        <w:rPr>
          <w:rFonts w:cs="Tahoma"/>
        </w:rPr>
        <w:t>., generální ředitel</w:t>
      </w:r>
    </w:p>
    <w:p w:rsidR="00AC069E" w:rsidRPr="00AC069E" w:rsidRDefault="00AC069E" w:rsidP="00AC069E">
      <w:pPr>
        <w:contextualSpacing/>
        <w:rPr>
          <w:rFonts w:cs="Tahoma"/>
        </w:rPr>
      </w:pPr>
      <w:r w:rsidRPr="00AC069E">
        <w:rPr>
          <w:rFonts w:cs="Tahoma"/>
        </w:rPr>
        <w:t>IČ: 00023272 DIČ: CZ00023272</w:t>
      </w:r>
    </w:p>
    <w:p w:rsidR="00AC069E" w:rsidRPr="00AC069E" w:rsidRDefault="003145EA" w:rsidP="00AC069E">
      <w:pPr>
        <w:contextualSpacing/>
        <w:rPr>
          <w:rFonts w:cs="Tahoma"/>
        </w:rPr>
      </w:pPr>
      <w:r w:rsidRPr="00AC069E">
        <w:rPr>
          <w:rFonts w:cs="Tahoma"/>
        </w:rPr>
        <w:t xml:space="preserve"> </w:t>
      </w:r>
      <w:r w:rsidR="00AC069E" w:rsidRPr="00AC069E">
        <w:rPr>
          <w:rFonts w:cs="Tahoma"/>
        </w:rPr>
        <w:t>(dále jen „kupující“)</w:t>
      </w:r>
    </w:p>
    <w:p w:rsidR="00AC069E" w:rsidRPr="00AC069E" w:rsidRDefault="00AC069E" w:rsidP="00AC069E">
      <w:pPr>
        <w:contextualSpacing/>
        <w:rPr>
          <w:rFonts w:cs="Tahoma"/>
        </w:rPr>
      </w:pPr>
    </w:p>
    <w:p w:rsidR="00AC069E" w:rsidRDefault="00AC069E" w:rsidP="00AC069E">
      <w:pPr>
        <w:contextualSpacing/>
        <w:rPr>
          <w:rFonts w:cs="Tahoma"/>
        </w:rPr>
      </w:pPr>
      <w:r w:rsidRPr="00AC069E">
        <w:rPr>
          <w:rFonts w:cs="Tahoma"/>
        </w:rPr>
        <w:t>uzavírají podle zákona č. 89/2012 Sb., občanský zákon</w:t>
      </w:r>
      <w:r w:rsidR="00156E24">
        <w:rPr>
          <w:rFonts w:cs="Tahoma"/>
        </w:rPr>
        <w:t>í</w:t>
      </w:r>
      <w:r w:rsidRPr="00AC069E">
        <w:rPr>
          <w:rFonts w:cs="Tahoma"/>
        </w:rPr>
        <w:t>k, v platném znění (dále je „občanský zákoník</w:t>
      </w:r>
      <w:r w:rsidR="00156E24">
        <w:rPr>
          <w:rFonts w:cs="Tahoma"/>
        </w:rPr>
        <w:t>“</w:t>
      </w:r>
      <w:r w:rsidRPr="00AC069E">
        <w:rPr>
          <w:rFonts w:cs="Tahoma"/>
        </w:rPr>
        <w:t>) tut</w:t>
      </w:r>
      <w:r>
        <w:rPr>
          <w:rFonts w:cs="Tahoma"/>
        </w:rPr>
        <w:t>o</w:t>
      </w:r>
    </w:p>
    <w:p w:rsidR="00AC069E" w:rsidRDefault="00AC069E" w:rsidP="00AC069E">
      <w:pPr>
        <w:contextualSpacing/>
        <w:rPr>
          <w:rFonts w:cs="Tahoma"/>
        </w:rPr>
      </w:pPr>
    </w:p>
    <w:p w:rsidR="00AC3790" w:rsidRDefault="00AC3790" w:rsidP="00AC069E">
      <w:pPr>
        <w:contextualSpacing/>
        <w:rPr>
          <w:rFonts w:cs="Tahoma"/>
        </w:rPr>
      </w:pPr>
    </w:p>
    <w:p w:rsidR="00AC3790" w:rsidRDefault="00AC3790" w:rsidP="00AC069E">
      <w:pPr>
        <w:contextualSpacing/>
        <w:rPr>
          <w:rFonts w:cs="Tahoma"/>
        </w:rPr>
      </w:pPr>
    </w:p>
    <w:p w:rsidR="00AC069E" w:rsidRDefault="00AC069E" w:rsidP="00AC069E">
      <w:pPr>
        <w:contextualSpacing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KUPNÍ SMLOUVU Č. </w:t>
      </w:r>
      <w:r w:rsidR="00CC0AAF">
        <w:rPr>
          <w:rFonts w:cs="Tahoma"/>
          <w:b/>
          <w:sz w:val="32"/>
          <w:szCs w:val="32"/>
        </w:rPr>
        <w:t>171241</w:t>
      </w:r>
    </w:p>
    <w:p w:rsidR="0052107C" w:rsidRDefault="0052107C" w:rsidP="00AC069E">
      <w:pPr>
        <w:contextualSpacing/>
        <w:jc w:val="center"/>
        <w:rPr>
          <w:rFonts w:cs="Tahoma"/>
        </w:rPr>
      </w:pPr>
    </w:p>
    <w:p w:rsidR="00AC069E" w:rsidRDefault="00AC069E" w:rsidP="00AC069E">
      <w:pPr>
        <w:contextualSpacing/>
        <w:jc w:val="center"/>
        <w:rPr>
          <w:rFonts w:cs="Tahoma"/>
        </w:rPr>
      </w:pPr>
      <w:r>
        <w:rPr>
          <w:rFonts w:cs="Tahoma"/>
        </w:rPr>
        <w:t>I.</w:t>
      </w:r>
    </w:p>
    <w:p w:rsidR="00AC069E" w:rsidRDefault="00AC069E" w:rsidP="00AC3790">
      <w:pPr>
        <w:spacing w:line="288" w:lineRule="auto"/>
        <w:contextualSpacing/>
        <w:rPr>
          <w:rFonts w:cs="Tahoma"/>
        </w:rPr>
      </w:pPr>
      <w:r>
        <w:rPr>
          <w:rFonts w:cs="Tahoma"/>
        </w:rPr>
        <w:t>Prodávající prohlašuje, že je výlučným vlastníkem věci:</w:t>
      </w:r>
    </w:p>
    <w:p w:rsidR="0005557C" w:rsidRDefault="0005557C" w:rsidP="00AC3790">
      <w:pPr>
        <w:spacing w:line="288" w:lineRule="auto"/>
        <w:contextualSpacing/>
        <w:rPr>
          <w:rFonts w:cs="Tahoma"/>
        </w:rPr>
      </w:pPr>
    </w:p>
    <w:p w:rsidR="0005557C" w:rsidRPr="0005557C" w:rsidRDefault="0005557C" w:rsidP="00AC3790">
      <w:pPr>
        <w:autoSpaceDE w:val="0"/>
        <w:autoSpaceDN w:val="0"/>
        <w:adjustRightInd w:val="0"/>
        <w:spacing w:after="0" w:line="288" w:lineRule="auto"/>
        <w:rPr>
          <w:rFonts w:cs="Times-Bold"/>
          <w:b/>
          <w:bCs/>
        </w:rPr>
      </w:pPr>
      <w:r w:rsidRPr="0005557C">
        <w:rPr>
          <w:rFonts w:cs="Times-Bold"/>
          <w:b/>
          <w:bCs/>
        </w:rPr>
        <w:t xml:space="preserve">Hudební nástroj // </w:t>
      </w:r>
      <w:proofErr w:type="spellStart"/>
      <w:r w:rsidRPr="0005557C">
        <w:rPr>
          <w:rFonts w:cs="Times-Bold"/>
          <w:b/>
          <w:bCs/>
        </w:rPr>
        <w:t>Aloysius</w:t>
      </w:r>
      <w:proofErr w:type="spellEnd"/>
      <w:r w:rsidRPr="0005557C">
        <w:rPr>
          <w:rFonts w:cs="Times-Bold"/>
          <w:b/>
          <w:bCs/>
        </w:rPr>
        <w:t xml:space="preserve"> </w:t>
      </w:r>
      <w:proofErr w:type="spellStart"/>
      <w:r w:rsidRPr="0005557C">
        <w:rPr>
          <w:rFonts w:cs="Times-Bold"/>
          <w:b/>
          <w:bCs/>
        </w:rPr>
        <w:t>Marconcini</w:t>
      </w:r>
      <w:proofErr w:type="spellEnd"/>
      <w:r w:rsidRPr="0005557C">
        <w:rPr>
          <w:rFonts w:cs="Times-Bold"/>
          <w:b/>
          <w:bCs/>
        </w:rPr>
        <w:t>, „Violoncello</w:t>
      </w:r>
      <w:r>
        <w:rPr>
          <w:rFonts w:cs="Times-Bold"/>
          <w:b/>
          <w:bCs/>
        </w:rPr>
        <w:t xml:space="preserve"> </w:t>
      </w:r>
      <w:r w:rsidRPr="0005557C">
        <w:rPr>
          <w:rFonts w:cs="Times-Bold"/>
          <w:b/>
          <w:bCs/>
        </w:rPr>
        <w:t xml:space="preserve">A. </w:t>
      </w:r>
      <w:proofErr w:type="spellStart"/>
      <w:r w:rsidRPr="0005557C">
        <w:rPr>
          <w:rFonts w:cs="Times-Bold"/>
          <w:b/>
          <w:bCs/>
        </w:rPr>
        <w:t>Marconcini</w:t>
      </w:r>
      <w:proofErr w:type="spellEnd"/>
      <w:r w:rsidRPr="0005557C">
        <w:rPr>
          <w:rFonts w:cs="Times-Bold"/>
          <w:b/>
          <w:bCs/>
        </w:rPr>
        <w:t>, 1787“, r. 1787, Švýcarsko, dva díly smrkového d</w:t>
      </w:r>
      <w:r w:rsidRPr="0005557C">
        <w:rPr>
          <w:rFonts w:cs="TimesNewRoman,Bold-OneByteIdent"/>
          <w:b/>
          <w:bCs/>
        </w:rPr>
        <w:t>ř</w:t>
      </w:r>
      <w:r w:rsidRPr="0005557C">
        <w:rPr>
          <w:rFonts w:cs="Times-Bold"/>
          <w:b/>
          <w:bCs/>
        </w:rPr>
        <w:t>eva, dva díly</w:t>
      </w:r>
      <w:r>
        <w:rPr>
          <w:rFonts w:cs="Times-Bold"/>
          <w:b/>
          <w:bCs/>
        </w:rPr>
        <w:t xml:space="preserve"> </w:t>
      </w:r>
      <w:r w:rsidRPr="0005557C">
        <w:rPr>
          <w:rFonts w:cs="Times-Bold"/>
          <w:b/>
          <w:bCs/>
        </w:rPr>
        <w:t>javorového d</w:t>
      </w:r>
      <w:r w:rsidRPr="0005557C">
        <w:rPr>
          <w:rFonts w:cs="TimesNewRoman,Bold-OneByteIdent"/>
          <w:b/>
          <w:bCs/>
        </w:rPr>
        <w:t>ř</w:t>
      </w:r>
      <w:r w:rsidRPr="0005557C">
        <w:rPr>
          <w:rFonts w:cs="Times-Bold"/>
          <w:b/>
          <w:bCs/>
        </w:rPr>
        <w:t>eva, ebenové d</w:t>
      </w:r>
      <w:r w:rsidRPr="0005557C">
        <w:rPr>
          <w:rFonts w:cs="TimesNewRoman,Bold-OneByteIdent"/>
          <w:b/>
          <w:bCs/>
        </w:rPr>
        <w:t>ř</w:t>
      </w:r>
      <w:r w:rsidRPr="0005557C">
        <w:rPr>
          <w:rFonts w:cs="Times-Bold"/>
          <w:b/>
          <w:bCs/>
        </w:rPr>
        <w:t>evo, celková délka: 1223 mm; délka zadní desky 762 mm,</w:t>
      </w:r>
      <w:r>
        <w:rPr>
          <w:rFonts w:cs="Times-Bold"/>
          <w:b/>
          <w:bCs/>
        </w:rPr>
        <w:t xml:space="preserve"> </w:t>
      </w:r>
      <w:r w:rsidRPr="0005557C">
        <w:rPr>
          <w:rFonts w:cs="Times-Bold"/>
          <w:b/>
          <w:bCs/>
        </w:rPr>
        <w:t>horní ší</w:t>
      </w:r>
      <w:r w:rsidRPr="0005557C">
        <w:rPr>
          <w:rFonts w:cs="TimesNewRoman,Bold-OneByteIdent"/>
          <w:b/>
          <w:bCs/>
        </w:rPr>
        <w:t>ř</w:t>
      </w:r>
      <w:r w:rsidRPr="0005557C">
        <w:rPr>
          <w:rFonts w:cs="Times-Bold"/>
          <w:b/>
          <w:bCs/>
        </w:rPr>
        <w:t>ka 350 mm, st</w:t>
      </w:r>
      <w:r w:rsidRPr="0005557C">
        <w:rPr>
          <w:rFonts w:cs="TimesNewRoman,Bold-OneByteIdent"/>
          <w:b/>
          <w:bCs/>
        </w:rPr>
        <w:t>ř</w:t>
      </w:r>
      <w:r w:rsidRPr="0005557C">
        <w:rPr>
          <w:rFonts w:cs="Times-Bold"/>
          <w:b/>
          <w:bCs/>
        </w:rPr>
        <w:t>ední ší</w:t>
      </w:r>
      <w:r w:rsidRPr="0005557C">
        <w:rPr>
          <w:rFonts w:cs="TimesNewRoman,Bold-OneByteIdent"/>
          <w:b/>
          <w:bCs/>
        </w:rPr>
        <w:t>ř</w:t>
      </w:r>
      <w:r w:rsidRPr="0005557C">
        <w:rPr>
          <w:rFonts w:cs="Times-Bold"/>
          <w:b/>
          <w:bCs/>
        </w:rPr>
        <w:t>ka 225 mm, dolní ší</w:t>
      </w:r>
      <w:r w:rsidRPr="0005557C">
        <w:rPr>
          <w:rFonts w:cs="TimesNewRoman,Bold-OneByteIdent"/>
          <w:b/>
          <w:bCs/>
        </w:rPr>
        <w:t>ř</w:t>
      </w:r>
      <w:r w:rsidRPr="0005557C">
        <w:rPr>
          <w:rFonts w:cs="Times-Bold"/>
          <w:b/>
          <w:bCs/>
        </w:rPr>
        <w:t>ka 433 mm, menzura korpusu 400</w:t>
      </w:r>
      <w:r>
        <w:rPr>
          <w:rFonts w:cs="Times-Bold"/>
          <w:b/>
          <w:bCs/>
        </w:rPr>
        <w:t xml:space="preserve"> </w:t>
      </w:r>
      <w:r w:rsidRPr="0005557C">
        <w:rPr>
          <w:rFonts w:cs="Times-Bold"/>
          <w:b/>
          <w:bCs/>
        </w:rPr>
        <w:t>mm, menzura strun 683 mm, stav: dobrý, nástroj v minulosti poškozen a opraven</w:t>
      </w:r>
    </w:p>
    <w:p w:rsidR="00AC069E" w:rsidRDefault="0005557C" w:rsidP="00AC3790">
      <w:pPr>
        <w:autoSpaceDE w:val="0"/>
        <w:autoSpaceDN w:val="0"/>
        <w:adjustRightInd w:val="0"/>
        <w:spacing w:after="0" w:line="288" w:lineRule="auto"/>
        <w:rPr>
          <w:rFonts w:cs="Times-BoldItalic"/>
          <w:b/>
          <w:bCs/>
          <w:i/>
          <w:iCs/>
        </w:rPr>
      </w:pPr>
      <w:r w:rsidRPr="0005557C">
        <w:rPr>
          <w:rFonts w:cs="Times-Bold"/>
          <w:b/>
          <w:bCs/>
        </w:rPr>
        <w:t>V. Pila</w:t>
      </w:r>
      <w:r w:rsidRPr="0005557C">
        <w:rPr>
          <w:rFonts w:cs="TimesNewRoman,Bold-OneByteIdent"/>
          <w:b/>
          <w:bCs/>
        </w:rPr>
        <w:t>ř</w:t>
      </w:r>
      <w:r w:rsidRPr="0005557C">
        <w:rPr>
          <w:rFonts w:cs="Times-Bold"/>
          <w:b/>
          <w:bCs/>
        </w:rPr>
        <w:t xml:space="preserve">em (1994 a 1995), schopen hry, další znaky: etiketa </w:t>
      </w:r>
      <w:proofErr w:type="spellStart"/>
      <w:r w:rsidRPr="0005557C">
        <w:rPr>
          <w:rFonts w:cs="Times-BoldItalic"/>
          <w:b/>
          <w:bCs/>
          <w:i/>
          <w:iCs/>
        </w:rPr>
        <w:t>Aloysius</w:t>
      </w:r>
      <w:proofErr w:type="spellEnd"/>
      <w:r w:rsidRPr="0005557C">
        <w:rPr>
          <w:rFonts w:cs="Times-BoldItalic"/>
          <w:b/>
          <w:bCs/>
          <w:i/>
          <w:iCs/>
        </w:rPr>
        <w:t xml:space="preserve"> </w:t>
      </w:r>
      <w:proofErr w:type="spellStart"/>
      <w:r w:rsidRPr="0005557C">
        <w:rPr>
          <w:rFonts w:cs="Times-BoldItalic"/>
          <w:b/>
          <w:bCs/>
          <w:i/>
          <w:iCs/>
        </w:rPr>
        <w:t>Marconcini</w:t>
      </w:r>
      <w:proofErr w:type="spellEnd"/>
      <w:r>
        <w:rPr>
          <w:rFonts w:cs="Times-BoldItalic"/>
          <w:b/>
          <w:bCs/>
          <w:i/>
          <w:iCs/>
        </w:rPr>
        <w:t xml:space="preserve"> </w:t>
      </w:r>
      <w:r w:rsidRPr="0005557C">
        <w:rPr>
          <w:rFonts w:cs="Times-BoldItalic"/>
          <w:b/>
          <w:bCs/>
          <w:i/>
          <w:iCs/>
        </w:rPr>
        <w:t xml:space="preserve">/ </w:t>
      </w:r>
      <w:proofErr w:type="spellStart"/>
      <w:r w:rsidRPr="0005557C">
        <w:rPr>
          <w:rFonts w:cs="Times-BoldItalic"/>
          <w:b/>
          <w:bCs/>
          <w:i/>
          <w:iCs/>
        </w:rPr>
        <w:t>Ferrarinensi</w:t>
      </w:r>
      <w:proofErr w:type="spellEnd"/>
      <w:r w:rsidRPr="0005557C">
        <w:rPr>
          <w:rFonts w:cs="Times-BoldItalic"/>
          <w:b/>
          <w:bCs/>
          <w:i/>
          <w:iCs/>
        </w:rPr>
        <w:t xml:space="preserve"> </w:t>
      </w:r>
      <w:proofErr w:type="spellStart"/>
      <w:r w:rsidRPr="0005557C">
        <w:rPr>
          <w:rFonts w:cs="Times-BoldItalic"/>
          <w:b/>
          <w:bCs/>
          <w:i/>
          <w:iCs/>
        </w:rPr>
        <w:t>Fecit</w:t>
      </w:r>
      <w:proofErr w:type="spellEnd"/>
      <w:r w:rsidRPr="0005557C">
        <w:rPr>
          <w:rFonts w:cs="Times-BoldItalic"/>
          <w:b/>
          <w:bCs/>
          <w:i/>
          <w:iCs/>
        </w:rPr>
        <w:t xml:space="preserve"> </w:t>
      </w:r>
      <w:proofErr w:type="spellStart"/>
      <w:r w:rsidRPr="0005557C">
        <w:rPr>
          <w:rFonts w:cs="Times-BoldItalic"/>
          <w:b/>
          <w:bCs/>
          <w:i/>
          <w:iCs/>
        </w:rPr>
        <w:t>Ferraria</w:t>
      </w:r>
      <w:proofErr w:type="spellEnd"/>
      <w:r w:rsidRPr="0005557C">
        <w:rPr>
          <w:rFonts w:cs="Times-BoldItalic"/>
          <w:b/>
          <w:bCs/>
          <w:i/>
          <w:iCs/>
        </w:rPr>
        <w:t xml:space="preserve"> / Anno 1787</w:t>
      </w:r>
      <w:r>
        <w:rPr>
          <w:rFonts w:cs="Times-BoldItalic"/>
          <w:b/>
          <w:bCs/>
          <w:i/>
          <w:iCs/>
        </w:rPr>
        <w:t>.</w:t>
      </w:r>
    </w:p>
    <w:p w:rsidR="0005557C" w:rsidRPr="0005557C" w:rsidRDefault="0005557C" w:rsidP="00AC3790">
      <w:pPr>
        <w:autoSpaceDE w:val="0"/>
        <w:autoSpaceDN w:val="0"/>
        <w:adjustRightInd w:val="0"/>
        <w:spacing w:after="0" w:line="288" w:lineRule="auto"/>
        <w:rPr>
          <w:rFonts w:cs="Tahoma"/>
        </w:rPr>
      </w:pPr>
    </w:p>
    <w:p w:rsidR="00AC069E" w:rsidRDefault="0005557C" w:rsidP="00AC3790">
      <w:pPr>
        <w:spacing w:line="288" w:lineRule="auto"/>
        <w:contextualSpacing/>
      </w:pPr>
      <w:r>
        <w:t>Violoncello je kulturní památkou (dále jen „kulturní památka“) evidovanou v Ústředním seznamu kulturní památek č. rejstříku</w:t>
      </w:r>
      <w:r w:rsidR="00952FAE">
        <w:t xml:space="preserve"> </w:t>
      </w:r>
      <w:r w:rsidR="00612FD1">
        <w:t>106072</w:t>
      </w:r>
      <w:r w:rsidR="00952FAE">
        <w:t xml:space="preserve">, kdy Česká republika – Ministerstvo kultury svým opatřením ze dne 24. 5. 2017 č. </w:t>
      </w:r>
      <w:proofErr w:type="spellStart"/>
      <w:r w:rsidR="00952FAE">
        <w:t>j</w:t>
      </w:r>
      <w:proofErr w:type="spellEnd"/>
      <w:r w:rsidR="00952FAE">
        <w:t xml:space="preserve">. MK 35208/2017 OMG-3842, uplatnila na základě nabídky prodávajícího právo státu na přednostní koupi movitých kulturních památek podle § 13 zákona č. 20/1987 s., o státní památkové péči, ve znaní pozdějších předpisů. </w:t>
      </w:r>
    </w:p>
    <w:p w:rsidR="00AC3790" w:rsidRDefault="00AC3790" w:rsidP="00AC3790">
      <w:pPr>
        <w:spacing w:line="288" w:lineRule="auto"/>
        <w:contextualSpacing/>
      </w:pPr>
    </w:p>
    <w:p w:rsidR="00AC3790" w:rsidRDefault="00AC3790" w:rsidP="00AC3790">
      <w:pPr>
        <w:spacing w:line="288" w:lineRule="auto"/>
        <w:contextualSpacing/>
      </w:pPr>
    </w:p>
    <w:p w:rsidR="00952FAE" w:rsidRDefault="00952FAE" w:rsidP="00AC3790">
      <w:pPr>
        <w:spacing w:line="288" w:lineRule="auto"/>
        <w:contextualSpacing/>
      </w:pPr>
    </w:p>
    <w:p w:rsidR="00952FAE" w:rsidRDefault="00952FAE" w:rsidP="00AC3790">
      <w:pPr>
        <w:spacing w:line="288" w:lineRule="auto"/>
        <w:contextualSpacing/>
        <w:jc w:val="center"/>
      </w:pPr>
      <w:r>
        <w:lastRenderedPageBreak/>
        <w:t>II.</w:t>
      </w:r>
    </w:p>
    <w:p w:rsidR="0052107C" w:rsidRDefault="0052107C" w:rsidP="00AC3790">
      <w:pPr>
        <w:spacing w:line="288" w:lineRule="auto"/>
        <w:contextualSpacing/>
        <w:jc w:val="center"/>
      </w:pPr>
    </w:p>
    <w:p w:rsidR="00952FAE" w:rsidRDefault="00952FAE" w:rsidP="00AC3790">
      <w:pPr>
        <w:spacing w:line="288" w:lineRule="auto"/>
        <w:contextualSpacing/>
      </w:pPr>
      <w:r>
        <w:t xml:space="preserve">Obě smluvní strany stvrzují, že kupující od prodávajícího přijímá kulturní památku do vlastnictví České republiky s příslušností hospodařit pro Národní muzeum, se sídlem Václavské náměstí 68, 115 79 Praha 1. Předmětná památka je určena do </w:t>
      </w:r>
      <w:proofErr w:type="spellStart"/>
      <w:r>
        <w:t>podsbírky</w:t>
      </w:r>
      <w:proofErr w:type="spellEnd"/>
      <w:r>
        <w:t xml:space="preserve"> </w:t>
      </w:r>
      <w:proofErr w:type="gramStart"/>
      <w:r>
        <w:t>24-další</w:t>
      </w:r>
      <w:proofErr w:type="gramEnd"/>
      <w:r>
        <w:t xml:space="preserve"> – sbírka hudebních nástrojů Českého muzea hudby. </w:t>
      </w:r>
    </w:p>
    <w:p w:rsidR="00952FAE" w:rsidRDefault="00952FAE" w:rsidP="00AC3790">
      <w:pPr>
        <w:spacing w:line="288" w:lineRule="auto"/>
        <w:contextualSpacing/>
      </w:pPr>
    </w:p>
    <w:p w:rsidR="00952FAE" w:rsidRDefault="00952FAE" w:rsidP="00AC3790">
      <w:pPr>
        <w:spacing w:line="288" w:lineRule="auto"/>
        <w:contextualSpacing/>
        <w:jc w:val="center"/>
      </w:pPr>
      <w:r>
        <w:t>III.</w:t>
      </w:r>
    </w:p>
    <w:p w:rsidR="0052107C" w:rsidRDefault="0052107C" w:rsidP="00AC3790">
      <w:pPr>
        <w:spacing w:line="288" w:lineRule="auto"/>
        <w:contextualSpacing/>
        <w:jc w:val="center"/>
      </w:pPr>
    </w:p>
    <w:p w:rsidR="00952FAE" w:rsidRDefault="00952FAE" w:rsidP="00AC3790">
      <w:pPr>
        <w:spacing w:line="288" w:lineRule="auto"/>
        <w:contextualSpacing/>
      </w:pPr>
      <w:r>
        <w:t>Obě smluvní strany se dohodly na kupní ceně kulturní památky, dle znaleckého posudku č. ČMH 2/2017</w:t>
      </w:r>
      <w:r w:rsidR="00612FD1">
        <w:t xml:space="preserve"> ze dne 15. 8. 2017v celkové výši 2 000 000,- Kč.</w:t>
      </w:r>
    </w:p>
    <w:p w:rsidR="008E566E" w:rsidRDefault="008E566E" w:rsidP="00AC3790">
      <w:pPr>
        <w:spacing w:line="288" w:lineRule="auto"/>
        <w:contextualSpacing/>
      </w:pPr>
      <w:r>
        <w:t>Platba bude provedena formou bankovn</w:t>
      </w:r>
      <w:r w:rsidR="003145EA">
        <w:t>ího převodu na účet prodávajícího</w:t>
      </w:r>
      <w:r>
        <w:t xml:space="preserve"> č.</w:t>
      </w:r>
      <w:r w:rsidR="003145EA" w:rsidRPr="003145EA">
        <w:t xml:space="preserve"> </w:t>
      </w:r>
      <w:r w:rsidR="003145EA">
        <w:t>2500198980/2010</w:t>
      </w:r>
      <w:r>
        <w:t xml:space="preserve">, vedený u </w:t>
      </w:r>
      <w:proofErr w:type="spellStart"/>
      <w:r w:rsidR="003145EA">
        <w:t>Fio</w:t>
      </w:r>
      <w:proofErr w:type="spellEnd"/>
      <w:r w:rsidR="003145EA">
        <w:t xml:space="preserve"> banky s. s.</w:t>
      </w:r>
      <w:r w:rsidR="00A96C25">
        <w:t>, když okamži</w:t>
      </w:r>
      <w:r>
        <w:t>kem zaplacení kupní ceny se rozumí připsání shora uvedené částky na účet prodávajícího.</w:t>
      </w:r>
    </w:p>
    <w:p w:rsidR="008E566E" w:rsidRDefault="008E566E" w:rsidP="00AC3790">
      <w:pPr>
        <w:spacing w:line="288" w:lineRule="auto"/>
        <w:contextualSpacing/>
      </w:pPr>
    </w:p>
    <w:p w:rsidR="00612FD1" w:rsidRDefault="008E566E" w:rsidP="00AC3790">
      <w:pPr>
        <w:spacing w:line="288" w:lineRule="auto"/>
        <w:contextualSpacing/>
        <w:jc w:val="center"/>
      </w:pPr>
      <w:r>
        <w:t>IV.</w:t>
      </w:r>
    </w:p>
    <w:p w:rsidR="0052107C" w:rsidRDefault="0052107C" w:rsidP="00AC3790">
      <w:pPr>
        <w:spacing w:line="288" w:lineRule="auto"/>
        <w:contextualSpacing/>
        <w:jc w:val="center"/>
      </w:pPr>
    </w:p>
    <w:p w:rsidR="008E566E" w:rsidRDefault="008E566E" w:rsidP="00AC3790">
      <w:pPr>
        <w:spacing w:line="288" w:lineRule="auto"/>
        <w:contextualSpacing/>
      </w:pPr>
      <w:r>
        <w:t>Kupujícímu bude kulturní památka předána po zaplacení kupní ceny. Doba předání bude dohodnuta smluvními stranami</w:t>
      </w:r>
      <w:r w:rsidR="003145EA">
        <w:t xml:space="preserve"> nejpozději do 10 dnů od zaplacení kupní ceny</w:t>
      </w:r>
      <w:r>
        <w:t>. Místo převzetí bude určeno prodávajícím. Převzetí za kupujícího provede pověřený přebírající. Zástupce kupujícího (pověřený přebírající) se při převzetí prokáže platným zmocněním pro tento úkon. O předání bud sepsán a oběma smluvními stranami podepsán protokol. Okamžikem převzetí přechází na kupujícího nebezpečí škody na kulturní památce.</w:t>
      </w:r>
    </w:p>
    <w:p w:rsidR="008E566E" w:rsidRDefault="008E566E" w:rsidP="00AC3790">
      <w:pPr>
        <w:spacing w:line="288" w:lineRule="auto"/>
        <w:contextualSpacing/>
      </w:pPr>
      <w:r>
        <w:t>Kupující nabývá vlastnického práva k předmětu této kupní smlouvy okamžikem úplného zaplacení sjednané kupní ceny ve smyslu ustanovení § 2132 občanského zákoníku.</w:t>
      </w:r>
    </w:p>
    <w:p w:rsidR="008E566E" w:rsidRDefault="008E566E" w:rsidP="00AC3790">
      <w:pPr>
        <w:spacing w:line="288" w:lineRule="auto"/>
        <w:contextualSpacing/>
      </w:pPr>
    </w:p>
    <w:p w:rsidR="008E566E" w:rsidRDefault="008E566E" w:rsidP="00AC3790">
      <w:pPr>
        <w:spacing w:line="288" w:lineRule="auto"/>
        <w:contextualSpacing/>
        <w:jc w:val="center"/>
      </w:pPr>
      <w:r>
        <w:t>V.</w:t>
      </w:r>
    </w:p>
    <w:p w:rsidR="0052107C" w:rsidRDefault="0052107C" w:rsidP="00AC3790">
      <w:pPr>
        <w:spacing w:line="288" w:lineRule="auto"/>
        <w:contextualSpacing/>
        <w:jc w:val="center"/>
      </w:pPr>
    </w:p>
    <w:p w:rsidR="008E566E" w:rsidRDefault="008E566E" w:rsidP="00AC3790">
      <w:pPr>
        <w:spacing w:line="288" w:lineRule="auto"/>
        <w:contextualSpacing/>
      </w:pPr>
      <w:r>
        <w:t>Ve všem, co není upraveno touto smlouvou, řídí se práva a povinnosti účastníků této smlouvy příslušnými ustanoveními občanského zákoníku.</w:t>
      </w:r>
    </w:p>
    <w:p w:rsidR="008E566E" w:rsidRDefault="008E566E" w:rsidP="00AC3790">
      <w:pPr>
        <w:spacing w:line="288" w:lineRule="auto"/>
        <w:contextualSpacing/>
      </w:pPr>
      <w:r>
        <w:t>Veškeré změny nebo doplňky této smlouvy je možné činit pouze v písemné formě, po dohodě obou smluvních stran, jinak jsou neplatné.</w:t>
      </w:r>
    </w:p>
    <w:p w:rsidR="008E566E" w:rsidRDefault="008E566E" w:rsidP="00AC3790">
      <w:pPr>
        <w:spacing w:line="288" w:lineRule="auto"/>
        <w:contextualSpacing/>
      </w:pPr>
      <w:r>
        <w:t>Tato smlouva je sepsána ve čtyřech vyhotoveních. Jedno vyhotovení smlouvy obdrží prodávající, dvě kupující a jedno Ministerstvo kultury.</w:t>
      </w:r>
    </w:p>
    <w:p w:rsidR="003145EA" w:rsidRDefault="003145EA" w:rsidP="00AC3790">
      <w:pPr>
        <w:spacing w:line="288" w:lineRule="auto"/>
        <w:contextualSpacing/>
      </w:pPr>
      <w:r>
        <w:t>Kupující je právnickou osobou povinnou uveřejňovat stanovené smlouvy v registru smluv podle zákona č. 340/2015 Sb., o zvláštních podmínkách účinnosti některých smluv, uveřejňování těchto smluv a registru smluv (zákon o registru smluv). Prodávajíc bere tuto skutečnost na vědomí a podpisem této smlouvy zároveň potvrzuje svůj souhlas se zveřejněním této smlouvy v registru smluv.</w:t>
      </w:r>
    </w:p>
    <w:p w:rsidR="00612FD1" w:rsidRDefault="008E566E" w:rsidP="00AC3790">
      <w:pPr>
        <w:spacing w:line="288" w:lineRule="auto"/>
        <w:contextualSpacing/>
      </w:pPr>
      <w:r>
        <w:t>Tato smlouva nabývá platnosti okamžikem podpisu oběma stranami, účinnosti nabývá dnem udělení schvalovací doložky Minis</w:t>
      </w:r>
      <w:r w:rsidR="003145EA">
        <w:t>terstvem kultury a dnem uveřejnění v registru smluv podle zákona o registru smluv.</w:t>
      </w:r>
    </w:p>
    <w:p w:rsidR="003145EA" w:rsidRDefault="003145EA" w:rsidP="00AC3790">
      <w:pPr>
        <w:spacing w:line="288" w:lineRule="auto"/>
        <w:contextualSpacing/>
      </w:pPr>
    </w:p>
    <w:p w:rsidR="008E566E" w:rsidRDefault="008E566E" w:rsidP="00952FAE">
      <w:pPr>
        <w:contextualSpacing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E566E" w:rsidTr="00AC3790">
        <w:trPr>
          <w:trHeight w:val="484"/>
        </w:trPr>
        <w:tc>
          <w:tcPr>
            <w:tcW w:w="4606" w:type="dxa"/>
          </w:tcPr>
          <w:p w:rsidR="008E566E" w:rsidRDefault="008E566E" w:rsidP="00952FAE">
            <w:pPr>
              <w:contextualSpacing/>
            </w:pPr>
            <w:r>
              <w:lastRenderedPageBreak/>
              <w:t>V Praze dne</w:t>
            </w:r>
          </w:p>
        </w:tc>
        <w:tc>
          <w:tcPr>
            <w:tcW w:w="4606" w:type="dxa"/>
          </w:tcPr>
          <w:p w:rsidR="0052107C" w:rsidRDefault="0052107C" w:rsidP="00952FAE">
            <w:pPr>
              <w:contextualSpacing/>
            </w:pPr>
          </w:p>
        </w:tc>
      </w:tr>
      <w:tr w:rsidR="008E566E" w:rsidTr="008E566E">
        <w:tc>
          <w:tcPr>
            <w:tcW w:w="4606" w:type="dxa"/>
          </w:tcPr>
          <w:p w:rsidR="008E566E" w:rsidRDefault="008E566E" w:rsidP="00952FAE">
            <w:pPr>
              <w:contextualSpacing/>
            </w:pPr>
          </w:p>
        </w:tc>
        <w:tc>
          <w:tcPr>
            <w:tcW w:w="4606" w:type="dxa"/>
          </w:tcPr>
          <w:p w:rsidR="00AC3790" w:rsidRDefault="00AC3790" w:rsidP="00AC3790">
            <w:pPr>
              <w:contextualSpacing/>
            </w:pPr>
            <w:r>
              <w:t xml:space="preserve">Ing. Zdeněk </w:t>
            </w:r>
            <w:proofErr w:type="spellStart"/>
            <w:r>
              <w:t>Justoň</w:t>
            </w:r>
            <w:proofErr w:type="spellEnd"/>
          </w:p>
          <w:p w:rsidR="00156E24" w:rsidRDefault="00AC3790" w:rsidP="00AC3790">
            <w:pPr>
              <w:contextualSpacing/>
            </w:pPr>
            <w:r>
              <w:t>předseda správní rady Nadace Český hudební fond</w:t>
            </w:r>
          </w:p>
        </w:tc>
      </w:tr>
      <w:tr w:rsidR="00AC3790" w:rsidTr="008E566E">
        <w:tc>
          <w:tcPr>
            <w:tcW w:w="4606" w:type="dxa"/>
          </w:tcPr>
          <w:p w:rsidR="00AC3790" w:rsidRDefault="00AC3790" w:rsidP="00952FAE">
            <w:pPr>
              <w:contextualSpacing/>
            </w:pPr>
            <w:r>
              <w:t>V Praze dne</w:t>
            </w:r>
          </w:p>
        </w:tc>
        <w:tc>
          <w:tcPr>
            <w:tcW w:w="4606" w:type="dxa"/>
          </w:tcPr>
          <w:p w:rsidR="00AC3790" w:rsidRDefault="00AC3790" w:rsidP="00952FAE">
            <w:pPr>
              <w:contextualSpacing/>
            </w:pPr>
          </w:p>
          <w:p w:rsidR="00AC3790" w:rsidRDefault="00AC3790" w:rsidP="00952FAE">
            <w:pPr>
              <w:contextualSpacing/>
            </w:pPr>
          </w:p>
        </w:tc>
      </w:tr>
      <w:tr w:rsidR="00AC3790" w:rsidTr="008E566E">
        <w:tc>
          <w:tcPr>
            <w:tcW w:w="4606" w:type="dxa"/>
          </w:tcPr>
          <w:p w:rsidR="00AC3790" w:rsidRDefault="00AC3790" w:rsidP="00952FAE">
            <w:pPr>
              <w:contextualSpacing/>
            </w:pPr>
          </w:p>
        </w:tc>
        <w:tc>
          <w:tcPr>
            <w:tcW w:w="4606" w:type="dxa"/>
          </w:tcPr>
          <w:p w:rsidR="00AC3790" w:rsidRDefault="00AC3790" w:rsidP="00952FAE">
            <w:pPr>
              <w:contextualSpacing/>
            </w:pPr>
            <w:r>
              <w:t>Pavel Fiedler</w:t>
            </w:r>
          </w:p>
          <w:p w:rsidR="00AC3790" w:rsidRDefault="00AC3790" w:rsidP="00952FAE">
            <w:pPr>
              <w:contextualSpacing/>
            </w:pPr>
            <w:r>
              <w:t xml:space="preserve"> člen správní rady Nadace Český hudební fond</w:t>
            </w:r>
          </w:p>
        </w:tc>
      </w:tr>
      <w:tr w:rsidR="00AC3790" w:rsidTr="008E566E">
        <w:tc>
          <w:tcPr>
            <w:tcW w:w="4606" w:type="dxa"/>
          </w:tcPr>
          <w:p w:rsidR="00AC3790" w:rsidRDefault="00AC3790" w:rsidP="00952FAE">
            <w:pPr>
              <w:contextualSpacing/>
            </w:pPr>
          </w:p>
        </w:tc>
        <w:tc>
          <w:tcPr>
            <w:tcW w:w="4606" w:type="dxa"/>
          </w:tcPr>
          <w:p w:rsidR="00AC3790" w:rsidRDefault="00AC3790" w:rsidP="00952FAE">
            <w:pPr>
              <w:contextualSpacing/>
            </w:pPr>
            <w:r>
              <w:t>(</w:t>
            </w:r>
            <w:proofErr w:type="spellStart"/>
            <w:r>
              <w:t>prodávajíci</w:t>
            </w:r>
            <w:proofErr w:type="spellEnd"/>
            <w:r>
              <w:t>)</w:t>
            </w:r>
          </w:p>
        </w:tc>
      </w:tr>
      <w:tr w:rsidR="008E566E" w:rsidTr="008E566E">
        <w:tc>
          <w:tcPr>
            <w:tcW w:w="4606" w:type="dxa"/>
          </w:tcPr>
          <w:p w:rsidR="008E566E" w:rsidRDefault="008E566E" w:rsidP="00952FAE">
            <w:pPr>
              <w:contextualSpacing/>
            </w:pPr>
            <w:r>
              <w:t>V Praze dne</w:t>
            </w:r>
          </w:p>
        </w:tc>
        <w:tc>
          <w:tcPr>
            <w:tcW w:w="4606" w:type="dxa"/>
          </w:tcPr>
          <w:p w:rsidR="00156E24" w:rsidRDefault="00156E24" w:rsidP="00952FAE">
            <w:pPr>
              <w:contextualSpacing/>
            </w:pPr>
          </w:p>
          <w:p w:rsidR="008E566E" w:rsidRDefault="008E566E" w:rsidP="00952FAE">
            <w:pPr>
              <w:contextualSpacing/>
            </w:pPr>
          </w:p>
          <w:p w:rsidR="0052107C" w:rsidRDefault="00AC3790" w:rsidP="00952FAE">
            <w:pPr>
              <w:contextualSpacing/>
            </w:pPr>
            <w:r>
              <w:t xml:space="preserve">PhDr. Michal Lukeš, </w:t>
            </w:r>
            <w:proofErr w:type="spellStart"/>
            <w:r>
              <w:t>Ph.D</w:t>
            </w:r>
            <w:proofErr w:type="spellEnd"/>
            <w:r>
              <w:t>.</w:t>
            </w:r>
          </w:p>
          <w:p w:rsidR="00AC3790" w:rsidRDefault="00AC3790" w:rsidP="00952FAE">
            <w:pPr>
              <w:contextualSpacing/>
            </w:pPr>
            <w:r>
              <w:t>generální ředitel Národního muzea</w:t>
            </w:r>
          </w:p>
        </w:tc>
      </w:tr>
      <w:tr w:rsidR="008E566E" w:rsidTr="008E566E">
        <w:tc>
          <w:tcPr>
            <w:tcW w:w="4606" w:type="dxa"/>
          </w:tcPr>
          <w:p w:rsidR="008E566E" w:rsidRDefault="008E566E" w:rsidP="00952FAE">
            <w:pPr>
              <w:contextualSpacing/>
            </w:pPr>
          </w:p>
        </w:tc>
        <w:tc>
          <w:tcPr>
            <w:tcW w:w="4606" w:type="dxa"/>
          </w:tcPr>
          <w:p w:rsidR="00156E24" w:rsidRDefault="008E566E" w:rsidP="00952FAE">
            <w:pPr>
              <w:contextualSpacing/>
            </w:pPr>
            <w:r>
              <w:t>kupující</w:t>
            </w:r>
          </w:p>
        </w:tc>
      </w:tr>
    </w:tbl>
    <w:p w:rsidR="008E566E" w:rsidRDefault="008E566E" w:rsidP="00952FAE">
      <w:pPr>
        <w:contextualSpacing/>
      </w:pPr>
    </w:p>
    <w:p w:rsidR="00AC3790" w:rsidRDefault="00AC3790" w:rsidP="00952FAE">
      <w:pPr>
        <w:contextualSpacing/>
      </w:pPr>
    </w:p>
    <w:p w:rsidR="00AC3790" w:rsidRDefault="00AC3790" w:rsidP="00952FAE">
      <w:pPr>
        <w:contextualSpacing/>
      </w:pPr>
    </w:p>
    <w:p w:rsidR="008E566E" w:rsidRDefault="008E566E" w:rsidP="00952FAE">
      <w:pPr>
        <w:contextualSpacing/>
      </w:pPr>
      <w:r>
        <w:t xml:space="preserve">Schvalovací doložka MK </w:t>
      </w:r>
      <w:r w:rsidR="00AC3790">
        <w:t>ČR</w:t>
      </w:r>
      <w:r>
        <w:t>:</w:t>
      </w:r>
    </w:p>
    <w:p w:rsidR="008E566E" w:rsidRDefault="008E566E" w:rsidP="00952FAE">
      <w:pPr>
        <w:contextualSpacing/>
      </w:pPr>
    </w:p>
    <w:p w:rsidR="008E566E" w:rsidRDefault="008E566E" w:rsidP="00952FAE">
      <w:pPr>
        <w:contextualSpacing/>
      </w:pPr>
      <w:r>
        <w:t>Ministerstvo kultury ČR podle § 12, odst. 6 a § 22, odst. 4, zákona č. 219/2000 Sb., o majetku České republiky a jejím vystupování v právních vztazích, tuto kupní smlouvu schvaluje.</w:t>
      </w:r>
    </w:p>
    <w:p w:rsidR="008E566E" w:rsidRDefault="008E566E" w:rsidP="00952FAE">
      <w:pPr>
        <w:contextualSpacing/>
      </w:pPr>
    </w:p>
    <w:p w:rsidR="008E566E" w:rsidRDefault="008E566E" w:rsidP="00952FAE">
      <w:pPr>
        <w:contextualSpacing/>
      </w:pPr>
      <w:r>
        <w:t>V Praze dne</w:t>
      </w:r>
    </w:p>
    <w:p w:rsidR="00156E24" w:rsidRDefault="00156E24" w:rsidP="00952FAE">
      <w:pPr>
        <w:contextualSpacing/>
      </w:pPr>
    </w:p>
    <w:p w:rsidR="00156E24" w:rsidRDefault="00156E24" w:rsidP="00952FAE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Jiří </w:t>
      </w:r>
      <w:proofErr w:type="spellStart"/>
      <w:r>
        <w:t>Vajčner</w:t>
      </w:r>
      <w:proofErr w:type="spellEnd"/>
      <w:r>
        <w:t xml:space="preserve">, </w:t>
      </w:r>
      <w:proofErr w:type="spellStart"/>
      <w:r>
        <w:t>Ph.D</w:t>
      </w:r>
      <w:proofErr w:type="spellEnd"/>
      <w:r>
        <w:t>.</w:t>
      </w:r>
    </w:p>
    <w:p w:rsidR="00156E24" w:rsidRDefault="00156E24" w:rsidP="00952FAE">
      <w:pPr>
        <w:contextualSpacing/>
      </w:pPr>
      <w:r>
        <w:tab/>
      </w:r>
      <w:r>
        <w:tab/>
      </w:r>
      <w:r>
        <w:tab/>
      </w:r>
      <w:r>
        <w:tab/>
      </w:r>
      <w:r>
        <w:tab/>
        <w:t>ředitel odboru památkové péče Ministerstva kultury</w:t>
      </w:r>
    </w:p>
    <w:sectPr w:rsidR="00156E24" w:rsidSect="002030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76" w:rsidRDefault="00935876" w:rsidP="00156E24">
      <w:pPr>
        <w:spacing w:after="0" w:line="240" w:lineRule="auto"/>
      </w:pPr>
      <w:r>
        <w:separator/>
      </w:r>
    </w:p>
  </w:endnote>
  <w:endnote w:type="continuationSeparator" w:id="0">
    <w:p w:rsidR="00935876" w:rsidRDefault="00935876" w:rsidP="0015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-OneByteIden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63361"/>
      <w:docPartObj>
        <w:docPartGallery w:val="Page Numbers (Bottom of Page)"/>
        <w:docPartUnique/>
      </w:docPartObj>
    </w:sdtPr>
    <w:sdtContent>
      <w:p w:rsidR="00156E24" w:rsidRDefault="009F7556">
        <w:pPr>
          <w:pStyle w:val="Zpat"/>
          <w:jc w:val="center"/>
        </w:pPr>
        <w:fldSimple w:instr=" PAGE   \* MERGEFORMAT ">
          <w:r w:rsidR="00CD1755">
            <w:rPr>
              <w:noProof/>
            </w:rPr>
            <w:t>2</w:t>
          </w:r>
        </w:fldSimple>
      </w:p>
    </w:sdtContent>
  </w:sdt>
  <w:p w:rsidR="00156E24" w:rsidRDefault="00156E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76" w:rsidRDefault="00935876" w:rsidP="00156E24">
      <w:pPr>
        <w:spacing w:after="0" w:line="240" w:lineRule="auto"/>
      </w:pPr>
      <w:r>
        <w:separator/>
      </w:r>
    </w:p>
  </w:footnote>
  <w:footnote w:type="continuationSeparator" w:id="0">
    <w:p w:rsidR="00935876" w:rsidRDefault="00935876" w:rsidP="0015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AF" w:rsidRDefault="00CC0AAF">
    <w:pPr>
      <w:pStyle w:val="Zhlav"/>
    </w:pPr>
    <w:r>
      <w:ptab w:relativeTo="margin" w:alignment="right" w:leader="none"/>
    </w:r>
    <w:proofErr w:type="spellStart"/>
    <w:r>
      <w:t>čj</w:t>
    </w:r>
    <w:proofErr w:type="spellEnd"/>
    <w:r>
      <w:t>. 2017/5123/NM</w:t>
    </w:r>
  </w:p>
  <w:p w:rsidR="00CC0AAF" w:rsidRDefault="00CC0AAF">
    <w:pPr>
      <w:pStyle w:val="Zhlav"/>
    </w:pPr>
    <w:r>
      <w:tab/>
    </w:r>
    <w:r>
      <w:tab/>
    </w:r>
    <w:proofErr w:type="spellStart"/>
    <w:r>
      <w:t>int</w:t>
    </w:r>
    <w:proofErr w:type="spellEnd"/>
    <w:r>
      <w:t>. č. ČMH-147/2017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69E"/>
    <w:rsid w:val="0005557C"/>
    <w:rsid w:val="00156E24"/>
    <w:rsid w:val="00203037"/>
    <w:rsid w:val="00282C71"/>
    <w:rsid w:val="002D4FC4"/>
    <w:rsid w:val="00305644"/>
    <w:rsid w:val="003145EA"/>
    <w:rsid w:val="0052107C"/>
    <w:rsid w:val="00612FD1"/>
    <w:rsid w:val="00835F1D"/>
    <w:rsid w:val="008A48A9"/>
    <w:rsid w:val="008E566E"/>
    <w:rsid w:val="00935876"/>
    <w:rsid w:val="00952FAE"/>
    <w:rsid w:val="009F7556"/>
    <w:rsid w:val="00A34D4E"/>
    <w:rsid w:val="00A850DD"/>
    <w:rsid w:val="00A96C25"/>
    <w:rsid w:val="00AC069E"/>
    <w:rsid w:val="00AC3790"/>
    <w:rsid w:val="00CC0AAF"/>
    <w:rsid w:val="00CD1755"/>
    <w:rsid w:val="00DF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0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E5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5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E24"/>
  </w:style>
  <w:style w:type="paragraph" w:styleId="Zpat">
    <w:name w:val="footer"/>
    <w:basedOn w:val="Normln"/>
    <w:link w:val="ZpatChar"/>
    <w:uiPriority w:val="99"/>
    <w:unhideWhenUsed/>
    <w:rsid w:val="0015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E24"/>
  </w:style>
  <w:style w:type="paragraph" w:styleId="Textbubliny">
    <w:name w:val="Balloon Text"/>
    <w:basedOn w:val="Normln"/>
    <w:link w:val="TextbublinyChar"/>
    <w:uiPriority w:val="99"/>
    <w:semiHidden/>
    <w:unhideWhenUsed/>
    <w:rsid w:val="00CC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3954</Characters>
  <Application>Microsoft Office Word</Application>
  <DocSecurity>0</DocSecurity>
  <Lines>62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paulovaev</dc:creator>
  <cp:lastModifiedBy>paulovaev</cp:lastModifiedBy>
  <cp:revision>2</cp:revision>
  <dcterms:created xsi:type="dcterms:W3CDTF">2017-11-08T09:18:00Z</dcterms:created>
  <dcterms:modified xsi:type="dcterms:W3CDTF">2017-11-08T09:18:00Z</dcterms:modified>
</cp:coreProperties>
</file>