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8B" w:rsidRDefault="00E922C7" w:rsidP="0021512F">
      <w:pPr>
        <w:pStyle w:val="Nadpis1"/>
        <w:spacing w:after="0"/>
        <w:jc w:val="center"/>
      </w:pPr>
      <w:bookmarkStart w:id="0" w:name="_GoBack"/>
      <w:bookmarkEnd w:id="0"/>
      <w:r>
        <w:t>Všeobecné obchodní podmínky</w:t>
      </w:r>
    </w:p>
    <w:tbl>
      <w:tblPr>
        <w:tblStyle w:val="Mkatabulky"/>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62"/>
        <w:gridCol w:w="283"/>
        <w:gridCol w:w="4966"/>
      </w:tblGrid>
      <w:tr w:rsidR="007B718F" w:rsidTr="00DF5811">
        <w:trPr>
          <w:trHeight w:hRule="exact" w:val="227"/>
        </w:trPr>
        <w:tc>
          <w:tcPr>
            <w:tcW w:w="4962" w:type="dxa"/>
            <w:tcMar>
              <w:left w:w="0" w:type="dxa"/>
              <w:right w:w="0" w:type="dxa"/>
            </w:tcMar>
          </w:tcPr>
          <w:p w:rsidR="007B718F" w:rsidRDefault="0028739B" w:rsidP="00DF5811">
            <w:pPr>
              <w:spacing w:before="0"/>
              <w:jc w:val="right"/>
            </w:pPr>
            <w:r>
              <w:t xml:space="preserve">účinnost </w:t>
            </w:r>
            <w:r w:rsidR="007B718F">
              <w:t>od</w:t>
            </w:r>
          </w:p>
        </w:tc>
        <w:tc>
          <w:tcPr>
            <w:tcW w:w="283" w:type="dxa"/>
            <w:tcMar>
              <w:left w:w="0" w:type="dxa"/>
              <w:right w:w="0" w:type="dxa"/>
            </w:tcMar>
          </w:tcPr>
          <w:p w:rsidR="007B718F" w:rsidRPr="009763F9" w:rsidRDefault="007B718F" w:rsidP="00DF5811">
            <w:pPr>
              <w:spacing w:before="0"/>
            </w:pPr>
            <w:r w:rsidRPr="009763F9">
              <w:t>:</w:t>
            </w:r>
          </w:p>
        </w:tc>
        <w:tc>
          <w:tcPr>
            <w:tcW w:w="4966" w:type="dxa"/>
            <w:tcMar>
              <w:left w:w="0" w:type="dxa"/>
              <w:right w:w="0" w:type="dxa"/>
            </w:tcMar>
          </w:tcPr>
          <w:sdt>
            <w:sdtPr>
              <w:id w:val="-801616226"/>
              <w:placeholder>
                <w:docPart w:val="5961DC5B9F524BC1A95CB184559189C3"/>
              </w:placeholder>
              <w:text/>
            </w:sdtPr>
            <w:sdtEndPr/>
            <w:sdtContent>
              <w:p w:rsidR="007B718F" w:rsidRPr="009763F9" w:rsidRDefault="001F43FD" w:rsidP="00DF5811">
                <w:pPr>
                  <w:spacing w:before="0"/>
                </w:pPr>
                <w:r>
                  <w:t>1.1.2016</w:t>
                </w:r>
              </w:p>
            </w:sdtContent>
          </w:sdt>
        </w:tc>
      </w:tr>
    </w:tbl>
    <w:p w:rsidR="00D84CAB" w:rsidRPr="00D84CAB" w:rsidRDefault="00D84CAB">
      <w:pPr>
        <w:rPr>
          <w:sz w:val="4"/>
        </w:rPr>
      </w:pPr>
    </w:p>
    <w:tbl>
      <w:tblPr>
        <w:tblStyle w:val="Mkatabulky"/>
        <w:tblW w:w="10211"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4A0" w:firstRow="1" w:lastRow="0" w:firstColumn="1" w:lastColumn="0" w:noHBand="0" w:noVBand="1"/>
      </w:tblPr>
      <w:tblGrid>
        <w:gridCol w:w="1418"/>
        <w:gridCol w:w="3690"/>
        <w:gridCol w:w="1276"/>
        <w:gridCol w:w="3827"/>
      </w:tblGrid>
      <w:tr w:rsidR="00231E90" w:rsidRPr="0021468D" w:rsidTr="00DB4160">
        <w:trPr>
          <w:trHeight w:val="108"/>
        </w:trPr>
        <w:tc>
          <w:tcPr>
            <w:tcW w:w="10211" w:type="dxa"/>
            <w:gridSpan w:val="4"/>
            <w:tcBorders>
              <w:bottom w:val="single" w:sz="4" w:space="0" w:color="auto"/>
            </w:tcBorders>
            <w:tcMar>
              <w:left w:w="0" w:type="dxa"/>
              <w:right w:w="0" w:type="dxa"/>
            </w:tcMar>
            <w:vAlign w:val="bottom"/>
          </w:tcPr>
          <w:p w:rsidR="00231E90" w:rsidRPr="0021468D" w:rsidRDefault="00231E90" w:rsidP="008902DB">
            <w:r w:rsidRPr="0028739B">
              <w:rPr>
                <w:b/>
              </w:rPr>
              <w:t>Dodavatel</w:t>
            </w:r>
          </w:p>
        </w:tc>
      </w:tr>
      <w:tr w:rsidR="00D84CAB" w:rsidRPr="008902DB" w:rsidTr="00DB4160">
        <w:trPr>
          <w:trHeight w:hRule="exact" w:val="227"/>
        </w:trPr>
        <w:tc>
          <w:tcPr>
            <w:tcW w:w="1418" w:type="dxa"/>
            <w:tcBorders>
              <w:top w:val="single" w:sz="4" w:space="0" w:color="auto"/>
              <w:bottom w:val="nil"/>
              <w:right w:val="nil"/>
            </w:tcBorders>
            <w:tcMar>
              <w:left w:w="57" w:type="dxa"/>
              <w:right w:w="57" w:type="dxa"/>
            </w:tcMar>
          </w:tcPr>
          <w:p w:rsidR="00D84CAB" w:rsidRPr="00DF5811" w:rsidRDefault="00D84CAB" w:rsidP="00DB4160">
            <w:pPr>
              <w:spacing w:before="0"/>
              <w:jc w:val="left"/>
            </w:pPr>
            <w:r w:rsidRPr="00DF5811">
              <w:t>obchodní firma</w:t>
            </w:r>
          </w:p>
        </w:tc>
        <w:tc>
          <w:tcPr>
            <w:tcW w:w="3690" w:type="dxa"/>
            <w:tcBorders>
              <w:top w:val="single" w:sz="4" w:space="0" w:color="auto"/>
              <w:left w:val="nil"/>
              <w:bottom w:val="nil"/>
              <w:right w:val="nil"/>
            </w:tcBorders>
            <w:tcMar>
              <w:left w:w="57" w:type="dxa"/>
              <w:right w:w="57" w:type="dxa"/>
            </w:tcMar>
          </w:tcPr>
          <w:p w:rsidR="00D84CAB" w:rsidRPr="00DF5811" w:rsidRDefault="00D84CAB" w:rsidP="00DF5811">
            <w:pPr>
              <w:spacing w:before="0"/>
              <w:jc w:val="left"/>
            </w:pPr>
            <w:r w:rsidRPr="00DF5811">
              <w:t>Severočeská teplárenská, a.s.</w:t>
            </w:r>
          </w:p>
        </w:tc>
        <w:tc>
          <w:tcPr>
            <w:tcW w:w="1276" w:type="dxa"/>
            <w:tcBorders>
              <w:top w:val="single" w:sz="4" w:space="0" w:color="auto"/>
              <w:left w:val="nil"/>
              <w:bottom w:val="nil"/>
              <w:right w:val="nil"/>
            </w:tcBorders>
            <w:tcMar>
              <w:left w:w="57" w:type="dxa"/>
              <w:right w:w="57" w:type="dxa"/>
            </w:tcMar>
          </w:tcPr>
          <w:p w:rsidR="00D84CAB" w:rsidRPr="008902DB" w:rsidRDefault="00D84CAB" w:rsidP="00DB4160">
            <w:pPr>
              <w:spacing w:before="0"/>
              <w:jc w:val="left"/>
            </w:pPr>
            <w:r w:rsidRPr="008902DB">
              <w:t>telefon obchod</w:t>
            </w:r>
          </w:p>
        </w:tc>
        <w:tc>
          <w:tcPr>
            <w:tcW w:w="3827" w:type="dxa"/>
            <w:tcBorders>
              <w:top w:val="single" w:sz="4" w:space="0" w:color="auto"/>
              <w:left w:val="nil"/>
              <w:bottom w:val="nil"/>
            </w:tcBorders>
            <w:tcMar>
              <w:left w:w="57" w:type="dxa"/>
              <w:right w:w="57" w:type="dxa"/>
            </w:tcMar>
          </w:tcPr>
          <w:p w:rsidR="00D84CAB" w:rsidRPr="008902DB" w:rsidRDefault="00D84CAB" w:rsidP="00AE76E8">
            <w:pPr>
              <w:spacing w:before="0"/>
              <w:jc w:val="left"/>
            </w:pPr>
            <w:r>
              <w:t>+420 476 447</w:t>
            </w:r>
            <w:r w:rsidR="00AE76E8">
              <w:t> 341, 476 447 508</w:t>
            </w:r>
          </w:p>
        </w:tc>
      </w:tr>
      <w:tr w:rsidR="00D84CAB" w:rsidTr="00DB4160">
        <w:trPr>
          <w:trHeight w:hRule="exact" w:val="227"/>
        </w:trPr>
        <w:tc>
          <w:tcPr>
            <w:tcW w:w="1418" w:type="dxa"/>
            <w:tcBorders>
              <w:top w:val="nil"/>
              <w:bottom w:val="nil"/>
              <w:right w:val="nil"/>
            </w:tcBorders>
            <w:tcMar>
              <w:left w:w="57" w:type="dxa"/>
              <w:right w:w="57" w:type="dxa"/>
            </w:tcMar>
          </w:tcPr>
          <w:p w:rsidR="00D84CAB" w:rsidRDefault="00D84CAB" w:rsidP="00DB4160">
            <w:pPr>
              <w:spacing w:before="0"/>
              <w:jc w:val="left"/>
            </w:pPr>
            <w:r>
              <w:t>se sídlem</w:t>
            </w:r>
          </w:p>
        </w:tc>
        <w:tc>
          <w:tcPr>
            <w:tcW w:w="3690" w:type="dxa"/>
            <w:tcBorders>
              <w:top w:val="nil"/>
              <w:left w:val="nil"/>
              <w:bottom w:val="nil"/>
              <w:right w:val="nil"/>
            </w:tcBorders>
            <w:tcMar>
              <w:left w:w="57" w:type="dxa"/>
              <w:right w:w="57" w:type="dxa"/>
            </w:tcMar>
          </w:tcPr>
          <w:p w:rsidR="00D84CAB" w:rsidRPr="0091736D" w:rsidRDefault="00D84CAB" w:rsidP="00DF5811">
            <w:pPr>
              <w:spacing w:before="0"/>
              <w:jc w:val="left"/>
            </w:pPr>
            <w:r>
              <w:t>Teplárenská 2, Most – Komořany, PSČ 434 03</w:t>
            </w:r>
          </w:p>
        </w:tc>
        <w:tc>
          <w:tcPr>
            <w:tcW w:w="1276" w:type="dxa"/>
            <w:tcBorders>
              <w:top w:val="nil"/>
              <w:left w:val="nil"/>
              <w:bottom w:val="nil"/>
              <w:right w:val="nil"/>
            </w:tcBorders>
            <w:tcMar>
              <w:left w:w="57" w:type="dxa"/>
              <w:right w:w="57" w:type="dxa"/>
            </w:tcMar>
          </w:tcPr>
          <w:p w:rsidR="00D84CAB" w:rsidRDefault="00D84CAB" w:rsidP="00DB4160">
            <w:pPr>
              <w:spacing w:before="0"/>
              <w:jc w:val="left"/>
            </w:pPr>
            <w:r>
              <w:t>e-mail</w:t>
            </w:r>
          </w:p>
        </w:tc>
        <w:tc>
          <w:tcPr>
            <w:tcW w:w="3827" w:type="dxa"/>
            <w:tcBorders>
              <w:top w:val="nil"/>
              <w:left w:val="nil"/>
              <w:bottom w:val="nil"/>
            </w:tcBorders>
            <w:tcMar>
              <w:left w:w="57" w:type="dxa"/>
              <w:right w:w="57" w:type="dxa"/>
            </w:tcMar>
          </w:tcPr>
          <w:p w:rsidR="00D84CAB" w:rsidRPr="002C7C3F" w:rsidRDefault="00D84CAB" w:rsidP="00DF5811">
            <w:pPr>
              <w:spacing w:before="0"/>
            </w:pPr>
            <w:r>
              <w:t>info@setep.cz</w:t>
            </w:r>
          </w:p>
        </w:tc>
      </w:tr>
      <w:tr w:rsidR="00D84CAB" w:rsidTr="00DB4160">
        <w:trPr>
          <w:trHeight w:hRule="exact" w:val="227"/>
        </w:trPr>
        <w:tc>
          <w:tcPr>
            <w:tcW w:w="1418" w:type="dxa"/>
            <w:tcBorders>
              <w:top w:val="nil"/>
              <w:bottom w:val="nil"/>
              <w:right w:val="nil"/>
            </w:tcBorders>
            <w:tcMar>
              <w:left w:w="57" w:type="dxa"/>
              <w:right w:w="57" w:type="dxa"/>
            </w:tcMar>
          </w:tcPr>
          <w:p w:rsidR="00D84CAB" w:rsidRDefault="00D84CAB" w:rsidP="00DB4160">
            <w:pPr>
              <w:spacing w:before="0"/>
              <w:jc w:val="left"/>
            </w:pPr>
            <w:r>
              <w:t>IČO</w:t>
            </w:r>
          </w:p>
        </w:tc>
        <w:tc>
          <w:tcPr>
            <w:tcW w:w="3690" w:type="dxa"/>
            <w:tcBorders>
              <w:top w:val="nil"/>
              <w:left w:val="nil"/>
              <w:bottom w:val="nil"/>
              <w:right w:val="nil"/>
            </w:tcBorders>
            <w:tcMar>
              <w:left w:w="57" w:type="dxa"/>
              <w:right w:w="57" w:type="dxa"/>
            </w:tcMar>
          </w:tcPr>
          <w:p w:rsidR="00D84CAB" w:rsidRDefault="00D84CAB" w:rsidP="00DF5811">
            <w:pPr>
              <w:spacing w:before="0"/>
            </w:pPr>
            <w:r>
              <w:t>287 33 118</w:t>
            </w:r>
          </w:p>
        </w:tc>
        <w:tc>
          <w:tcPr>
            <w:tcW w:w="1276" w:type="dxa"/>
            <w:tcBorders>
              <w:top w:val="nil"/>
              <w:left w:val="nil"/>
              <w:bottom w:val="nil"/>
              <w:right w:val="nil"/>
            </w:tcBorders>
            <w:tcMar>
              <w:left w:w="57" w:type="dxa"/>
              <w:right w:w="57" w:type="dxa"/>
            </w:tcMar>
          </w:tcPr>
          <w:p w:rsidR="00D84CAB" w:rsidRDefault="00DB4160" w:rsidP="00DB4160">
            <w:pPr>
              <w:spacing w:before="0"/>
              <w:jc w:val="left"/>
            </w:pPr>
            <w:r>
              <w:t>havarijní služba</w:t>
            </w:r>
            <w:r w:rsidR="00D84CAB">
              <w:t xml:space="preserve"> dispečink</w:t>
            </w:r>
          </w:p>
        </w:tc>
        <w:tc>
          <w:tcPr>
            <w:tcW w:w="3827" w:type="dxa"/>
            <w:tcBorders>
              <w:top w:val="nil"/>
              <w:left w:val="nil"/>
              <w:bottom w:val="nil"/>
            </w:tcBorders>
            <w:tcMar>
              <w:left w:w="57" w:type="dxa"/>
              <w:right w:w="57" w:type="dxa"/>
            </w:tcMar>
          </w:tcPr>
          <w:p w:rsidR="00D84CAB" w:rsidRPr="0021468D" w:rsidRDefault="00D84CAB" w:rsidP="00DF5811">
            <w:pPr>
              <w:spacing w:before="0"/>
            </w:pPr>
            <w:r w:rsidRPr="00D459E4">
              <w:t>+420 476 447</w:t>
            </w:r>
            <w:r w:rsidR="00DB4160">
              <w:t> </w:t>
            </w:r>
            <w:r w:rsidRPr="00D459E4">
              <w:t>830</w:t>
            </w:r>
            <w:r w:rsidR="00DB4160">
              <w:t>, 734 289 969</w:t>
            </w:r>
          </w:p>
        </w:tc>
      </w:tr>
    </w:tbl>
    <w:p w:rsidR="00D84CAB" w:rsidRPr="00D84CAB" w:rsidRDefault="00D84CAB">
      <w:pPr>
        <w:rPr>
          <w:sz w:val="4"/>
        </w:rPr>
      </w:pPr>
    </w:p>
    <w:tbl>
      <w:tblPr>
        <w:tblStyle w:val="Mkatabulky"/>
        <w:tblW w:w="10211" w:type="dxa"/>
        <w:tblLayout w:type="fixed"/>
        <w:tblCellMar>
          <w:left w:w="0" w:type="dxa"/>
          <w:right w:w="0" w:type="dxa"/>
        </w:tblCellMar>
        <w:tblLook w:val="04A0" w:firstRow="1" w:lastRow="0" w:firstColumn="1" w:lastColumn="0" w:noHBand="0" w:noVBand="1"/>
      </w:tblPr>
      <w:tblGrid>
        <w:gridCol w:w="10211"/>
      </w:tblGrid>
      <w:tr w:rsidR="002C7C3F" w:rsidTr="00DF5811">
        <w:tc>
          <w:tcPr>
            <w:tcW w:w="10211" w:type="dxa"/>
            <w:tcBorders>
              <w:top w:val="nil"/>
              <w:left w:val="nil"/>
              <w:bottom w:val="single" w:sz="4" w:space="0" w:color="auto"/>
              <w:right w:val="nil"/>
            </w:tcBorders>
            <w:tcMar>
              <w:left w:w="0" w:type="dxa"/>
              <w:right w:w="0" w:type="dxa"/>
            </w:tcMar>
          </w:tcPr>
          <w:p w:rsidR="002C7C3F" w:rsidRDefault="002C7C3F" w:rsidP="00DB2AA1">
            <w:pPr>
              <w:pStyle w:val="Podtitul"/>
              <w:keepNext/>
            </w:pPr>
            <w:r>
              <w:t>Článek 1: Úvodní ustanovení</w:t>
            </w:r>
          </w:p>
        </w:tc>
      </w:tr>
    </w:tbl>
    <w:p w:rsidR="002C7C3F" w:rsidRPr="008902DB" w:rsidRDefault="002C7C3F" w:rsidP="005A750D">
      <w:pPr>
        <w:pStyle w:val="Odstavecseseznamem"/>
        <w:numPr>
          <w:ilvl w:val="0"/>
          <w:numId w:val="22"/>
        </w:numPr>
        <w:spacing w:before="0" w:line="240" w:lineRule="auto"/>
        <w:ind w:left="283" w:hanging="289"/>
      </w:pPr>
      <w:r w:rsidRPr="008902DB">
        <w:t>Tyto všeobecné obchodní podmínky tvoří nedílnou součást smlouvy o dodávce tepelné energie</w:t>
      </w:r>
      <w:r w:rsidR="000315C5" w:rsidRPr="008902DB">
        <w:t xml:space="preserve">, uzavřené mezi </w:t>
      </w:r>
      <w:r w:rsidR="00D459E4">
        <w:t xml:space="preserve">dodavatelem, jakožto </w:t>
      </w:r>
      <w:r w:rsidR="000315C5" w:rsidRPr="008902DB">
        <w:t>držitelem licence pro</w:t>
      </w:r>
      <w:r w:rsidR="00733922" w:rsidRPr="008902DB">
        <w:t xml:space="preserve"> </w:t>
      </w:r>
      <w:r w:rsidR="000315C5" w:rsidRPr="008902DB">
        <w:t xml:space="preserve">rozvod tepla, a odběratelem tepelné energie. </w:t>
      </w:r>
      <w:r w:rsidR="00645E79">
        <w:t>Všeobecné</w:t>
      </w:r>
      <w:r w:rsidR="000315C5" w:rsidRPr="008902DB">
        <w:t xml:space="preserve"> obchodní podmínky podrobněji upravují smluvní vztah mezi oběm</w:t>
      </w:r>
      <w:r w:rsidR="00645E79">
        <w:t>a</w:t>
      </w:r>
      <w:r w:rsidR="000315C5" w:rsidRPr="008902DB">
        <w:t xml:space="preserve"> stranami.</w:t>
      </w:r>
    </w:p>
    <w:p w:rsidR="000315C5" w:rsidRPr="008902DB" w:rsidRDefault="000315C5" w:rsidP="005A750D">
      <w:pPr>
        <w:pStyle w:val="Odstavecseseznamem"/>
        <w:numPr>
          <w:ilvl w:val="0"/>
          <w:numId w:val="22"/>
        </w:numPr>
        <w:spacing w:before="0" w:line="240" w:lineRule="auto"/>
        <w:ind w:left="283" w:hanging="289"/>
      </w:pPr>
      <w:r w:rsidRPr="008902DB">
        <w:t>Vzájemná práva a povinnosti obou smluvních stran se řídí platnými právními předpisy, zejména zákonem č. 458/2000 Sb., o podmínkách podnikání a výkonu státní správy v energetických odvětvích a o změně některých zákonů (</w:t>
      </w:r>
      <w:r w:rsidR="00B608B4">
        <w:t>dále jako „</w:t>
      </w:r>
      <w:r w:rsidRPr="008902DB">
        <w:t>energetický zákon</w:t>
      </w:r>
      <w:r w:rsidR="00B608B4">
        <w:t>“</w:t>
      </w:r>
      <w:r w:rsidRPr="008902DB">
        <w:t>)</w:t>
      </w:r>
      <w:r w:rsidR="00EB522E" w:rsidRPr="008902DB">
        <w:t xml:space="preserve">, </w:t>
      </w:r>
      <w:r w:rsidRPr="008902DB">
        <w:t>zákonem č. 406/2000 Sb., o hospodaření energií, zákonem č. 526/1990 Sb., o cenách, zákonem č. 505/1990 Sb., o metrologii, vše v platném znění, včetně jejich prováděcích předpisů. Vzájemná práva a povinnosti se řídí též vyhláškami a rozhodnutími Energetického regulačního úřadu.</w:t>
      </w:r>
    </w:p>
    <w:p w:rsidR="000315C5" w:rsidRPr="008902DB" w:rsidRDefault="000315C5" w:rsidP="005A750D">
      <w:pPr>
        <w:pStyle w:val="Odstavecseseznamem"/>
        <w:numPr>
          <w:ilvl w:val="0"/>
          <w:numId w:val="22"/>
        </w:numPr>
        <w:spacing w:before="0" w:line="240" w:lineRule="auto"/>
        <w:ind w:left="283" w:hanging="289"/>
      </w:pPr>
      <w:r w:rsidRPr="008902DB">
        <w:t>Odborné termíny užívané v</w:t>
      </w:r>
      <w:r w:rsidR="00645E79">
        <w:t>e všeobecných</w:t>
      </w:r>
      <w:r w:rsidRPr="008902DB">
        <w:t xml:space="preserve"> obchodních podmínkách a smlouvě o dodávce tepelné energie mají význam přikládaný jim výše uvedenými právními předpisy.</w:t>
      </w:r>
    </w:p>
    <w:p w:rsidR="000315C5" w:rsidRPr="008902DB" w:rsidRDefault="000315C5" w:rsidP="005A750D">
      <w:pPr>
        <w:pStyle w:val="Odstavecseseznamem"/>
        <w:numPr>
          <w:ilvl w:val="0"/>
          <w:numId w:val="22"/>
        </w:numPr>
        <w:spacing w:before="0" w:line="240" w:lineRule="auto"/>
        <w:ind w:left="283" w:hanging="289"/>
      </w:pPr>
      <w:r w:rsidRPr="008902DB">
        <w:t xml:space="preserve">V případě vnitřního rozporu mezi </w:t>
      </w:r>
      <w:r w:rsidR="00645E79">
        <w:t>všeobecnými</w:t>
      </w:r>
      <w:r w:rsidRPr="008902DB">
        <w:t xml:space="preserve"> obchodními podmínkami </w:t>
      </w:r>
      <w:r w:rsidR="009846F3" w:rsidRPr="008902DB">
        <w:t>a smlouvou o dodávce tepelné energie, který nelze překlenout souladným výkladem, má přednost příslušné ustanovení smlouvy o dodávce tepelné energie.</w:t>
      </w:r>
    </w:p>
    <w:tbl>
      <w:tblPr>
        <w:tblStyle w:val="Mkatabulky"/>
        <w:tblW w:w="10206" w:type="dxa"/>
        <w:tblLayout w:type="fixed"/>
        <w:tblCellMar>
          <w:left w:w="0" w:type="dxa"/>
          <w:right w:w="0" w:type="dxa"/>
        </w:tblCellMar>
        <w:tblLook w:val="04A0" w:firstRow="1" w:lastRow="0" w:firstColumn="1" w:lastColumn="0" w:noHBand="0" w:noVBand="1"/>
      </w:tblPr>
      <w:tblGrid>
        <w:gridCol w:w="10206"/>
      </w:tblGrid>
      <w:tr w:rsidR="009846F3" w:rsidTr="0021512F">
        <w:tc>
          <w:tcPr>
            <w:tcW w:w="10206" w:type="dxa"/>
            <w:tcBorders>
              <w:top w:val="nil"/>
              <w:left w:val="nil"/>
              <w:bottom w:val="single" w:sz="4" w:space="0" w:color="auto"/>
              <w:right w:val="nil"/>
            </w:tcBorders>
            <w:tcMar>
              <w:left w:w="0" w:type="dxa"/>
            </w:tcMar>
          </w:tcPr>
          <w:p w:rsidR="009846F3" w:rsidRDefault="009846F3" w:rsidP="00DB2AA1">
            <w:pPr>
              <w:pStyle w:val="Podtitul"/>
              <w:keepNext/>
            </w:pPr>
            <w:r>
              <w:t>Článek 2: Vysvětlivky zkratek a pojmů</w:t>
            </w:r>
          </w:p>
        </w:tc>
      </w:tr>
    </w:tbl>
    <w:p w:rsidR="00D84CAB" w:rsidRPr="00D84CAB" w:rsidRDefault="00D84CAB">
      <w:pPr>
        <w:rPr>
          <w:sz w:val="4"/>
        </w:rPr>
      </w:pPr>
    </w:p>
    <w:tbl>
      <w:tblPr>
        <w:tblStyle w:val="Mkatabulky"/>
        <w:tblW w:w="10206" w:type="dxa"/>
        <w:tblInd w:w="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215"/>
        <w:gridCol w:w="7991"/>
      </w:tblGrid>
      <w:tr w:rsidR="00D84CAB" w:rsidTr="005A750D">
        <w:tc>
          <w:tcPr>
            <w:tcW w:w="2215" w:type="dxa"/>
            <w:tcMar>
              <w:left w:w="57" w:type="dxa"/>
              <w:right w:w="57" w:type="dxa"/>
            </w:tcMar>
          </w:tcPr>
          <w:p w:rsidR="00D84CAB" w:rsidRDefault="00D84CAB" w:rsidP="005A750D">
            <w:pPr>
              <w:spacing w:before="0"/>
              <w:jc w:val="left"/>
            </w:pPr>
            <w:r>
              <w:t>smlouva</w:t>
            </w:r>
          </w:p>
        </w:tc>
        <w:tc>
          <w:tcPr>
            <w:tcW w:w="7991" w:type="dxa"/>
            <w:tcMar>
              <w:left w:w="57" w:type="dxa"/>
              <w:right w:w="57" w:type="dxa"/>
            </w:tcMar>
          </w:tcPr>
          <w:p w:rsidR="00D84CAB" w:rsidRDefault="00D84CAB" w:rsidP="00DF5811">
            <w:pPr>
              <w:spacing w:before="0"/>
            </w:pPr>
            <w:r>
              <w:t>smlouva o dodávce tepelné energie uzavřená mezi dodavatelem a odběratelem dle §76 odst. 3 energetického zákona, jejímž předmětem je dodávka a odběr tepelné energie za úplatu</w:t>
            </w:r>
          </w:p>
        </w:tc>
      </w:tr>
      <w:tr w:rsidR="00D84CAB" w:rsidTr="005A750D">
        <w:tc>
          <w:tcPr>
            <w:tcW w:w="2215" w:type="dxa"/>
            <w:tcMar>
              <w:left w:w="57" w:type="dxa"/>
              <w:right w:w="57" w:type="dxa"/>
            </w:tcMar>
          </w:tcPr>
          <w:p w:rsidR="00D84CAB" w:rsidRDefault="00D84CAB" w:rsidP="005A750D">
            <w:pPr>
              <w:spacing w:before="0"/>
              <w:jc w:val="left"/>
            </w:pPr>
            <w:r>
              <w:t>obchodní podmínky</w:t>
            </w:r>
          </w:p>
        </w:tc>
        <w:tc>
          <w:tcPr>
            <w:tcW w:w="7991" w:type="dxa"/>
            <w:tcMar>
              <w:left w:w="57" w:type="dxa"/>
              <w:right w:w="57" w:type="dxa"/>
            </w:tcMar>
          </w:tcPr>
          <w:p w:rsidR="00D84CAB" w:rsidRDefault="00D84CAB" w:rsidP="00DF5811">
            <w:pPr>
              <w:spacing w:before="0"/>
            </w:pPr>
            <w:r>
              <w:t>všeobecné obchodní podmínky</w:t>
            </w:r>
          </w:p>
        </w:tc>
      </w:tr>
      <w:tr w:rsidR="00D84CAB" w:rsidTr="005A750D">
        <w:tc>
          <w:tcPr>
            <w:tcW w:w="2215" w:type="dxa"/>
            <w:tcMar>
              <w:left w:w="57" w:type="dxa"/>
              <w:right w:w="57" w:type="dxa"/>
            </w:tcMar>
          </w:tcPr>
          <w:p w:rsidR="00D84CAB" w:rsidRDefault="00D84CAB" w:rsidP="005A750D">
            <w:pPr>
              <w:spacing w:before="0"/>
              <w:jc w:val="left"/>
            </w:pPr>
            <w:r>
              <w:t xml:space="preserve">podmínky připojení </w:t>
            </w:r>
          </w:p>
        </w:tc>
        <w:tc>
          <w:tcPr>
            <w:tcW w:w="7991" w:type="dxa"/>
            <w:tcMar>
              <w:left w:w="57" w:type="dxa"/>
              <w:right w:w="57" w:type="dxa"/>
            </w:tcMar>
          </w:tcPr>
          <w:p w:rsidR="00D84CAB" w:rsidRDefault="00D84CAB" w:rsidP="00DF5811">
            <w:pPr>
              <w:spacing w:before="0"/>
            </w:pPr>
            <w:r>
              <w:t>podmínky připojení k rozvodnému tepelnému zařízení nebo zdroji tepelné energie</w:t>
            </w:r>
          </w:p>
        </w:tc>
      </w:tr>
      <w:tr w:rsidR="00D84CAB" w:rsidTr="005A750D">
        <w:tc>
          <w:tcPr>
            <w:tcW w:w="2215" w:type="dxa"/>
            <w:tcMar>
              <w:left w:w="57" w:type="dxa"/>
              <w:right w:w="57" w:type="dxa"/>
            </w:tcMar>
          </w:tcPr>
          <w:p w:rsidR="00D84CAB" w:rsidRDefault="00D84CAB" w:rsidP="005A750D">
            <w:pPr>
              <w:spacing w:before="0"/>
              <w:jc w:val="left"/>
            </w:pPr>
            <w:r>
              <w:t xml:space="preserve">dodavatel </w:t>
            </w:r>
          </w:p>
        </w:tc>
        <w:tc>
          <w:tcPr>
            <w:tcW w:w="7991" w:type="dxa"/>
            <w:tcMar>
              <w:left w:w="57" w:type="dxa"/>
              <w:right w:w="57" w:type="dxa"/>
            </w:tcMar>
          </w:tcPr>
          <w:p w:rsidR="00D84CAB" w:rsidRDefault="005855DC" w:rsidP="005855DC">
            <w:pPr>
              <w:spacing w:before="0"/>
            </w:pPr>
            <w:r>
              <w:t>fyzická či právnická osoba dodávající tepelnou energii jiné fyzické či právnické osobě; dodavatelem může být výrobce, distributor a rovněž vlastník nebo společenství vlastníků zajišťující tepelnou energii jako plnění poskytované s užíváním bytů či nebytových prostorů nebo k technologickým účelům</w:t>
            </w:r>
          </w:p>
        </w:tc>
      </w:tr>
      <w:tr w:rsidR="00D84CAB" w:rsidTr="005A750D">
        <w:tc>
          <w:tcPr>
            <w:tcW w:w="2215" w:type="dxa"/>
            <w:tcMar>
              <w:left w:w="57" w:type="dxa"/>
              <w:right w:w="57" w:type="dxa"/>
            </w:tcMar>
          </w:tcPr>
          <w:p w:rsidR="00D84CAB" w:rsidRDefault="00D84CAB" w:rsidP="005A750D">
            <w:pPr>
              <w:spacing w:before="0"/>
              <w:jc w:val="left"/>
            </w:pPr>
            <w:r>
              <w:t xml:space="preserve">odběratel </w:t>
            </w:r>
          </w:p>
        </w:tc>
        <w:tc>
          <w:tcPr>
            <w:tcW w:w="7991" w:type="dxa"/>
            <w:tcMar>
              <w:left w:w="57" w:type="dxa"/>
              <w:right w:w="57" w:type="dxa"/>
            </w:tcMar>
          </w:tcPr>
          <w:p w:rsidR="00D84CAB" w:rsidRDefault="00D84CAB" w:rsidP="00DF5811">
            <w:pPr>
              <w:spacing w:before="0"/>
            </w:pPr>
            <w:r>
              <w:t>distributor, vlastník či společenství vlastníků odběrného tepelného zařízení odebírající od dodavatele tepelnou energii</w:t>
            </w:r>
          </w:p>
        </w:tc>
      </w:tr>
      <w:tr w:rsidR="00D84CAB" w:rsidTr="005A750D">
        <w:tc>
          <w:tcPr>
            <w:tcW w:w="2215" w:type="dxa"/>
            <w:tcMar>
              <w:left w:w="57" w:type="dxa"/>
              <w:right w:w="57" w:type="dxa"/>
            </w:tcMar>
          </w:tcPr>
          <w:p w:rsidR="00D84CAB" w:rsidRDefault="00D84CAB" w:rsidP="005A750D">
            <w:pPr>
              <w:spacing w:before="0"/>
              <w:jc w:val="left"/>
            </w:pPr>
            <w:r>
              <w:t>konečný spotřebitel</w:t>
            </w:r>
          </w:p>
        </w:tc>
        <w:tc>
          <w:tcPr>
            <w:tcW w:w="7991" w:type="dxa"/>
            <w:tcMar>
              <w:left w:w="57" w:type="dxa"/>
              <w:right w:w="57" w:type="dxa"/>
            </w:tcMar>
          </w:tcPr>
          <w:p w:rsidR="00D84CAB" w:rsidRDefault="00D84CAB" w:rsidP="00DF5811">
            <w:pPr>
              <w:spacing w:before="0"/>
            </w:pPr>
            <w:r>
              <w:t>fyzická či právnická osoba, která tepelnou energii pouze spotřebovává (např. obyvatelé v bytovém domě)</w:t>
            </w:r>
          </w:p>
        </w:tc>
      </w:tr>
      <w:tr w:rsidR="00D84CAB" w:rsidTr="005A750D">
        <w:tc>
          <w:tcPr>
            <w:tcW w:w="2215" w:type="dxa"/>
            <w:tcMar>
              <w:left w:w="57" w:type="dxa"/>
              <w:right w:w="57" w:type="dxa"/>
            </w:tcMar>
          </w:tcPr>
          <w:p w:rsidR="00D84CAB" w:rsidRDefault="00D84CAB" w:rsidP="005A750D">
            <w:pPr>
              <w:spacing w:before="0"/>
              <w:jc w:val="left"/>
            </w:pPr>
            <w:r>
              <w:t>TE</w:t>
            </w:r>
          </w:p>
        </w:tc>
        <w:tc>
          <w:tcPr>
            <w:tcW w:w="7991" w:type="dxa"/>
            <w:tcMar>
              <w:left w:w="57" w:type="dxa"/>
              <w:right w:w="57" w:type="dxa"/>
            </w:tcMar>
          </w:tcPr>
          <w:p w:rsidR="00D84CAB" w:rsidRDefault="00D84CAB" w:rsidP="00DF5811">
            <w:pPr>
              <w:spacing w:before="0"/>
            </w:pPr>
            <w:r>
              <w:t>tepelná energie případně energie chladu</w:t>
            </w:r>
          </w:p>
        </w:tc>
      </w:tr>
      <w:tr w:rsidR="00D84CAB" w:rsidTr="005A750D">
        <w:tc>
          <w:tcPr>
            <w:tcW w:w="2215" w:type="dxa"/>
            <w:tcMar>
              <w:left w:w="57" w:type="dxa"/>
              <w:right w:w="57" w:type="dxa"/>
            </w:tcMar>
          </w:tcPr>
          <w:p w:rsidR="00D84CAB" w:rsidRDefault="00D84CAB" w:rsidP="005A750D">
            <w:pPr>
              <w:spacing w:before="0"/>
              <w:jc w:val="left"/>
            </w:pPr>
            <w:r>
              <w:t>ÚT</w:t>
            </w:r>
          </w:p>
        </w:tc>
        <w:tc>
          <w:tcPr>
            <w:tcW w:w="7991" w:type="dxa"/>
            <w:tcMar>
              <w:left w:w="57" w:type="dxa"/>
              <w:right w:w="57" w:type="dxa"/>
            </w:tcMar>
          </w:tcPr>
          <w:p w:rsidR="00D84CAB" w:rsidRDefault="00D84CAB" w:rsidP="00DF5811">
            <w:pPr>
              <w:spacing w:before="0"/>
            </w:pPr>
            <w:r>
              <w:t>ústřední vytápění</w:t>
            </w:r>
          </w:p>
        </w:tc>
      </w:tr>
      <w:tr w:rsidR="00D84CAB" w:rsidTr="005A750D">
        <w:tc>
          <w:tcPr>
            <w:tcW w:w="2215" w:type="dxa"/>
            <w:tcMar>
              <w:left w:w="57" w:type="dxa"/>
              <w:right w:w="57" w:type="dxa"/>
            </w:tcMar>
          </w:tcPr>
          <w:p w:rsidR="00D84CAB" w:rsidRDefault="00D84CAB" w:rsidP="005A750D">
            <w:pPr>
              <w:spacing w:before="0"/>
              <w:jc w:val="left"/>
            </w:pPr>
            <w:r>
              <w:t>TV</w:t>
            </w:r>
          </w:p>
        </w:tc>
        <w:tc>
          <w:tcPr>
            <w:tcW w:w="7991" w:type="dxa"/>
            <w:tcMar>
              <w:left w:w="57" w:type="dxa"/>
              <w:right w:w="57" w:type="dxa"/>
            </w:tcMar>
          </w:tcPr>
          <w:p w:rsidR="00D84CAB" w:rsidRDefault="00D84CAB" w:rsidP="00162C68">
            <w:pPr>
              <w:spacing w:before="0"/>
            </w:pPr>
            <w:r>
              <w:t>teplá voda (někdy též označována jako teplá užitková voda, TUV)</w:t>
            </w:r>
          </w:p>
        </w:tc>
      </w:tr>
      <w:tr w:rsidR="00D84CAB" w:rsidTr="005A750D">
        <w:tc>
          <w:tcPr>
            <w:tcW w:w="2215" w:type="dxa"/>
            <w:tcMar>
              <w:left w:w="57" w:type="dxa"/>
              <w:right w:w="57" w:type="dxa"/>
            </w:tcMar>
          </w:tcPr>
          <w:p w:rsidR="00D84CAB" w:rsidRDefault="00D84CAB" w:rsidP="005A750D">
            <w:pPr>
              <w:spacing w:before="0"/>
              <w:jc w:val="left"/>
            </w:pPr>
            <w:r>
              <w:t>SV nebo SV v TV</w:t>
            </w:r>
          </w:p>
        </w:tc>
        <w:tc>
          <w:tcPr>
            <w:tcW w:w="7991" w:type="dxa"/>
            <w:tcMar>
              <w:left w:w="57" w:type="dxa"/>
              <w:right w:w="57" w:type="dxa"/>
            </w:tcMar>
          </w:tcPr>
          <w:p w:rsidR="00D84CAB" w:rsidRDefault="00D84CAB" w:rsidP="00DF5811">
            <w:pPr>
              <w:spacing w:before="0"/>
            </w:pPr>
            <w:r>
              <w:t>studená voda pro ohřev teplé vody</w:t>
            </w:r>
          </w:p>
        </w:tc>
      </w:tr>
      <w:tr w:rsidR="00D84CAB" w:rsidTr="005A750D">
        <w:tc>
          <w:tcPr>
            <w:tcW w:w="2215" w:type="dxa"/>
            <w:tcMar>
              <w:left w:w="57" w:type="dxa"/>
              <w:right w:w="57" w:type="dxa"/>
            </w:tcMar>
          </w:tcPr>
          <w:p w:rsidR="00D84CAB" w:rsidRDefault="00D84CAB" w:rsidP="005A750D">
            <w:pPr>
              <w:spacing w:before="0"/>
              <w:jc w:val="left"/>
            </w:pPr>
            <w:r>
              <w:t>odběrné místo (OM)</w:t>
            </w:r>
          </w:p>
        </w:tc>
        <w:tc>
          <w:tcPr>
            <w:tcW w:w="7991" w:type="dxa"/>
            <w:tcMar>
              <w:left w:w="57" w:type="dxa"/>
              <w:right w:w="57" w:type="dxa"/>
            </w:tcMar>
          </w:tcPr>
          <w:p w:rsidR="00D84CAB" w:rsidRDefault="00D84CAB" w:rsidP="00896558">
            <w:pPr>
              <w:spacing w:before="0"/>
            </w:pPr>
            <w:r>
              <w:t>místo plnění stanovené ve smlouvě, v němž přechází tepelná energie z vlastnictví dodavatele do vlastnictví odběratele; každé odběrné místo má ve smlouvě přidělené unikátní číslo</w:t>
            </w:r>
          </w:p>
        </w:tc>
      </w:tr>
      <w:tr w:rsidR="00D84CAB" w:rsidTr="005A750D">
        <w:tc>
          <w:tcPr>
            <w:tcW w:w="2215" w:type="dxa"/>
            <w:tcMar>
              <w:left w:w="57" w:type="dxa"/>
              <w:right w:w="57" w:type="dxa"/>
            </w:tcMar>
          </w:tcPr>
          <w:p w:rsidR="00D84CAB" w:rsidRDefault="00D84CAB" w:rsidP="005A750D">
            <w:pPr>
              <w:spacing w:before="0"/>
              <w:jc w:val="left"/>
            </w:pPr>
            <w:r>
              <w:t>dodávka TE</w:t>
            </w:r>
          </w:p>
        </w:tc>
        <w:tc>
          <w:tcPr>
            <w:tcW w:w="7991" w:type="dxa"/>
            <w:tcMar>
              <w:left w:w="57" w:type="dxa"/>
              <w:right w:w="57" w:type="dxa"/>
            </w:tcMar>
          </w:tcPr>
          <w:p w:rsidR="00D84CAB" w:rsidRDefault="00D84CAB" w:rsidP="00941634">
            <w:pPr>
              <w:spacing w:before="0"/>
            </w:pPr>
            <w:r>
              <w:t>dodávka tepelné energie nebo chladu k dalšímu využití fyzickou nebo právnickou osobou vč. dodávky teplonosné látky SV v TV</w:t>
            </w:r>
          </w:p>
        </w:tc>
      </w:tr>
      <w:tr w:rsidR="00D84CAB" w:rsidTr="005A750D">
        <w:tc>
          <w:tcPr>
            <w:tcW w:w="2215" w:type="dxa"/>
            <w:tcMar>
              <w:left w:w="57" w:type="dxa"/>
              <w:right w:w="57" w:type="dxa"/>
            </w:tcMar>
          </w:tcPr>
          <w:p w:rsidR="00D84CAB" w:rsidRDefault="00D84CAB" w:rsidP="005A750D">
            <w:pPr>
              <w:spacing w:before="0"/>
              <w:jc w:val="left"/>
            </w:pPr>
            <w:r>
              <w:t>měřící místo</w:t>
            </w:r>
          </w:p>
        </w:tc>
        <w:tc>
          <w:tcPr>
            <w:tcW w:w="7991" w:type="dxa"/>
            <w:tcMar>
              <w:left w:w="57" w:type="dxa"/>
              <w:right w:w="57" w:type="dxa"/>
            </w:tcMar>
          </w:tcPr>
          <w:p w:rsidR="00D84CAB" w:rsidRDefault="00D84CAB" w:rsidP="00DF5811">
            <w:pPr>
              <w:spacing w:before="0"/>
            </w:pPr>
            <w:r>
              <w:t>místo měření dodávek ÚT, TV, TE a SV v TV</w:t>
            </w:r>
          </w:p>
        </w:tc>
      </w:tr>
      <w:tr w:rsidR="00D84CAB" w:rsidTr="005A750D">
        <w:tc>
          <w:tcPr>
            <w:tcW w:w="2215" w:type="dxa"/>
            <w:tcMar>
              <w:left w:w="57" w:type="dxa"/>
              <w:right w:w="57" w:type="dxa"/>
            </w:tcMar>
          </w:tcPr>
          <w:p w:rsidR="00D84CAB" w:rsidRDefault="00D84CAB" w:rsidP="005A750D">
            <w:pPr>
              <w:spacing w:before="0"/>
              <w:jc w:val="left"/>
            </w:pPr>
            <w:r>
              <w:t>odběrné tepelné zařízení</w:t>
            </w:r>
          </w:p>
        </w:tc>
        <w:tc>
          <w:tcPr>
            <w:tcW w:w="7991" w:type="dxa"/>
            <w:tcMar>
              <w:left w:w="57" w:type="dxa"/>
              <w:right w:w="57" w:type="dxa"/>
            </w:tcMar>
          </w:tcPr>
          <w:p w:rsidR="00D84CAB" w:rsidRDefault="00D84CAB" w:rsidP="00DF5811">
            <w:pPr>
              <w:spacing w:before="0"/>
            </w:pPr>
            <w:r>
              <w:t>zařízení v majetku odběratele připojené na zdroj či rozvod tepelné energie určené pro vnitřní rozvod nebo spotřebu tepelné energie v objektu</w:t>
            </w:r>
          </w:p>
        </w:tc>
      </w:tr>
      <w:tr w:rsidR="00D84CAB" w:rsidTr="005A750D">
        <w:tc>
          <w:tcPr>
            <w:tcW w:w="2215" w:type="dxa"/>
            <w:tcMar>
              <w:left w:w="57" w:type="dxa"/>
              <w:right w:w="57" w:type="dxa"/>
            </w:tcMar>
          </w:tcPr>
          <w:p w:rsidR="00D84CAB" w:rsidRDefault="00D84CAB" w:rsidP="005A750D">
            <w:pPr>
              <w:spacing w:before="0"/>
              <w:jc w:val="left"/>
            </w:pPr>
            <w:r>
              <w:t>rozvodné tepelné zařízení</w:t>
            </w:r>
          </w:p>
        </w:tc>
        <w:tc>
          <w:tcPr>
            <w:tcW w:w="7991" w:type="dxa"/>
            <w:tcMar>
              <w:left w:w="57" w:type="dxa"/>
              <w:right w:w="57" w:type="dxa"/>
            </w:tcMar>
          </w:tcPr>
          <w:p w:rsidR="00D84CAB" w:rsidRDefault="00D84CAB" w:rsidP="00DF5811">
            <w:pPr>
              <w:spacing w:before="0"/>
            </w:pPr>
            <w:r>
              <w:t>zařízení pro dopravu tepelné energie tvořené tepelnými sítěmi, předávacími stanicemi a domovními předávacími stanicemi; odběrné tepelné zařízení není součástí rozvodného tepelného zařízení</w:t>
            </w:r>
          </w:p>
        </w:tc>
      </w:tr>
      <w:tr w:rsidR="00D84CAB" w:rsidTr="005A750D">
        <w:tc>
          <w:tcPr>
            <w:tcW w:w="2215" w:type="dxa"/>
            <w:tcMar>
              <w:left w:w="57" w:type="dxa"/>
              <w:right w:w="57" w:type="dxa"/>
            </w:tcMar>
          </w:tcPr>
          <w:p w:rsidR="00D84CAB" w:rsidRDefault="00D84CAB" w:rsidP="005A750D">
            <w:pPr>
              <w:spacing w:before="0"/>
              <w:jc w:val="left"/>
            </w:pPr>
            <w:r>
              <w:t>tepelná přípojka</w:t>
            </w:r>
          </w:p>
        </w:tc>
        <w:tc>
          <w:tcPr>
            <w:tcW w:w="7991" w:type="dxa"/>
            <w:tcMar>
              <w:left w:w="57" w:type="dxa"/>
              <w:right w:w="57" w:type="dxa"/>
            </w:tcMar>
          </w:tcPr>
          <w:p w:rsidR="00D84CAB" w:rsidRDefault="00D84CAB" w:rsidP="00BE17A6">
            <w:pPr>
              <w:spacing w:before="0"/>
            </w:pPr>
            <w:r>
              <w:t>t</w:t>
            </w:r>
            <w:r w:rsidRPr="00BE17A6">
              <w:t>epelná přípojka je zařízení, které vede teplonosnou látku</w:t>
            </w:r>
            <w:r>
              <w:t>, začíná na zdroji tepelné energie nebo odbočením od rozvodného tepelného zařízení a končí vstupem do odběrného tepelného zařízení</w:t>
            </w:r>
          </w:p>
        </w:tc>
      </w:tr>
      <w:tr w:rsidR="00D84CAB" w:rsidTr="005A750D">
        <w:tc>
          <w:tcPr>
            <w:tcW w:w="2215" w:type="dxa"/>
            <w:tcMar>
              <w:left w:w="57" w:type="dxa"/>
              <w:right w:w="57" w:type="dxa"/>
            </w:tcMar>
          </w:tcPr>
          <w:p w:rsidR="00D84CAB" w:rsidRDefault="00D84CAB" w:rsidP="005A750D">
            <w:pPr>
              <w:spacing w:before="0"/>
              <w:jc w:val="left"/>
            </w:pPr>
            <w:r>
              <w:t>tepelné sítě</w:t>
            </w:r>
          </w:p>
        </w:tc>
        <w:tc>
          <w:tcPr>
            <w:tcW w:w="7991" w:type="dxa"/>
            <w:tcMar>
              <w:left w:w="57" w:type="dxa"/>
              <w:right w:w="57" w:type="dxa"/>
            </w:tcMar>
          </w:tcPr>
          <w:p w:rsidR="00D84CAB" w:rsidRDefault="00D84CAB" w:rsidP="00DF5811">
            <w:pPr>
              <w:spacing w:before="0"/>
            </w:pPr>
            <w:r>
              <w:t>soustava zařízení sloužících pro dopravu tepelné energie nebo i k propojení zdrojů mezi sebou</w:t>
            </w:r>
          </w:p>
        </w:tc>
      </w:tr>
      <w:tr w:rsidR="00D84CAB" w:rsidTr="005A750D">
        <w:tc>
          <w:tcPr>
            <w:tcW w:w="2215" w:type="dxa"/>
            <w:tcMar>
              <w:left w:w="57" w:type="dxa"/>
              <w:right w:w="57" w:type="dxa"/>
            </w:tcMar>
          </w:tcPr>
          <w:p w:rsidR="00D84CAB" w:rsidRDefault="00D84CAB" w:rsidP="005A750D">
            <w:pPr>
              <w:spacing w:before="0"/>
              <w:jc w:val="left"/>
            </w:pPr>
            <w:r>
              <w:t>objekt</w:t>
            </w:r>
          </w:p>
        </w:tc>
        <w:tc>
          <w:tcPr>
            <w:tcW w:w="7991" w:type="dxa"/>
            <w:tcMar>
              <w:left w:w="57" w:type="dxa"/>
              <w:right w:w="57" w:type="dxa"/>
            </w:tcMar>
          </w:tcPr>
          <w:p w:rsidR="00D84CAB" w:rsidRDefault="00D84CAB" w:rsidP="00DF5811">
            <w:pPr>
              <w:spacing w:before="0"/>
            </w:pPr>
            <w:r>
              <w:t>ucelené stavební dílo technicky propojené jedním společným odběrným tepelným zařízením</w:t>
            </w:r>
          </w:p>
        </w:tc>
      </w:tr>
      <w:tr w:rsidR="00D84CAB" w:rsidTr="005A750D">
        <w:tc>
          <w:tcPr>
            <w:tcW w:w="2215" w:type="dxa"/>
            <w:tcMar>
              <w:left w:w="57" w:type="dxa"/>
              <w:right w:w="57" w:type="dxa"/>
            </w:tcMar>
          </w:tcPr>
          <w:p w:rsidR="00D84CAB" w:rsidRDefault="00D84CAB" w:rsidP="005A750D">
            <w:pPr>
              <w:spacing w:before="0"/>
              <w:jc w:val="left"/>
            </w:pPr>
            <w:r>
              <w:t>PS (VS, EC)</w:t>
            </w:r>
          </w:p>
        </w:tc>
        <w:tc>
          <w:tcPr>
            <w:tcW w:w="7991" w:type="dxa"/>
            <w:tcMar>
              <w:left w:w="57" w:type="dxa"/>
              <w:right w:w="57" w:type="dxa"/>
            </w:tcMar>
          </w:tcPr>
          <w:p w:rsidR="00D84CAB" w:rsidRDefault="00D84CAB" w:rsidP="00DF5811">
            <w:pPr>
              <w:spacing w:before="0"/>
            </w:pPr>
            <w:r>
              <w:t>předávací stanice (někdy též označována jako „výměníková stanice“ nebo „energocentrum“), kde dochází ke změně parametrů tepelné energie a řízení této změny</w:t>
            </w:r>
          </w:p>
        </w:tc>
      </w:tr>
      <w:tr w:rsidR="00D84CAB" w:rsidTr="005A750D">
        <w:tc>
          <w:tcPr>
            <w:tcW w:w="2215" w:type="dxa"/>
            <w:tcMar>
              <w:left w:w="57" w:type="dxa"/>
              <w:right w:w="57" w:type="dxa"/>
            </w:tcMar>
          </w:tcPr>
          <w:p w:rsidR="00D84CAB" w:rsidRDefault="00D84CAB" w:rsidP="005A750D">
            <w:pPr>
              <w:spacing w:before="0"/>
              <w:jc w:val="left"/>
            </w:pPr>
            <w:r>
              <w:t>domovní předávací stanice</w:t>
            </w:r>
          </w:p>
        </w:tc>
        <w:tc>
          <w:tcPr>
            <w:tcW w:w="7991" w:type="dxa"/>
            <w:tcMar>
              <w:left w:w="57" w:type="dxa"/>
              <w:right w:w="57" w:type="dxa"/>
            </w:tcMar>
          </w:tcPr>
          <w:p w:rsidR="00D84CAB" w:rsidRDefault="00D84CAB" w:rsidP="00DF5811">
            <w:pPr>
              <w:spacing w:before="0"/>
            </w:pPr>
            <w:r>
              <w:t>předávací stanice pro jeden objekt (někdy též označována jako OPS, DVS, KPS)</w:t>
            </w:r>
          </w:p>
        </w:tc>
      </w:tr>
      <w:tr w:rsidR="00D84CAB" w:rsidTr="005A750D">
        <w:tc>
          <w:tcPr>
            <w:tcW w:w="2215" w:type="dxa"/>
            <w:tcMar>
              <w:left w:w="57" w:type="dxa"/>
              <w:right w:w="57" w:type="dxa"/>
            </w:tcMar>
          </w:tcPr>
          <w:p w:rsidR="00D84CAB" w:rsidRDefault="00D84CAB" w:rsidP="005A750D">
            <w:pPr>
              <w:spacing w:before="0"/>
              <w:jc w:val="left"/>
            </w:pPr>
            <w:r>
              <w:t>primár</w:t>
            </w:r>
          </w:p>
        </w:tc>
        <w:tc>
          <w:tcPr>
            <w:tcW w:w="7991" w:type="dxa"/>
            <w:tcMar>
              <w:left w:w="57" w:type="dxa"/>
              <w:right w:w="57" w:type="dxa"/>
            </w:tcMar>
          </w:tcPr>
          <w:p w:rsidR="00D84CAB" w:rsidRDefault="005855DC" w:rsidP="00DF5811">
            <w:pPr>
              <w:spacing w:before="0"/>
            </w:pPr>
            <w:r>
              <w:t>primární okruh soustavy centralizovaného zásobování teplem mezi zdrojem a předávací stanicí</w:t>
            </w:r>
          </w:p>
        </w:tc>
      </w:tr>
      <w:tr w:rsidR="00D84CAB" w:rsidTr="005A750D">
        <w:tc>
          <w:tcPr>
            <w:tcW w:w="2215" w:type="dxa"/>
            <w:tcMar>
              <w:left w:w="57" w:type="dxa"/>
              <w:right w:w="57" w:type="dxa"/>
            </w:tcMar>
          </w:tcPr>
          <w:p w:rsidR="00D84CAB" w:rsidRDefault="00D84CAB" w:rsidP="005A750D">
            <w:pPr>
              <w:spacing w:before="0"/>
              <w:jc w:val="left"/>
            </w:pPr>
            <w:r>
              <w:t>sekundár</w:t>
            </w:r>
          </w:p>
        </w:tc>
        <w:tc>
          <w:tcPr>
            <w:tcW w:w="7991" w:type="dxa"/>
            <w:tcMar>
              <w:left w:w="57" w:type="dxa"/>
              <w:right w:w="57" w:type="dxa"/>
            </w:tcMar>
          </w:tcPr>
          <w:p w:rsidR="00D84CAB" w:rsidRDefault="005855DC" w:rsidP="00DF5811">
            <w:pPr>
              <w:spacing w:before="0"/>
            </w:pPr>
            <w:r>
              <w:t>sekundární okruh soustavy centralizovaného zásobování teplem od předávací stanice k jednotlivým místům spotřeby tepelné energie</w:t>
            </w:r>
          </w:p>
        </w:tc>
      </w:tr>
      <w:tr w:rsidR="00D84CAB" w:rsidTr="005A750D">
        <w:tc>
          <w:tcPr>
            <w:tcW w:w="2215" w:type="dxa"/>
            <w:tcMar>
              <w:left w:w="57" w:type="dxa"/>
              <w:right w:w="57" w:type="dxa"/>
            </w:tcMar>
          </w:tcPr>
          <w:p w:rsidR="00D84CAB" w:rsidRDefault="005A750D" w:rsidP="005A750D">
            <w:pPr>
              <w:spacing w:before="0"/>
              <w:jc w:val="left"/>
            </w:pPr>
            <w:r>
              <w:t>havarijní služba/dispečink</w:t>
            </w:r>
          </w:p>
        </w:tc>
        <w:tc>
          <w:tcPr>
            <w:tcW w:w="7991" w:type="dxa"/>
            <w:tcMar>
              <w:left w:w="57" w:type="dxa"/>
              <w:right w:w="57" w:type="dxa"/>
            </w:tcMar>
          </w:tcPr>
          <w:p w:rsidR="00D84CAB" w:rsidRDefault="005A750D" w:rsidP="005A750D">
            <w:pPr>
              <w:spacing w:before="0"/>
            </w:pPr>
            <w:r>
              <w:t>nepřetržitá centrální služba řídící a monitorující</w:t>
            </w:r>
            <w:r w:rsidR="00D84CAB" w:rsidRPr="006E60C2">
              <w:t xml:space="preserve"> </w:t>
            </w:r>
            <w:r w:rsidR="00D84CAB">
              <w:t>rozvodné tepelné zařízení</w:t>
            </w:r>
          </w:p>
        </w:tc>
      </w:tr>
      <w:tr w:rsidR="001F43FD" w:rsidTr="005A750D">
        <w:tc>
          <w:tcPr>
            <w:tcW w:w="2215" w:type="dxa"/>
            <w:tcMar>
              <w:left w:w="57" w:type="dxa"/>
              <w:right w:w="57" w:type="dxa"/>
            </w:tcMar>
          </w:tcPr>
          <w:p w:rsidR="001F43FD" w:rsidRDefault="001F43FD" w:rsidP="005A750D">
            <w:pPr>
              <w:spacing w:before="0"/>
              <w:jc w:val="left"/>
            </w:pPr>
            <w:r>
              <w:t>rezervovaná kapacita</w:t>
            </w:r>
          </w:p>
        </w:tc>
        <w:tc>
          <w:tcPr>
            <w:tcW w:w="7991" w:type="dxa"/>
            <w:tcMar>
              <w:left w:w="57" w:type="dxa"/>
              <w:right w:w="57" w:type="dxa"/>
            </w:tcMar>
          </w:tcPr>
          <w:p w:rsidR="001F43FD" w:rsidRDefault="00494EB2" w:rsidP="00494EB2">
            <w:pPr>
              <w:spacing w:before="0"/>
            </w:pPr>
            <w:r>
              <w:t xml:space="preserve">smluvní hodnota </w:t>
            </w:r>
            <w:r w:rsidR="001F43FD">
              <w:t>¼ hodinové výkonové</w:t>
            </w:r>
            <w:r>
              <w:t>ho</w:t>
            </w:r>
            <w:r w:rsidR="001F43FD">
              <w:t xml:space="preserve"> maxim</w:t>
            </w:r>
            <w:r>
              <w:t>a</w:t>
            </w:r>
            <w:r w:rsidR="001F43FD">
              <w:t xml:space="preserve">, </w:t>
            </w:r>
            <w:r w:rsidR="001F43FD" w:rsidRPr="001F43FD">
              <w:t>kter</w:t>
            </w:r>
            <w:r>
              <w:t>á</w:t>
            </w:r>
            <w:r w:rsidR="001F43FD" w:rsidRPr="001F43FD">
              <w:t xml:space="preserve"> představuje dlouhodobou výkonovou potřebu pro zajištění stabilní tepelné pohody daného odběrného místa</w:t>
            </w:r>
          </w:p>
        </w:tc>
      </w:tr>
    </w:tbl>
    <w:p w:rsidR="00D84CAB" w:rsidRPr="005A750D" w:rsidRDefault="00D84CAB">
      <w:pPr>
        <w:rPr>
          <w:sz w:val="6"/>
        </w:rPr>
      </w:pPr>
    </w:p>
    <w:tbl>
      <w:tblPr>
        <w:tblStyle w:val="Mkatabulky"/>
        <w:tblW w:w="10206" w:type="dxa"/>
        <w:tblLayout w:type="fixed"/>
        <w:tblCellMar>
          <w:left w:w="0" w:type="dxa"/>
          <w:right w:w="0" w:type="dxa"/>
        </w:tblCellMar>
        <w:tblLook w:val="04A0" w:firstRow="1" w:lastRow="0" w:firstColumn="1" w:lastColumn="0" w:noHBand="0" w:noVBand="1"/>
      </w:tblPr>
      <w:tblGrid>
        <w:gridCol w:w="709"/>
        <w:gridCol w:w="1418"/>
        <w:gridCol w:w="425"/>
        <w:gridCol w:w="7654"/>
      </w:tblGrid>
      <w:tr w:rsidR="00254298" w:rsidTr="00D84CAB">
        <w:trPr>
          <w:trHeight w:val="314"/>
        </w:trPr>
        <w:tc>
          <w:tcPr>
            <w:tcW w:w="10206" w:type="dxa"/>
            <w:gridSpan w:val="4"/>
            <w:tcBorders>
              <w:top w:val="nil"/>
              <w:left w:val="nil"/>
              <w:bottom w:val="single" w:sz="4" w:space="0" w:color="auto"/>
              <w:right w:val="nil"/>
            </w:tcBorders>
            <w:tcMar>
              <w:left w:w="0" w:type="dxa"/>
            </w:tcMar>
          </w:tcPr>
          <w:p w:rsidR="00254298" w:rsidRDefault="00254298" w:rsidP="00DB2AA1">
            <w:pPr>
              <w:pStyle w:val="Podtitul"/>
              <w:keepNext/>
            </w:pPr>
            <w:r>
              <w:lastRenderedPageBreak/>
              <w:t xml:space="preserve">Článek </w:t>
            </w:r>
            <w:r w:rsidR="003907FE">
              <w:t>3</w:t>
            </w:r>
            <w:r>
              <w:t xml:space="preserve">: </w:t>
            </w:r>
            <w:r w:rsidR="00D51A5A">
              <w:t>Forma dodávek tepelné energie (komodity)</w:t>
            </w:r>
          </w:p>
        </w:tc>
      </w:tr>
      <w:tr w:rsidR="00121934" w:rsidTr="00D04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82195F" w:rsidRDefault="0082195F" w:rsidP="00121934">
            <w:pPr>
              <w:spacing w:before="0"/>
              <w:jc w:val="center"/>
              <w:rPr>
                <w:noProof/>
                <w:lang w:eastAsia="cs-CZ"/>
              </w:rPr>
            </w:pPr>
            <w:r>
              <w:rPr>
                <w:noProof/>
                <w:lang w:eastAsia="cs-CZ"/>
              </w:rPr>
              <w:t>Úroveň</w:t>
            </w:r>
          </w:p>
          <w:p w:rsidR="0082195F" w:rsidRDefault="003A3FE4" w:rsidP="00121934">
            <w:pPr>
              <w:spacing w:before="0"/>
              <w:jc w:val="center"/>
              <w:rPr>
                <w:noProof/>
                <w:lang w:eastAsia="cs-CZ"/>
              </w:rPr>
            </w:pPr>
            <w:r>
              <w:rPr>
                <w:noProof/>
                <w:lang w:eastAsia="cs-CZ"/>
              </w:rPr>
              <w:t>předání</w:t>
            </w:r>
          </w:p>
        </w:tc>
        <w:tc>
          <w:tcPr>
            <w:tcW w:w="141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Mar>
              <w:left w:w="57" w:type="dxa"/>
              <w:right w:w="57" w:type="dxa"/>
            </w:tcMar>
            <w:vAlign w:val="center"/>
          </w:tcPr>
          <w:p w:rsidR="0082195F" w:rsidRDefault="003A3FE4" w:rsidP="00121934">
            <w:pPr>
              <w:jc w:val="center"/>
            </w:pPr>
            <w:r>
              <w:t>Komodita</w:t>
            </w:r>
          </w:p>
        </w:tc>
        <w:tc>
          <w:tcPr>
            <w:tcW w:w="42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Mar>
              <w:left w:w="57" w:type="dxa"/>
              <w:right w:w="57" w:type="dxa"/>
            </w:tcMar>
            <w:vAlign w:val="center"/>
          </w:tcPr>
          <w:p w:rsidR="0082195F" w:rsidRDefault="00121934" w:rsidP="005A6FB3">
            <w:pPr>
              <w:jc w:val="center"/>
            </w:pPr>
            <w:r>
              <w:t>Kód</w:t>
            </w:r>
          </w:p>
        </w:tc>
        <w:tc>
          <w:tcPr>
            <w:tcW w:w="7654" w:type="dxa"/>
            <w:tcBorders>
              <w:top w:val="dotted" w:sz="4" w:space="0" w:color="auto"/>
              <w:left w:val="dotted" w:sz="4" w:space="0" w:color="auto"/>
              <w:bottom w:val="dotted" w:sz="4" w:space="0" w:color="auto"/>
              <w:right w:val="dotted" w:sz="4" w:space="0" w:color="auto"/>
            </w:tcBorders>
            <w:shd w:val="clear" w:color="auto" w:fill="D9D9D9" w:themeFill="background1" w:themeFillShade="D9"/>
            <w:tcMar>
              <w:left w:w="57" w:type="dxa"/>
              <w:right w:w="57" w:type="dxa"/>
            </w:tcMar>
            <w:vAlign w:val="center"/>
          </w:tcPr>
          <w:p w:rsidR="005A6FB3" w:rsidRDefault="005A6FB3" w:rsidP="005A6FB3">
            <w:pPr>
              <w:jc w:val="left"/>
            </w:pPr>
            <w:r>
              <w:t xml:space="preserve">     Specifikace - popis</w:t>
            </w:r>
          </w:p>
        </w:tc>
      </w:tr>
      <w:tr w:rsidR="00121934" w:rsidTr="00D04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val="restart"/>
            <w:tcBorders>
              <w:top w:val="dotted" w:sz="4" w:space="0" w:color="auto"/>
              <w:left w:val="dotted" w:sz="4" w:space="0" w:color="auto"/>
              <w:bottom w:val="dotted" w:sz="4" w:space="0" w:color="auto"/>
              <w:right w:val="dotted" w:sz="4" w:space="0" w:color="auto"/>
            </w:tcBorders>
            <w:shd w:val="clear" w:color="auto" w:fill="EEECE1" w:themeFill="background2"/>
            <w:vAlign w:val="center"/>
          </w:tcPr>
          <w:p w:rsidR="00D51A5A" w:rsidRDefault="008F0064" w:rsidP="00D043AF">
            <w:pPr>
              <w:spacing w:before="0"/>
              <w:jc w:val="center"/>
              <w:rPr>
                <w:noProof/>
                <w:lang w:eastAsia="cs-CZ"/>
              </w:rPr>
            </w:pPr>
            <w:r>
              <w:rPr>
                <w:noProof/>
                <w:lang w:eastAsia="cs-CZ"/>
              </w:rPr>
              <w:t>P</w:t>
            </w:r>
            <w:r w:rsidR="00160EF7">
              <w:rPr>
                <w:noProof/>
                <w:lang w:eastAsia="cs-CZ"/>
              </w:rPr>
              <w:t>rimár</w:t>
            </w:r>
          </w:p>
        </w:tc>
        <w:tc>
          <w:tcPr>
            <w:tcW w:w="1418" w:type="dxa"/>
            <w:tcBorders>
              <w:top w:val="dotted" w:sz="4" w:space="0" w:color="auto"/>
              <w:left w:val="dotted" w:sz="4" w:space="0" w:color="auto"/>
              <w:bottom w:val="dotted" w:sz="4" w:space="0" w:color="auto"/>
              <w:right w:val="dotted" w:sz="4" w:space="0" w:color="auto"/>
            </w:tcBorders>
            <w:tcMar>
              <w:left w:w="57" w:type="dxa"/>
              <w:right w:w="57" w:type="dxa"/>
            </w:tcMar>
          </w:tcPr>
          <w:p w:rsidR="00D51A5A" w:rsidRDefault="008F0064" w:rsidP="00F478EB">
            <w:pPr>
              <w:spacing w:before="0"/>
            </w:pPr>
            <w:r>
              <w:t>Tepelná energie</w:t>
            </w: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tcPr>
          <w:p w:rsidR="00D51A5A" w:rsidRDefault="00AC6AD6" w:rsidP="00F478EB">
            <w:pPr>
              <w:spacing w:before="0"/>
              <w:jc w:val="center"/>
            </w:pPr>
            <w:r>
              <w:t>TE</w:t>
            </w:r>
          </w:p>
        </w:tc>
        <w:tc>
          <w:tcPr>
            <w:tcW w:w="7654" w:type="dxa"/>
            <w:tcBorders>
              <w:top w:val="dotted" w:sz="4" w:space="0" w:color="auto"/>
              <w:left w:val="dotted" w:sz="4" w:space="0" w:color="auto"/>
              <w:bottom w:val="dotted" w:sz="4" w:space="0" w:color="auto"/>
              <w:right w:val="dotted" w:sz="4" w:space="0" w:color="auto"/>
            </w:tcBorders>
            <w:tcMar>
              <w:left w:w="57" w:type="dxa"/>
              <w:right w:w="57" w:type="dxa"/>
            </w:tcMar>
          </w:tcPr>
          <w:p w:rsidR="00D51A5A" w:rsidRDefault="008F0064" w:rsidP="00F478EB">
            <w:pPr>
              <w:spacing w:before="0"/>
            </w:pPr>
            <w:r>
              <w:t xml:space="preserve">Dodávka </w:t>
            </w:r>
            <w:r w:rsidR="00D51A5A">
              <w:t>tepelné energie ve formě horké vody určenou pro vytápění, ohřev teplé vody, klimatizaci či technologický odběr</w:t>
            </w:r>
          </w:p>
        </w:tc>
      </w:tr>
      <w:tr w:rsidR="00121934" w:rsidTr="00D04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9" w:type="dxa"/>
            <w:vMerge/>
            <w:tcBorders>
              <w:top w:val="dotted" w:sz="4" w:space="0" w:color="auto"/>
              <w:left w:val="dotted" w:sz="4" w:space="0" w:color="auto"/>
              <w:bottom w:val="dotted" w:sz="4" w:space="0" w:color="auto"/>
              <w:right w:val="dotted" w:sz="4" w:space="0" w:color="auto"/>
            </w:tcBorders>
            <w:shd w:val="clear" w:color="auto" w:fill="EEECE1" w:themeFill="background2"/>
            <w:vAlign w:val="center"/>
          </w:tcPr>
          <w:p w:rsidR="00D51A5A" w:rsidRDefault="00D51A5A" w:rsidP="00D043AF">
            <w:pPr>
              <w:spacing w:before="0"/>
              <w:jc w:val="center"/>
              <w:rPr>
                <w:noProof/>
                <w:lang w:eastAsia="cs-CZ"/>
              </w:rPr>
            </w:pPr>
          </w:p>
        </w:tc>
        <w:tc>
          <w:tcPr>
            <w:tcW w:w="1418" w:type="dxa"/>
            <w:tcBorders>
              <w:top w:val="dotted" w:sz="4" w:space="0" w:color="auto"/>
              <w:left w:val="dotted" w:sz="4" w:space="0" w:color="auto"/>
              <w:bottom w:val="dotted" w:sz="4" w:space="0" w:color="auto"/>
              <w:right w:val="dotted" w:sz="4" w:space="0" w:color="auto"/>
            </w:tcBorders>
            <w:tcMar>
              <w:left w:w="57" w:type="dxa"/>
              <w:right w:w="57" w:type="dxa"/>
            </w:tcMar>
          </w:tcPr>
          <w:p w:rsidR="00D51A5A" w:rsidRDefault="00D51A5A" w:rsidP="00F478EB">
            <w:pPr>
              <w:spacing w:before="0"/>
            </w:pPr>
            <w:r>
              <w:t>D</w:t>
            </w:r>
            <w:r w:rsidR="003A3FE4">
              <w:t>oplňovací voda</w:t>
            </w: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tcPr>
          <w:p w:rsidR="00D51A5A" w:rsidRDefault="00121934" w:rsidP="00F478EB">
            <w:pPr>
              <w:spacing w:before="0"/>
              <w:jc w:val="center"/>
            </w:pPr>
            <w:r>
              <w:t>D</w:t>
            </w:r>
            <w:r w:rsidR="00980E71">
              <w:t>V</w:t>
            </w:r>
          </w:p>
        </w:tc>
        <w:tc>
          <w:tcPr>
            <w:tcW w:w="7654" w:type="dxa"/>
            <w:tcBorders>
              <w:top w:val="dotted" w:sz="4" w:space="0" w:color="auto"/>
              <w:left w:val="dotted" w:sz="4" w:space="0" w:color="auto"/>
              <w:bottom w:val="dotted" w:sz="4" w:space="0" w:color="auto"/>
              <w:right w:val="dotted" w:sz="4" w:space="0" w:color="auto"/>
            </w:tcBorders>
            <w:tcMar>
              <w:left w:w="57" w:type="dxa"/>
              <w:right w:w="57" w:type="dxa"/>
            </w:tcMar>
          </w:tcPr>
          <w:p w:rsidR="00D51A5A" w:rsidRDefault="008F0064" w:rsidP="008F0064">
            <w:pPr>
              <w:spacing w:before="0"/>
            </w:pPr>
            <w:r>
              <w:t xml:space="preserve">Dodávka </w:t>
            </w:r>
            <w:r w:rsidR="00E47A60" w:rsidRPr="00E47A60">
              <w:t>teplonosn</w:t>
            </w:r>
            <w:r>
              <w:t>é</w:t>
            </w:r>
            <w:r w:rsidR="00E47A60" w:rsidRPr="00E47A60">
              <w:t xml:space="preserve"> látk</w:t>
            </w:r>
            <w:r>
              <w:t>y</w:t>
            </w:r>
            <w:r w:rsidR="00E47A60">
              <w:t xml:space="preserve"> včetně</w:t>
            </w:r>
            <w:r w:rsidR="00E47A60" w:rsidRPr="00E47A60">
              <w:t xml:space="preserve"> tepelné energie v ní obsažené</w:t>
            </w:r>
          </w:p>
        </w:tc>
      </w:tr>
      <w:tr w:rsidR="008F0064" w:rsidTr="00D04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val="restart"/>
            <w:tcBorders>
              <w:top w:val="dotted" w:sz="4" w:space="0" w:color="auto"/>
              <w:left w:val="dotted" w:sz="4" w:space="0" w:color="auto"/>
              <w:right w:val="dotted" w:sz="4" w:space="0" w:color="auto"/>
            </w:tcBorders>
            <w:shd w:val="clear" w:color="auto" w:fill="EEECE1" w:themeFill="background2"/>
            <w:vAlign w:val="center"/>
          </w:tcPr>
          <w:p w:rsidR="008F0064" w:rsidRDefault="008F0064" w:rsidP="00D043AF">
            <w:pPr>
              <w:spacing w:before="0"/>
              <w:jc w:val="center"/>
            </w:pPr>
            <w:r>
              <w:t>Sekundár</w:t>
            </w:r>
          </w:p>
        </w:tc>
        <w:tc>
          <w:tcPr>
            <w:tcW w:w="1418"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90203C">
            <w:pPr>
              <w:spacing w:before="0"/>
            </w:pPr>
            <w:r>
              <w:t>Tepelná energie</w:t>
            </w: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90203C">
            <w:pPr>
              <w:spacing w:before="0"/>
              <w:jc w:val="center"/>
            </w:pPr>
            <w:r>
              <w:t>TE</w:t>
            </w:r>
          </w:p>
        </w:tc>
        <w:tc>
          <w:tcPr>
            <w:tcW w:w="7654"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5A750D">
            <w:pPr>
              <w:spacing w:before="0"/>
            </w:pPr>
            <w:r>
              <w:t>Dodávka tepelné energie určen</w:t>
            </w:r>
            <w:r w:rsidR="005A750D">
              <w:t>ou</w:t>
            </w:r>
            <w:r>
              <w:t xml:space="preserve"> pro technologii v objektu odběratele, případně jako společnou dodávku tepelné energie pro vytápění a teplou vodu</w:t>
            </w:r>
          </w:p>
        </w:tc>
      </w:tr>
      <w:tr w:rsidR="008F0064" w:rsidTr="00D04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left w:val="dotted" w:sz="4" w:space="0" w:color="auto"/>
              <w:right w:val="dotted" w:sz="4" w:space="0" w:color="auto"/>
            </w:tcBorders>
            <w:shd w:val="clear" w:color="auto" w:fill="EEECE1" w:themeFill="background2"/>
          </w:tcPr>
          <w:p w:rsidR="008F0064" w:rsidRDefault="008F0064" w:rsidP="00F478EB">
            <w:pPr>
              <w:spacing w:before="0"/>
            </w:pPr>
          </w:p>
        </w:tc>
        <w:tc>
          <w:tcPr>
            <w:tcW w:w="1418"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F478EB">
            <w:pPr>
              <w:spacing w:before="0"/>
            </w:pPr>
            <w:r>
              <w:t>Ústřední vytápění</w:t>
            </w: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F478EB">
            <w:pPr>
              <w:spacing w:before="0"/>
              <w:jc w:val="center"/>
            </w:pPr>
            <w:r>
              <w:t>ÚT</w:t>
            </w:r>
          </w:p>
        </w:tc>
        <w:tc>
          <w:tcPr>
            <w:tcW w:w="7654"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5A750D">
            <w:pPr>
              <w:spacing w:before="0"/>
            </w:pPr>
            <w:r>
              <w:t>Dodávka tepelné energie určen</w:t>
            </w:r>
            <w:r w:rsidR="005A750D">
              <w:t>ou</w:t>
            </w:r>
            <w:r>
              <w:t xml:space="preserve"> k vytápění, jež bude dodáváno v topné vodě</w:t>
            </w:r>
          </w:p>
        </w:tc>
      </w:tr>
      <w:tr w:rsidR="008F0064" w:rsidTr="00D04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left w:val="dotted" w:sz="4" w:space="0" w:color="auto"/>
              <w:right w:val="dotted" w:sz="4" w:space="0" w:color="auto"/>
            </w:tcBorders>
            <w:shd w:val="clear" w:color="auto" w:fill="EEECE1" w:themeFill="background2"/>
          </w:tcPr>
          <w:p w:rsidR="008F0064" w:rsidRDefault="008F0064" w:rsidP="00F478EB">
            <w:pPr>
              <w:spacing w:before="0"/>
            </w:pPr>
          </w:p>
        </w:tc>
        <w:tc>
          <w:tcPr>
            <w:tcW w:w="1418"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F478EB">
            <w:pPr>
              <w:spacing w:before="0"/>
            </w:pPr>
            <w:r>
              <w:t>Teplá voda</w:t>
            </w: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F478EB">
            <w:pPr>
              <w:spacing w:before="0"/>
              <w:jc w:val="center"/>
            </w:pPr>
            <w:r>
              <w:t>TV</w:t>
            </w:r>
          </w:p>
        </w:tc>
        <w:tc>
          <w:tcPr>
            <w:tcW w:w="7654"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5A750D">
            <w:pPr>
              <w:spacing w:before="0"/>
            </w:pPr>
            <w:r>
              <w:t>Dodávka tepelné energie obsažen</w:t>
            </w:r>
            <w:r w:rsidR="005A750D">
              <w:t>ou</w:t>
            </w:r>
            <w:r>
              <w:t xml:space="preserve"> v teplé vodě podléhající rozúčtování teplé vody ze společné přípravy</w:t>
            </w:r>
          </w:p>
        </w:tc>
      </w:tr>
      <w:tr w:rsidR="008F0064" w:rsidTr="00D04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vMerge/>
            <w:tcBorders>
              <w:left w:val="dotted" w:sz="4" w:space="0" w:color="auto"/>
              <w:bottom w:val="dotted" w:sz="4" w:space="0" w:color="auto"/>
              <w:right w:val="dotted" w:sz="4" w:space="0" w:color="auto"/>
            </w:tcBorders>
            <w:shd w:val="clear" w:color="auto" w:fill="EEECE1" w:themeFill="background2"/>
          </w:tcPr>
          <w:p w:rsidR="008F0064" w:rsidRDefault="008F0064" w:rsidP="00F478EB">
            <w:pPr>
              <w:spacing w:before="0"/>
            </w:pPr>
          </w:p>
        </w:tc>
        <w:tc>
          <w:tcPr>
            <w:tcW w:w="1418"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F478EB">
            <w:pPr>
              <w:spacing w:before="0"/>
            </w:pPr>
            <w:r>
              <w:t>Studená voda</w:t>
            </w:r>
          </w:p>
        </w:tc>
        <w:tc>
          <w:tcPr>
            <w:tcW w:w="425"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8F0064" w:rsidP="00F478EB">
            <w:pPr>
              <w:spacing w:before="0"/>
              <w:jc w:val="center"/>
            </w:pPr>
            <w:r>
              <w:t>SV</w:t>
            </w:r>
          </w:p>
        </w:tc>
        <w:tc>
          <w:tcPr>
            <w:tcW w:w="7654" w:type="dxa"/>
            <w:tcBorders>
              <w:top w:val="dotted" w:sz="4" w:space="0" w:color="auto"/>
              <w:left w:val="dotted" w:sz="4" w:space="0" w:color="auto"/>
              <w:bottom w:val="dotted" w:sz="4" w:space="0" w:color="auto"/>
              <w:right w:val="dotted" w:sz="4" w:space="0" w:color="auto"/>
            </w:tcBorders>
            <w:tcMar>
              <w:left w:w="57" w:type="dxa"/>
              <w:right w:w="57" w:type="dxa"/>
            </w:tcMar>
          </w:tcPr>
          <w:p w:rsidR="008F0064" w:rsidRDefault="00D043AF" w:rsidP="008F0064">
            <w:pPr>
              <w:spacing w:before="0"/>
            </w:pPr>
            <w:r w:rsidRPr="00D043AF">
              <w:t>Dodávka vody, jež je ve smyslu platných předpisů pro účely této smlouvy chápána jako nosič tepelné energie podléhající rozúčtování teplé vody ze společné přípravy</w:t>
            </w:r>
          </w:p>
        </w:tc>
      </w:tr>
    </w:tbl>
    <w:p w:rsidR="00D51A5A" w:rsidRPr="00D51A5A" w:rsidRDefault="00D51A5A" w:rsidP="00F478EB">
      <w:pPr>
        <w:pStyle w:val="Podtitul"/>
        <w:numPr>
          <w:ilvl w:val="0"/>
          <w:numId w:val="0"/>
        </w:numPr>
        <w:spacing w:before="0"/>
        <w:rPr>
          <w:b w:val="0"/>
        </w:rPr>
      </w:pPr>
      <w:r w:rsidRPr="00D51A5A">
        <w:rPr>
          <w:b w:val="0"/>
        </w:rPr>
        <w:t>Konkrétní forma sjednaných dodávek tepelné energie pro každé odběrné místo je uvedena v tabulce odběrných míst článku 2 smlouvy.</w:t>
      </w:r>
    </w:p>
    <w:tbl>
      <w:tblPr>
        <w:tblStyle w:val="Mkatabulky"/>
        <w:tblW w:w="10201" w:type="dxa"/>
        <w:tblInd w:w="5" w:type="dxa"/>
        <w:tblBorders>
          <w:top w:val="none" w:sz="0" w:space="0" w:color="auto"/>
          <w:left w:val="none" w:sz="0" w:space="0" w:color="auto"/>
          <w:right w:val="none" w:sz="0" w:space="0" w:color="auto"/>
        </w:tblBorders>
        <w:tblLook w:val="04A0" w:firstRow="1" w:lastRow="0" w:firstColumn="1" w:lastColumn="0" w:noHBand="0" w:noVBand="1"/>
      </w:tblPr>
      <w:tblGrid>
        <w:gridCol w:w="10201"/>
      </w:tblGrid>
      <w:tr w:rsidR="00D0066A" w:rsidRPr="00D0066A" w:rsidTr="00121934">
        <w:tc>
          <w:tcPr>
            <w:tcW w:w="10201" w:type="dxa"/>
            <w:tcMar>
              <w:left w:w="0" w:type="dxa"/>
            </w:tcMar>
          </w:tcPr>
          <w:p w:rsidR="00D0066A" w:rsidRPr="00D0066A" w:rsidRDefault="00D0066A" w:rsidP="00DB2AA1">
            <w:pPr>
              <w:pStyle w:val="Podtitul"/>
              <w:keepNext/>
            </w:pPr>
            <w:r w:rsidRPr="00D0066A">
              <w:t xml:space="preserve">Článek 4: </w:t>
            </w:r>
            <w:r w:rsidR="00D51A5A">
              <w:t>Technické dodací podmínky</w:t>
            </w:r>
          </w:p>
        </w:tc>
      </w:tr>
    </w:tbl>
    <w:p w:rsidR="00F81DBE" w:rsidRDefault="00D51A5A" w:rsidP="00F81DBE">
      <w:pPr>
        <w:pStyle w:val="Podtitul"/>
        <w:numPr>
          <w:ilvl w:val="0"/>
          <w:numId w:val="12"/>
        </w:numPr>
        <w:spacing w:before="0" w:line="240" w:lineRule="auto"/>
        <w:ind w:left="284" w:hanging="284"/>
        <w:rPr>
          <w:b w:val="0"/>
        </w:rPr>
      </w:pPr>
      <w:r w:rsidRPr="00FF5931">
        <w:rPr>
          <w:b w:val="0"/>
        </w:rPr>
        <w:t xml:space="preserve">Odběratel je povinen se svým odběrným tepelným zařízením splňovat hospodárnou, bezpečnou a spolehlivou dodávku nebo spotřebu </w:t>
      </w:r>
      <w:r w:rsidR="007E01BB">
        <w:rPr>
          <w:b w:val="0"/>
        </w:rPr>
        <w:t>tepelné energie</w:t>
      </w:r>
      <w:r w:rsidRPr="00FF5931">
        <w:rPr>
          <w:b w:val="0"/>
        </w:rPr>
        <w:t xml:space="preserve"> v souladu s technickými a bezpečnostními předpisy. Odběrné tepelné zařízení musí splňovat požadavky ohledně místa, způsobu a termínu připojení stanovené v Podmínkách připojení k rozvodnému tepelnému zařízení, které provozuje dodavatel</w:t>
      </w:r>
      <w:r w:rsidR="00F81DBE">
        <w:rPr>
          <w:b w:val="0"/>
        </w:rPr>
        <w:t>.</w:t>
      </w:r>
    </w:p>
    <w:p w:rsidR="00F81DBE" w:rsidRPr="00F81DBE" w:rsidRDefault="00F81DBE" w:rsidP="00F81DBE">
      <w:pPr>
        <w:pStyle w:val="Podtitul"/>
        <w:numPr>
          <w:ilvl w:val="0"/>
          <w:numId w:val="12"/>
        </w:numPr>
        <w:spacing w:before="0" w:line="240" w:lineRule="auto"/>
        <w:ind w:left="284" w:hanging="284"/>
        <w:rPr>
          <w:b w:val="0"/>
        </w:rPr>
      </w:pPr>
      <w:r>
        <w:rPr>
          <w:b w:val="0"/>
        </w:rPr>
        <w:t>V případě napojení odběrného místa odběratele na rozvodné tepelné zařízení v majetku třetí strany, je odběratel povinen mít souhlas majitele tohoto zařízení s napojením odběru</w:t>
      </w:r>
      <w:r w:rsidR="00D51A5A" w:rsidRPr="00FF5931">
        <w:rPr>
          <w:b w:val="0"/>
        </w:rPr>
        <w:t>.</w:t>
      </w:r>
      <w:r>
        <w:rPr>
          <w:b w:val="0"/>
        </w:rPr>
        <w:t xml:space="preserve"> Dodavatel je oprávněn přerušit dodávku tepelné energie do odběrného místa odběratele zajišťované prostřednictvím rozvodného tepelného zařízení v majetku třetí strany, pokud toto zařízení nesplňuje technické nebo bezpečnostní předpisy, případně třetí strana je opakovaně v prodlení s úhradou za dodanou tepelnou energii a není technicky možné jí samostatně přerušit dodávku tepelné energie.</w:t>
      </w:r>
    </w:p>
    <w:p w:rsidR="00D51A5A" w:rsidRPr="00BE0F72" w:rsidRDefault="00D51A5A" w:rsidP="00BE0F72">
      <w:pPr>
        <w:pStyle w:val="Podtitul"/>
        <w:numPr>
          <w:ilvl w:val="0"/>
          <w:numId w:val="12"/>
        </w:numPr>
        <w:spacing w:before="0" w:line="240" w:lineRule="auto"/>
        <w:ind w:left="284" w:hanging="284"/>
        <w:rPr>
          <w:b w:val="0"/>
        </w:rPr>
      </w:pPr>
      <w:r w:rsidRPr="00FF5931">
        <w:rPr>
          <w:b w:val="0"/>
        </w:rPr>
        <w:t>Odběratel je povinen umožnit dodavateli instalaci měřícího zařízení pro měření dodávky TE</w:t>
      </w:r>
      <w:r>
        <w:rPr>
          <w:b w:val="0"/>
        </w:rPr>
        <w:t>, ÚT</w:t>
      </w:r>
      <w:r w:rsidRPr="00FF5931">
        <w:rPr>
          <w:b w:val="0"/>
        </w:rPr>
        <w:t>, případně TV. Současně je odběratel povinen dodavateli umožnit zajištění měřícího zařízení proti neoprávněné manipulaci a umožnit mu přístup k měřícímu a ovládacímu zařízení za účelem kontroly, provádění odečtů a provádění provozní manipulace. Přístup k měřícímu a ovládacímu zařízení umožní odběratel zaměstnancům dodavatele na vyžádání u kontaktní osoby odběratele po předložení identifikační karty zaměstnance dodavatele či jím pověřeného zaměstnance (např. smluvní provozovatel), zajišťujícího pro dodavatele provoz rozvodné</w:t>
      </w:r>
      <w:r>
        <w:rPr>
          <w:b w:val="0"/>
        </w:rPr>
        <w:t>ho</w:t>
      </w:r>
      <w:r w:rsidRPr="00FF5931">
        <w:rPr>
          <w:b w:val="0"/>
        </w:rPr>
        <w:t xml:space="preserve"> tepelné</w:t>
      </w:r>
      <w:r>
        <w:rPr>
          <w:b w:val="0"/>
        </w:rPr>
        <w:t>ho zařízení</w:t>
      </w:r>
      <w:r w:rsidRPr="00FF5931">
        <w:rPr>
          <w:b w:val="0"/>
        </w:rPr>
        <w:t xml:space="preserve">. Sjednání </w:t>
      </w:r>
      <w:r w:rsidR="007E01BB">
        <w:rPr>
          <w:b w:val="0"/>
        </w:rPr>
        <w:t>odlišného</w:t>
      </w:r>
      <w:r w:rsidRPr="00FF5931">
        <w:rPr>
          <w:b w:val="0"/>
        </w:rPr>
        <w:t xml:space="preserve"> přístupu k danému odběrnému místu je uvedeno v</w:t>
      </w:r>
      <w:r w:rsidR="007E01BB">
        <w:rPr>
          <w:b w:val="0"/>
        </w:rPr>
        <w:t xml:space="preserve"> článku č. 2 </w:t>
      </w:r>
      <w:r w:rsidRPr="00FF5931">
        <w:rPr>
          <w:b w:val="0"/>
        </w:rPr>
        <w:t>„části B – Technick</w:t>
      </w:r>
      <w:r w:rsidR="00BE0F72">
        <w:rPr>
          <w:b w:val="0"/>
        </w:rPr>
        <w:t>é</w:t>
      </w:r>
      <w:r w:rsidRPr="00BE0F72">
        <w:rPr>
          <w:b w:val="0"/>
        </w:rPr>
        <w:t xml:space="preserve"> údaj</w:t>
      </w:r>
      <w:r w:rsidR="00BE0F72">
        <w:rPr>
          <w:b w:val="0"/>
        </w:rPr>
        <w:t>e</w:t>
      </w:r>
      <w:r w:rsidRPr="00BE0F72">
        <w:rPr>
          <w:b w:val="0"/>
        </w:rPr>
        <w:t xml:space="preserve"> odběrného místa“.</w:t>
      </w:r>
    </w:p>
    <w:p w:rsidR="00D51A5A" w:rsidRDefault="00D51A5A" w:rsidP="00D51A5A">
      <w:pPr>
        <w:pStyle w:val="Podtitul"/>
        <w:numPr>
          <w:ilvl w:val="0"/>
          <w:numId w:val="12"/>
        </w:numPr>
        <w:spacing w:before="0" w:line="240" w:lineRule="auto"/>
        <w:ind w:left="284" w:hanging="284"/>
        <w:rPr>
          <w:b w:val="0"/>
        </w:rPr>
      </w:pPr>
      <w:r w:rsidRPr="00FF5931">
        <w:rPr>
          <w:b w:val="0"/>
        </w:rPr>
        <w:t>Dodavatel bude přednostně používat měřicí zařízení nevyžadující připojení na elektrickou rozvodnou síť nízkého napětí. Nebude-li toto technicky možné zajistit, je odběratel povinen umožnit napojení na elektrickou rozvodnou síť nízkého napětí přes samostatný jistič</w:t>
      </w:r>
      <w:r>
        <w:rPr>
          <w:b w:val="0"/>
        </w:rPr>
        <w:t>.</w:t>
      </w:r>
      <w:r w:rsidRPr="00FF5931">
        <w:rPr>
          <w:b w:val="0"/>
        </w:rPr>
        <w:t xml:space="preserve"> </w:t>
      </w:r>
      <w:r>
        <w:rPr>
          <w:b w:val="0"/>
        </w:rPr>
        <w:t xml:space="preserve">Vyjma dodávek tepelné energie </w:t>
      </w:r>
      <w:r w:rsidR="006D3631">
        <w:rPr>
          <w:b w:val="0"/>
        </w:rPr>
        <w:t xml:space="preserve">na </w:t>
      </w:r>
      <w:r w:rsidR="00BE17A6">
        <w:rPr>
          <w:b w:val="0"/>
        </w:rPr>
        <w:t xml:space="preserve">primární </w:t>
      </w:r>
      <w:r w:rsidR="006D3631">
        <w:rPr>
          <w:b w:val="0"/>
        </w:rPr>
        <w:t xml:space="preserve">úrovni předání </w:t>
      </w:r>
      <w:r w:rsidRPr="00FF5931">
        <w:rPr>
          <w:b w:val="0"/>
        </w:rPr>
        <w:t xml:space="preserve">poskytne </w:t>
      </w:r>
      <w:r>
        <w:rPr>
          <w:b w:val="0"/>
        </w:rPr>
        <w:t xml:space="preserve">dodavatel </w:t>
      </w:r>
      <w:r w:rsidRPr="00FF5931">
        <w:rPr>
          <w:b w:val="0"/>
        </w:rPr>
        <w:t>odběrateli kompenzaci za takto odebranou elektrickou energii souhrnně 1x za kalendářní rok. Výše kompenzace bude odvozena ze štítkových hodnot jednotlivých zařízení, provozních podmínek a ceny elektrické energie.</w:t>
      </w:r>
    </w:p>
    <w:p w:rsidR="00E110C1" w:rsidRPr="00E110C1" w:rsidRDefault="00E110C1" w:rsidP="00E110C1">
      <w:pPr>
        <w:pStyle w:val="Odstavecseseznamem"/>
        <w:numPr>
          <w:ilvl w:val="0"/>
          <w:numId w:val="12"/>
        </w:numPr>
        <w:spacing w:before="0" w:line="240" w:lineRule="auto"/>
        <w:ind w:left="284" w:hanging="284"/>
      </w:pPr>
      <w:r>
        <w:t xml:space="preserve">Dodavatel bude přednostně používat měřící zařízení s dálkovým odečtem. Odběratel je povinen mu umožnit instalaci podpůrných zařízení jako jsou např. antény a anténní kabely ve svých </w:t>
      </w:r>
      <w:r w:rsidR="002E7700">
        <w:t>objektech</w:t>
      </w:r>
      <w:r>
        <w:t>.</w:t>
      </w:r>
    </w:p>
    <w:p w:rsidR="00D51A5A" w:rsidRPr="00FF5931" w:rsidRDefault="00D51A5A" w:rsidP="00D51A5A">
      <w:pPr>
        <w:pStyle w:val="Podtitul"/>
        <w:numPr>
          <w:ilvl w:val="0"/>
          <w:numId w:val="12"/>
        </w:numPr>
        <w:spacing w:before="0" w:line="240" w:lineRule="auto"/>
        <w:ind w:left="284" w:hanging="284"/>
        <w:rPr>
          <w:b w:val="0"/>
        </w:rPr>
      </w:pPr>
      <w:r w:rsidRPr="00FF5931">
        <w:rPr>
          <w:b w:val="0"/>
        </w:rPr>
        <w:t>Odběratel je povinen učinit vhodná opatření proti zneužití, zničení, krádeži a neoprávněné manipulaci s měřícím a ovládacím zřízením.</w:t>
      </w:r>
    </w:p>
    <w:p w:rsidR="00D51A5A" w:rsidRPr="00FF5931" w:rsidRDefault="00D51A5A" w:rsidP="00D51A5A">
      <w:pPr>
        <w:pStyle w:val="Podtitul"/>
        <w:numPr>
          <w:ilvl w:val="0"/>
          <w:numId w:val="12"/>
        </w:numPr>
        <w:spacing w:before="0" w:line="240" w:lineRule="auto"/>
        <w:ind w:left="284" w:hanging="284"/>
        <w:rPr>
          <w:b w:val="0"/>
        </w:rPr>
      </w:pPr>
      <w:r w:rsidRPr="00FF5931">
        <w:rPr>
          <w:b w:val="0"/>
        </w:rPr>
        <w:t xml:space="preserve">Odběratel je povinen umožnit dodavateli instalaci pomocných zařízení, potřebných k zajištění dodávek </w:t>
      </w:r>
      <w:r w:rsidR="001D18E5">
        <w:rPr>
          <w:b w:val="0"/>
        </w:rPr>
        <w:t xml:space="preserve">TE, </w:t>
      </w:r>
      <w:r w:rsidRPr="00FF5931">
        <w:rPr>
          <w:b w:val="0"/>
        </w:rPr>
        <w:t xml:space="preserve">ÚT a TV, jakož i zhotovení měřících bodů pro měření průtoku a tlakové diference včetně případného zařízení pro dálkový přenos dat. </w:t>
      </w:r>
    </w:p>
    <w:p w:rsidR="00D51A5A" w:rsidRPr="00FF5931" w:rsidRDefault="00D51A5A" w:rsidP="00D51A5A">
      <w:pPr>
        <w:pStyle w:val="Podtitul"/>
        <w:numPr>
          <w:ilvl w:val="0"/>
          <w:numId w:val="12"/>
        </w:numPr>
        <w:spacing w:before="0" w:line="240" w:lineRule="auto"/>
        <w:ind w:left="284" w:hanging="284"/>
        <w:rPr>
          <w:b w:val="0"/>
        </w:rPr>
      </w:pPr>
      <w:r w:rsidRPr="00FF5931">
        <w:rPr>
          <w:b w:val="0"/>
        </w:rPr>
        <w:t xml:space="preserve">Odběratel je před zahájením jakékoliv rekonstrukce nebo opravy odběrného tepelného zařízení, při které dochází ke změně </w:t>
      </w:r>
      <w:r w:rsidR="00993305">
        <w:rPr>
          <w:b w:val="0"/>
        </w:rPr>
        <w:t>výkonů</w:t>
      </w:r>
      <w:r w:rsidRPr="00FF5931">
        <w:rPr>
          <w:b w:val="0"/>
        </w:rPr>
        <w:t>, výpočtových parametrů, změně v zapojení komponent odběrného tepelného zařízení, použití jiných materiálů či dimenzí v odběrném tepelném zařízení, povinen předložit dodavateli projektovou dokumentaci opravy či rekonstrukce k odsouhlasení a připomínky dodavatele je povinen respektovat. Dodavatel je oprávněn si ponechat jedno vyhotovení předložené projektové dokumentace.</w:t>
      </w:r>
    </w:p>
    <w:p w:rsidR="00D51A5A" w:rsidRPr="00FF5931" w:rsidRDefault="00D51A5A" w:rsidP="00D51A5A">
      <w:pPr>
        <w:pStyle w:val="Podtitul"/>
        <w:numPr>
          <w:ilvl w:val="0"/>
          <w:numId w:val="12"/>
        </w:numPr>
        <w:spacing w:before="0" w:line="240" w:lineRule="auto"/>
        <w:ind w:left="284" w:hanging="284"/>
        <w:rPr>
          <w:b w:val="0"/>
        </w:rPr>
      </w:pPr>
      <w:r w:rsidRPr="00FF5931">
        <w:rPr>
          <w:b w:val="0"/>
        </w:rPr>
        <w:t>Odběratel odpovídá za řádný stav odběrného tepelného zařízení a tepelné přípojky, je-li jejím vlastníkem, a za dodržení všech právních předpisů a norem, které upravují povinnosti spojené s tímto odběrným tepelným zařízením případně i tepelnou přípojkou.</w:t>
      </w:r>
    </w:p>
    <w:p w:rsidR="00D51A5A" w:rsidRPr="00FF5931" w:rsidRDefault="00D51A5A" w:rsidP="00D51A5A">
      <w:pPr>
        <w:pStyle w:val="Podtitul"/>
        <w:numPr>
          <w:ilvl w:val="0"/>
          <w:numId w:val="12"/>
        </w:numPr>
        <w:spacing w:before="0" w:line="240" w:lineRule="auto"/>
        <w:ind w:left="284" w:hanging="284"/>
        <w:rPr>
          <w:b w:val="0"/>
        </w:rPr>
      </w:pPr>
      <w:r w:rsidRPr="00FF5931">
        <w:rPr>
          <w:b w:val="0"/>
        </w:rPr>
        <w:t>Odběratel je povinen umožnit dodavateli kontrolu souladu odběrného tepelného zařízení a případně i tepelné přípojky, je-li v majetku odběratele, s právními předpisy a s Podmínkami připojení k rozvodnému tepelnému zařízení dodavatele, a to vždy po předchozím ohlášení této kontroly ze strany dodavatele. Závady, případně nesoulad s právními předpisy či Podmínkami připojení k rozvodnému tepelnému zařízení dodavatele, které dodavatel zjistí, musí odběratel odstranit neprodleně nebo v termínu stanoveném dodavatelem dle závažnosti závady. V případě nedodržení takového termínu je dodavatel oprávněn přerušit dodávku TE</w:t>
      </w:r>
      <w:r w:rsidR="00604254">
        <w:rPr>
          <w:b w:val="0"/>
        </w:rPr>
        <w:t>, ÚT či TV</w:t>
      </w:r>
      <w:r w:rsidRPr="00FF5931">
        <w:rPr>
          <w:b w:val="0"/>
        </w:rPr>
        <w:t xml:space="preserve"> až do úplného odstranění závady.</w:t>
      </w:r>
    </w:p>
    <w:p w:rsidR="00D51A5A" w:rsidRPr="00FF5931" w:rsidRDefault="00D51A5A" w:rsidP="00D51A5A">
      <w:pPr>
        <w:pStyle w:val="Podtitul"/>
        <w:numPr>
          <w:ilvl w:val="0"/>
          <w:numId w:val="12"/>
        </w:numPr>
        <w:spacing w:before="0" w:line="240" w:lineRule="auto"/>
        <w:ind w:left="284" w:hanging="284"/>
        <w:rPr>
          <w:b w:val="0"/>
        </w:rPr>
      </w:pPr>
      <w:r w:rsidRPr="00FF5931">
        <w:rPr>
          <w:b w:val="0"/>
        </w:rPr>
        <w:t xml:space="preserve">Odběratel se zavazuje bez zbytečného odkladu ohlásit dodavateli všechny závady na odběrném tepelném zařízení, které by mohly mít vliv na provoz </w:t>
      </w:r>
      <w:r w:rsidR="00E359A9">
        <w:rPr>
          <w:b w:val="0"/>
        </w:rPr>
        <w:t>rozvodného tepelného zařízení</w:t>
      </w:r>
      <w:r w:rsidRPr="00FF5931">
        <w:rPr>
          <w:b w:val="0"/>
        </w:rPr>
        <w:t xml:space="preserve"> dodavatele, a zajistit bez zbytečného odkladu jejich odstranění. V případě, že závada na zařízení odběratele by mohla mít vliv na kvalitu a plynulost dodávky TE</w:t>
      </w:r>
      <w:r w:rsidR="00E359A9">
        <w:rPr>
          <w:b w:val="0"/>
        </w:rPr>
        <w:t>, ÚT či TV</w:t>
      </w:r>
      <w:r w:rsidRPr="00FF5931">
        <w:rPr>
          <w:b w:val="0"/>
        </w:rPr>
        <w:t xml:space="preserve"> jinému odběrateli, musí odběratel učinit taková opatření, aby těmto dotčeným odběratelům mohla být dodávka TE</w:t>
      </w:r>
      <w:r w:rsidR="00E359A9">
        <w:rPr>
          <w:b w:val="0"/>
        </w:rPr>
        <w:t>, ÚT či TV</w:t>
      </w:r>
      <w:r w:rsidRPr="00FF5931">
        <w:rPr>
          <w:b w:val="0"/>
        </w:rPr>
        <w:t xml:space="preserve"> obnovena bez zbytečného prodlení.</w:t>
      </w:r>
    </w:p>
    <w:p w:rsidR="00D51A5A" w:rsidRPr="00FF5931" w:rsidRDefault="00D51A5A" w:rsidP="00D51A5A">
      <w:pPr>
        <w:pStyle w:val="Podtitul"/>
        <w:numPr>
          <w:ilvl w:val="0"/>
          <w:numId w:val="12"/>
        </w:numPr>
        <w:spacing w:before="0" w:line="240" w:lineRule="auto"/>
        <w:ind w:left="284" w:hanging="284"/>
        <w:rPr>
          <w:b w:val="0"/>
        </w:rPr>
      </w:pPr>
      <w:r w:rsidRPr="00FF5931">
        <w:rPr>
          <w:b w:val="0"/>
        </w:rPr>
        <w:t>Dojde-li nesprávným způsobem provozu a údržby odběrného tepelného zařízení případně nečinností odběratele ke škodě na majetku dodavatele či třetích osob, je odběratel povinen nahradit dodavateli veškeré vzniklé škody.</w:t>
      </w:r>
    </w:p>
    <w:p w:rsidR="00D51A5A" w:rsidRPr="00FF5931" w:rsidRDefault="00D51A5A" w:rsidP="00D51A5A">
      <w:pPr>
        <w:pStyle w:val="Podtitul"/>
        <w:numPr>
          <w:ilvl w:val="0"/>
          <w:numId w:val="12"/>
        </w:numPr>
        <w:spacing w:before="0" w:line="240" w:lineRule="auto"/>
        <w:ind w:left="284" w:hanging="284"/>
        <w:rPr>
          <w:b w:val="0"/>
        </w:rPr>
      </w:pPr>
      <w:r w:rsidRPr="00FF5931">
        <w:rPr>
          <w:b w:val="0"/>
        </w:rPr>
        <w:t>Při vracení teplonosné látky, která nemá jakost odpovídající dodávané teplonosné látky mimo teplotu a tlak (tj. zejména chemické a biologické složení), je odběratel povinen nahradit dodavateli veškeré vzniklé škody.</w:t>
      </w:r>
    </w:p>
    <w:p w:rsidR="00D51A5A" w:rsidRPr="00FF5931" w:rsidRDefault="00D51A5A" w:rsidP="00D51A5A">
      <w:pPr>
        <w:pStyle w:val="Podtitul"/>
        <w:numPr>
          <w:ilvl w:val="0"/>
          <w:numId w:val="12"/>
        </w:numPr>
        <w:spacing w:before="0" w:line="240" w:lineRule="auto"/>
        <w:ind w:left="284" w:hanging="284"/>
        <w:rPr>
          <w:b w:val="0"/>
        </w:rPr>
      </w:pPr>
      <w:r w:rsidRPr="00FF5931">
        <w:rPr>
          <w:b w:val="0"/>
        </w:rPr>
        <w:lastRenderedPageBreak/>
        <w:t xml:space="preserve">Odběratel je povinen s dodavatelem předem konzultovat chemické čištění rozvodů odběrného tepelného zařízení, které je tlakově závisle napojeno na rozvodné tepelné zařízení dodavatele. V případě, že by takové čištění provedl bez písemného souhlasu dodavatele, odpovídá za veškeré případné škody, které by svým počínáním </w:t>
      </w:r>
      <w:r w:rsidR="00C6035C">
        <w:rPr>
          <w:b w:val="0"/>
        </w:rPr>
        <w:t>dodavateli</w:t>
      </w:r>
      <w:r w:rsidRPr="00FF5931">
        <w:rPr>
          <w:b w:val="0"/>
        </w:rPr>
        <w:t xml:space="preserve"> způsobil.</w:t>
      </w:r>
    </w:p>
    <w:p w:rsidR="00D51A5A" w:rsidRPr="00FF5931" w:rsidRDefault="00D51A5A" w:rsidP="00D51A5A">
      <w:pPr>
        <w:pStyle w:val="Podtitul"/>
        <w:numPr>
          <w:ilvl w:val="0"/>
          <w:numId w:val="12"/>
        </w:numPr>
        <w:spacing w:before="0" w:line="240" w:lineRule="auto"/>
        <w:ind w:left="284" w:hanging="284"/>
        <w:rPr>
          <w:b w:val="0"/>
        </w:rPr>
      </w:pPr>
      <w:r w:rsidRPr="00FF5931">
        <w:rPr>
          <w:b w:val="0"/>
        </w:rPr>
        <w:t>Jestliže dodavatel dodává odběrateli TE</w:t>
      </w:r>
      <w:r w:rsidR="006D1839">
        <w:rPr>
          <w:b w:val="0"/>
        </w:rPr>
        <w:t>, ÚT či TV</w:t>
      </w:r>
      <w:r w:rsidRPr="00FF5931">
        <w:rPr>
          <w:b w:val="0"/>
        </w:rPr>
        <w:t xml:space="preserve"> prostřednictvím </w:t>
      </w:r>
      <w:r w:rsidR="007A5334">
        <w:rPr>
          <w:b w:val="0"/>
        </w:rPr>
        <w:t>domovní předávací stanice</w:t>
      </w:r>
      <w:r w:rsidRPr="00FF5931">
        <w:rPr>
          <w:b w:val="0"/>
        </w:rPr>
        <w:t>, a to tlakově závislou nebo nezávislou (respektive bude-li takto dodávat TE v budoucnu), je odběratel povinen poskytnout na vlastní náklad dodavateli nezbytně nutný prostor pro umístění této technologie v objektu odběratele, do kterého je TE</w:t>
      </w:r>
      <w:r w:rsidR="006D1839">
        <w:rPr>
          <w:b w:val="0"/>
        </w:rPr>
        <w:t>, ÚT či TV</w:t>
      </w:r>
      <w:r w:rsidRPr="00FF5931">
        <w:rPr>
          <w:b w:val="0"/>
        </w:rPr>
        <w:t xml:space="preserve"> dodávána. Technologie bude umístěna tak, aby její umístění odběratele co nejméně zatěžovalo s přihlédnutím k technickým možnostem řešení.</w:t>
      </w:r>
    </w:p>
    <w:p w:rsidR="00D51A5A" w:rsidRPr="00FF5931" w:rsidRDefault="00D51A5A" w:rsidP="00D51A5A">
      <w:pPr>
        <w:pStyle w:val="Podtitul"/>
        <w:numPr>
          <w:ilvl w:val="0"/>
          <w:numId w:val="12"/>
        </w:numPr>
        <w:spacing w:before="0" w:line="240" w:lineRule="auto"/>
        <w:ind w:left="284" w:hanging="284"/>
        <w:rPr>
          <w:b w:val="0"/>
        </w:rPr>
      </w:pPr>
      <w:r w:rsidRPr="00FF5931">
        <w:rPr>
          <w:b w:val="0"/>
        </w:rPr>
        <w:t xml:space="preserve">V souladu s §77 odst. 4. zákona č. 458/2000 Sb., v platném znění, může odběratel provozovat vlastní náhradní či jiný zdroj, který je propojen s rozvodným </w:t>
      </w:r>
      <w:r w:rsidR="006D1839">
        <w:rPr>
          <w:b w:val="0"/>
        </w:rPr>
        <w:t xml:space="preserve">tepelným </w:t>
      </w:r>
      <w:r w:rsidRPr="00FF5931">
        <w:rPr>
          <w:b w:val="0"/>
        </w:rPr>
        <w:t>zařízením, avšak pouze po písemné dohodě s </w:t>
      </w:r>
      <w:r w:rsidR="006D1839">
        <w:rPr>
          <w:b w:val="0"/>
        </w:rPr>
        <w:t>dodavatelem</w:t>
      </w:r>
      <w:r w:rsidRPr="00FF5931">
        <w:rPr>
          <w:b w:val="0"/>
        </w:rPr>
        <w:t>.</w:t>
      </w:r>
    </w:p>
    <w:p w:rsidR="009C37F6" w:rsidRDefault="009C37F6" w:rsidP="00D51A5A">
      <w:pPr>
        <w:pStyle w:val="Podtitul"/>
        <w:numPr>
          <w:ilvl w:val="0"/>
          <w:numId w:val="12"/>
        </w:numPr>
        <w:spacing w:before="0" w:line="240" w:lineRule="auto"/>
        <w:ind w:left="284" w:hanging="284"/>
        <w:rPr>
          <w:b w:val="0"/>
        </w:rPr>
      </w:pPr>
      <w:r>
        <w:rPr>
          <w:b w:val="0"/>
        </w:rPr>
        <w:t>Osadí-li si odběratel bez písemného souhlasu dodavatele technické zařízení na úpravu parametrů dodávané tepelné energie na své odběrné tepelné zařízení (např. směšovací ventily, směšovací stanici, posilovací oběhová čerpadla apod. upravující dodávanou teplotu a tlak), nese za tuto úpravu parametrů odpovědnost a nemůže ji přenést na dodavatele tepelné energie. V případě ovlivnění (zhoršení) dodávek tepelné energie třetím osobám takto osazeným technickým zařízením, je odběratel povinen na výzvu dodavatele tepelné energie toto neprodleně demontovat a nahradit vzniklé škody dodavateli i třetím stranám.</w:t>
      </w:r>
    </w:p>
    <w:p w:rsidR="00D51A5A" w:rsidRPr="00FF5931" w:rsidRDefault="00D51A5A" w:rsidP="00D51A5A">
      <w:pPr>
        <w:pStyle w:val="Podtitul"/>
        <w:numPr>
          <w:ilvl w:val="0"/>
          <w:numId w:val="12"/>
        </w:numPr>
        <w:spacing w:before="0" w:line="240" w:lineRule="auto"/>
        <w:ind w:left="284" w:hanging="284"/>
        <w:rPr>
          <w:b w:val="0"/>
        </w:rPr>
      </w:pPr>
      <w:r w:rsidRPr="00FF5931">
        <w:rPr>
          <w:b w:val="0"/>
        </w:rPr>
        <w:t>V případě, že odběratel potřebuje pro zajištění provozu, opravy či rekonstrukce svého odběrného tepelného zařízení jakoukoliv manipulaci se zařízením, které je v majetku dodavatele, vyžádá si takovou manipulaci na dispečinku dodavatele. Dodavatel je oprávněn odběrateli vyúčtovat náklady spojené s poskytnutím takové provozní manipulace.</w:t>
      </w:r>
    </w:p>
    <w:p w:rsidR="00D51A5A" w:rsidRDefault="00D51A5A" w:rsidP="00D51A5A">
      <w:pPr>
        <w:pStyle w:val="Podtitul"/>
        <w:numPr>
          <w:ilvl w:val="0"/>
          <w:numId w:val="12"/>
        </w:numPr>
        <w:spacing w:before="0" w:line="240" w:lineRule="auto"/>
        <w:ind w:left="284" w:hanging="284"/>
        <w:rPr>
          <w:b w:val="0"/>
        </w:rPr>
      </w:pPr>
      <w:r w:rsidRPr="00FF5931">
        <w:rPr>
          <w:b w:val="0"/>
        </w:rPr>
        <w:t>V případě, že odběratel provádí či si nechává provádět jakékoliv práce na svém odběrném tepelném zařízení, je povinen zajistit uzavření přívodních uzavíracích armatur (jsou-li v majetku dodavatele vyžádat si provozní manipulaci ze strany dodavatele dle předchozího bodu), přičemž tyto armatury budou řádně zabezpečeny proti neoprávněné manipulaci a bude u nich označen důvod uzavření (např. ve formě cedulky připevněné k uzavíracím armaturám). Současně je odběratel povinen informovat o takovém odstavení všechny konečné spotřebitele v daném odběrném místě.</w:t>
      </w:r>
    </w:p>
    <w:tbl>
      <w:tblPr>
        <w:tblStyle w:val="Mkatabulky"/>
        <w:tblW w:w="10206" w:type="dxa"/>
        <w:tblCellMar>
          <w:left w:w="0" w:type="dxa"/>
          <w:right w:w="0" w:type="dxa"/>
        </w:tblCellMar>
        <w:tblLook w:val="04A0" w:firstRow="1" w:lastRow="0" w:firstColumn="1" w:lastColumn="0" w:noHBand="0" w:noVBand="1"/>
      </w:tblPr>
      <w:tblGrid>
        <w:gridCol w:w="10206"/>
      </w:tblGrid>
      <w:tr w:rsidR="00655D8C" w:rsidTr="00F82966">
        <w:tc>
          <w:tcPr>
            <w:tcW w:w="10206" w:type="dxa"/>
            <w:tcBorders>
              <w:top w:val="nil"/>
              <w:left w:val="nil"/>
              <w:bottom w:val="single" w:sz="4" w:space="0" w:color="auto"/>
              <w:right w:val="nil"/>
            </w:tcBorders>
            <w:tcMar>
              <w:left w:w="0" w:type="dxa"/>
            </w:tcMar>
          </w:tcPr>
          <w:p w:rsidR="00655D8C" w:rsidRDefault="00655D8C" w:rsidP="00DB2AA1">
            <w:pPr>
              <w:pStyle w:val="Podtitul"/>
              <w:keepNext/>
            </w:pPr>
            <w:r>
              <w:t xml:space="preserve">Článek </w:t>
            </w:r>
            <w:r w:rsidR="004B2FEA">
              <w:t>5</w:t>
            </w:r>
            <w:r>
              <w:t>: Měření a vyhodnocení dodávky</w:t>
            </w:r>
          </w:p>
        </w:tc>
      </w:tr>
    </w:tbl>
    <w:p w:rsidR="00C03B71" w:rsidRDefault="00C03B71" w:rsidP="004B2FEA">
      <w:pPr>
        <w:pStyle w:val="Odstavecseseznamem"/>
        <w:numPr>
          <w:ilvl w:val="0"/>
          <w:numId w:val="14"/>
        </w:numPr>
        <w:spacing w:before="0" w:line="240" w:lineRule="auto"/>
        <w:ind w:left="284" w:hanging="283"/>
      </w:pPr>
      <w:r>
        <w:t xml:space="preserve">Dodavatel je povinen dodávku </w:t>
      </w:r>
      <w:r w:rsidR="00985242">
        <w:t>TE, ÚT či TV</w:t>
      </w:r>
      <w:r>
        <w:t xml:space="preserve"> měřit, vyhodnocovat a účtovat podle skutečných parametrů teplonosné látky a údajů vlastního měřícího zařízení.</w:t>
      </w:r>
    </w:p>
    <w:p w:rsidR="001948B3" w:rsidRDefault="001948B3" w:rsidP="004B2FEA">
      <w:pPr>
        <w:pStyle w:val="Odstavecseseznamem"/>
        <w:numPr>
          <w:ilvl w:val="0"/>
          <w:numId w:val="14"/>
        </w:numPr>
        <w:spacing w:before="0" w:line="240" w:lineRule="auto"/>
        <w:ind w:left="284" w:hanging="283"/>
      </w:pPr>
      <w:r>
        <w:t xml:space="preserve">Množství dodané tepelné energie je měřeno v souladu se smlouvou a příslušnými právními předpisy. Má-li odběratel pochybnosti o správnosti údajů měření, nebo zjistí-li závadu na měřícím zařízení, má právo požadovat </w:t>
      </w:r>
      <w:r w:rsidR="006D3631" w:rsidRPr="006D3631">
        <w:t>jeho</w:t>
      </w:r>
      <w:r w:rsidRPr="004D7667">
        <w:rPr>
          <w:color w:val="FF0000"/>
        </w:rPr>
        <w:t xml:space="preserve"> </w:t>
      </w:r>
      <w:r>
        <w:t xml:space="preserve">přezkoušení. Dodavatel je povinen na základě </w:t>
      </w:r>
      <w:r w:rsidRPr="00B51753">
        <w:t xml:space="preserve">písemné žádosti </w:t>
      </w:r>
      <w:r w:rsidR="001B724F" w:rsidRPr="00B51753">
        <w:t>odběratel</w:t>
      </w:r>
      <w:r w:rsidR="001B724F">
        <w:t xml:space="preserve">e </w:t>
      </w:r>
      <w:r>
        <w:t>měřící zařízení do 30-ti dnů přezkoušet, a je-li vadné, vyměnit</w:t>
      </w:r>
      <w:r w:rsidR="001D4AFF">
        <w:t xml:space="preserve">. </w:t>
      </w:r>
      <w:r w:rsidR="001D4AFF" w:rsidRPr="00B51753">
        <w:t>Žádost o</w:t>
      </w:r>
      <w:r w:rsidR="001D4AFF">
        <w:t xml:space="preserve"> přezkoušení měřícího zařízení podává odběratel dodavateli výhradně písemnou formou. </w:t>
      </w:r>
      <w:r>
        <w:t xml:space="preserve">Odběratel je povinen poskytnout k výměně měřícího zařízení nezbytnou součinnost. Je-li na měřícím zařízení zjištěna </w:t>
      </w:r>
      <w:r w:rsidRPr="00B51753">
        <w:t>závada</w:t>
      </w:r>
      <w:r>
        <w:t xml:space="preserve">, která nebyla způsobena zásahem odběratele, hradí náklady spojené s jeho přezkoušením a případnou výměnou dodavatel. </w:t>
      </w:r>
      <w:r w:rsidRPr="00B51753">
        <w:t>Není-li závada zjištěna</w:t>
      </w:r>
      <w:r>
        <w:t>, nebo byla-li závada zapříčiněna zásahem odběratele, hradí tyto náklady odběratel</w:t>
      </w:r>
      <w:r w:rsidR="001D4AFF">
        <w:t>.</w:t>
      </w:r>
    </w:p>
    <w:p w:rsidR="001948B3" w:rsidRDefault="00C03B71" w:rsidP="004B2FEA">
      <w:pPr>
        <w:pStyle w:val="Odstavecseseznamem"/>
        <w:numPr>
          <w:ilvl w:val="0"/>
          <w:numId w:val="14"/>
        </w:numPr>
        <w:spacing w:before="0" w:line="240" w:lineRule="auto"/>
        <w:ind w:left="284" w:hanging="283"/>
      </w:pPr>
      <w:r>
        <w:t xml:space="preserve">V případě </w:t>
      </w:r>
      <w:r w:rsidR="008B5C23">
        <w:t>nefunkčního</w:t>
      </w:r>
      <w:r>
        <w:t xml:space="preserve"> měřící</w:t>
      </w:r>
      <w:r w:rsidR="008B5C23">
        <w:t>ho</w:t>
      </w:r>
      <w:r>
        <w:t xml:space="preserve"> zařízení</w:t>
      </w:r>
      <w:r w:rsidR="008B5C23">
        <w:t xml:space="preserve"> </w:t>
      </w:r>
      <w:r w:rsidR="00A9164C">
        <w:t>dodavatel</w:t>
      </w:r>
      <w:r>
        <w:t xml:space="preserve"> stanoví </w:t>
      </w:r>
      <w:r w:rsidR="00A9164C">
        <w:t>spotřebu jedním z</w:t>
      </w:r>
      <w:r w:rsidR="00E24C85">
        <w:t xml:space="preserve"> následujících </w:t>
      </w:r>
      <w:r>
        <w:t>náhradní</w:t>
      </w:r>
      <w:r w:rsidR="00A9164C">
        <w:t>ch</w:t>
      </w:r>
      <w:r>
        <w:t xml:space="preserve"> způsob</w:t>
      </w:r>
      <w:r w:rsidR="00A9164C">
        <w:t>ů</w:t>
      </w:r>
      <w:r>
        <w:t xml:space="preserve"> </w:t>
      </w:r>
      <w:r w:rsidR="00E24C85">
        <w:t xml:space="preserve">vyhodnocení dodávky TE, ÚT či TV </w:t>
      </w:r>
      <w:r>
        <w:t>takto:</w:t>
      </w:r>
    </w:p>
    <w:p w:rsidR="00C03B71" w:rsidRDefault="00C03B71" w:rsidP="004B2FEA">
      <w:pPr>
        <w:pStyle w:val="Odstavecseseznamem"/>
        <w:spacing w:before="0" w:line="240" w:lineRule="auto"/>
        <w:ind w:left="567" w:hanging="283"/>
      </w:pPr>
      <w:r>
        <w:t xml:space="preserve">a) </w:t>
      </w:r>
      <w:r w:rsidR="00E24C85">
        <w:tab/>
      </w:r>
      <w:r w:rsidR="000A5D1A">
        <w:t xml:space="preserve">na základě spotřeb v předcházejícím období se zohledněním délky srovnávaných období, </w:t>
      </w:r>
      <w:r w:rsidR="005A7944">
        <w:t>dle využití</w:t>
      </w:r>
      <w:r w:rsidR="000A5D1A">
        <w:t xml:space="preserve"> </w:t>
      </w:r>
      <w:r w:rsidR="005A7944">
        <w:t>objektu</w:t>
      </w:r>
      <w:r w:rsidR="000A5D1A">
        <w:t xml:space="preserve"> ze strany odběratele a se zohledněním klimatických podmínek v těchto obdobích,</w:t>
      </w:r>
    </w:p>
    <w:p w:rsidR="00C03B71" w:rsidRDefault="00C03B71" w:rsidP="004B2FEA">
      <w:pPr>
        <w:pStyle w:val="Odstavecseseznamem"/>
        <w:spacing w:before="0" w:line="240" w:lineRule="auto"/>
        <w:ind w:left="567" w:hanging="283"/>
      </w:pPr>
      <w:r>
        <w:t xml:space="preserve">b) </w:t>
      </w:r>
      <w:r w:rsidR="00E24C85">
        <w:tab/>
      </w:r>
      <w:r w:rsidR="005A7944">
        <w:t>na základě srovnání s obdobným odběrným místem,</w:t>
      </w:r>
    </w:p>
    <w:p w:rsidR="00C03B71" w:rsidRDefault="00C03B71" w:rsidP="004B2FEA">
      <w:pPr>
        <w:pStyle w:val="Odstavecseseznamem"/>
        <w:spacing w:before="0" w:line="240" w:lineRule="auto"/>
        <w:ind w:left="567" w:hanging="283"/>
      </w:pPr>
      <w:r>
        <w:t xml:space="preserve">c) </w:t>
      </w:r>
      <w:r w:rsidR="00E24C85">
        <w:tab/>
      </w:r>
      <w:r w:rsidR="005A7944">
        <w:t>na základě spotřeb zaznamenaných měřícím zařízením v majetku odběratele, je-li instalováno a splňuje-li všechny náležitosti kladené na stanovená měřidla dle zákona č. 505/1990 Sb., v platném znění,</w:t>
      </w:r>
    </w:p>
    <w:p w:rsidR="00C03B71" w:rsidRDefault="00C03B71" w:rsidP="004B2FEA">
      <w:pPr>
        <w:pStyle w:val="Odstavecseseznamem"/>
        <w:spacing w:before="0" w:line="240" w:lineRule="auto"/>
        <w:ind w:left="567" w:hanging="283"/>
      </w:pPr>
      <w:r>
        <w:t xml:space="preserve">d) </w:t>
      </w:r>
      <w:r w:rsidR="00E24C85">
        <w:tab/>
      </w:r>
      <w:r>
        <w:t>jiným způsobem dohodnutým mezi dodavatelem a odběratelem v</w:t>
      </w:r>
      <w:r w:rsidR="008B5C23">
        <w:t xml:space="preserve"> článku 4 </w:t>
      </w:r>
      <w:r>
        <w:t>„části B – Technick</w:t>
      </w:r>
      <w:r w:rsidR="00653FDE">
        <w:t>é</w:t>
      </w:r>
      <w:r>
        <w:t xml:space="preserve"> údaj</w:t>
      </w:r>
      <w:r w:rsidR="00653FDE">
        <w:t>e</w:t>
      </w:r>
      <w:r>
        <w:t xml:space="preserve"> odběrného místa“.</w:t>
      </w:r>
    </w:p>
    <w:p w:rsidR="00E24C85" w:rsidRDefault="00E24C85" w:rsidP="00E24C85">
      <w:pPr>
        <w:pStyle w:val="Odstavecseseznamem"/>
        <w:spacing w:before="0" w:line="240" w:lineRule="auto"/>
        <w:ind w:left="284"/>
      </w:pPr>
      <w:r>
        <w:t xml:space="preserve">Výběr vhodné </w:t>
      </w:r>
      <w:r w:rsidRPr="00994A93">
        <w:t>metody</w:t>
      </w:r>
      <w:r w:rsidRPr="005B0CE2">
        <w:rPr>
          <w:color w:val="FF0000"/>
        </w:rPr>
        <w:t xml:space="preserve"> </w:t>
      </w:r>
      <w:r>
        <w:t>stanovení spotřeby náhradním způsobem vyhodnocení dodávky TE, ÚT či TV provede dodavatel</w:t>
      </w:r>
      <w:r w:rsidR="00C3765C">
        <w:t xml:space="preserve"> s přihlédnutím k údajům odběratele</w:t>
      </w:r>
      <w:r>
        <w:t xml:space="preserve">, aby </w:t>
      </w:r>
      <w:r w:rsidR="00C3765C">
        <w:t>výsledná spotřeba co nejvěrněji odpovídala skutečné spotřebě.</w:t>
      </w:r>
      <w:r w:rsidR="007352F4">
        <w:t xml:space="preserve"> V případě specifického charakteru odběru se uvede odlišný způsob výpočtu náhradní dodávky TE, ÚT či TV v článku 4, části B – Technické údaje odběrného místa.</w:t>
      </w:r>
    </w:p>
    <w:p w:rsidR="00655D8C" w:rsidRDefault="00DD49D8" w:rsidP="004B2FEA">
      <w:pPr>
        <w:pStyle w:val="Odstavecseseznamem"/>
        <w:numPr>
          <w:ilvl w:val="0"/>
          <w:numId w:val="14"/>
        </w:numPr>
        <w:spacing w:before="0" w:line="240" w:lineRule="auto"/>
        <w:ind w:left="284" w:hanging="283"/>
      </w:pPr>
      <w:r>
        <w:t>Pokud bude množství TE</w:t>
      </w:r>
      <w:r w:rsidR="00EA5BFA">
        <w:t>, ÚT či TV</w:t>
      </w:r>
      <w:r>
        <w:t xml:space="preserve"> stanoveno náhradním způsobem, uvede tuto skutečnost dodavatel v podkladech pro vyúčtování.</w:t>
      </w:r>
    </w:p>
    <w:p w:rsidR="004A510C" w:rsidRDefault="00494EB2" w:rsidP="004B2FEA">
      <w:pPr>
        <w:pStyle w:val="Odstavecseseznamem"/>
        <w:numPr>
          <w:ilvl w:val="0"/>
          <w:numId w:val="14"/>
        </w:numPr>
        <w:spacing w:before="0" w:line="240" w:lineRule="auto"/>
        <w:ind w:left="284" w:hanging="283"/>
      </w:pPr>
      <w:r>
        <w:t>V případě dvousložkové ceny tepelné energie osadí dodavatel měřící zařízení umožňující kromě měření dodávky tepla také registraci ¼ hodinového výkonového maxima odebíraného tepelného výkonu. Měsíční hodnota ¼ hodinového výkonového maxima představuje maximální hodnotu z dílčích průměrných ¼ hodinových výkonů (¼ hodinových spotřeb tepelné energie, vztažených na jednotku času) za uplynulý kalendářní měsíc.</w:t>
      </w:r>
      <w:r w:rsidR="004A510C">
        <w:t xml:space="preserve"> Naměřená hodnota ¼ hodinového výkonového maxima nesmí překročit hodnotu sjednané rezervované kapacity v „části B – Technické údaje odběrného místa“</w:t>
      </w:r>
      <w:r w:rsidR="009044F4">
        <w:t xml:space="preserve"> o více jak 10%</w:t>
      </w:r>
      <w:r w:rsidR="004A510C">
        <w:t>.</w:t>
      </w:r>
    </w:p>
    <w:p w:rsidR="00E372BD" w:rsidRDefault="004A510C" w:rsidP="00FB1BCB">
      <w:pPr>
        <w:pStyle w:val="Odstavecseseznamem"/>
        <w:numPr>
          <w:ilvl w:val="1"/>
          <w:numId w:val="14"/>
        </w:numPr>
        <w:spacing w:before="0" w:line="240" w:lineRule="auto"/>
        <w:ind w:left="284" w:hanging="284"/>
      </w:pPr>
      <w:r>
        <w:t xml:space="preserve">Vyhodnocení překročení sjednané rezervované kapacity </w:t>
      </w:r>
      <w:r w:rsidR="00F5516F">
        <w:t xml:space="preserve">u dvousložkové ceny </w:t>
      </w:r>
      <w:r>
        <w:t xml:space="preserve">je zahájeno dodavatelem počínaje počátkem druhého kalendářního roku </w:t>
      </w:r>
      <w:r w:rsidR="009044F4">
        <w:t>po roce, kdy došlo k instalaci měřícího zařízení</w:t>
      </w:r>
      <w:r>
        <w:t xml:space="preserve"> registrujícím ¼ hodinové výkonové maximum.</w:t>
      </w:r>
      <w:r w:rsidR="009044F4">
        <w:t xml:space="preserve"> </w:t>
      </w:r>
    </w:p>
    <w:p w:rsidR="00494EB2" w:rsidRDefault="00E372BD" w:rsidP="00FB1BCB">
      <w:pPr>
        <w:pStyle w:val="Odstavecseseznamem"/>
        <w:numPr>
          <w:ilvl w:val="1"/>
          <w:numId w:val="14"/>
        </w:numPr>
        <w:spacing w:before="0" w:line="240" w:lineRule="auto"/>
        <w:ind w:left="284" w:hanging="284"/>
      </w:pPr>
      <w:r>
        <w:t xml:space="preserve">Nedojde-li při sjednávání hodnoty rezervované kapacity </w:t>
      </w:r>
      <w:r w:rsidR="00F5516F">
        <w:t xml:space="preserve">u dvousložkové ceny </w:t>
      </w:r>
      <w:r>
        <w:t>k dohodě mezi dodavatelem a odběratelem, použije dodavatel jako smluvní hodnotu rezervované kapacity hodnotu požadovanou odběratelem, a zároveň jej písemně upozorní na možné sankcionování v případě překročení této hodnoty o více jak 10%. Pokud pak v průběhu kalendářního roku dojde k překročení sjednané rezervované kapacity o více jak 10%</w:t>
      </w:r>
      <w:r w:rsidR="00AB0EB7">
        <w:t>,</w:t>
      </w:r>
      <w:r>
        <w:t xml:space="preserve"> dle registrovaných hodnot ¼ hodinových výkonových maxim</w:t>
      </w:r>
      <w:r w:rsidR="00AB0EB7">
        <w:t>,</w:t>
      </w:r>
      <w:r>
        <w:t xml:space="preserve"> uplatní dodavatel po odběrateli doúčtování </w:t>
      </w:r>
      <w:r w:rsidR="003D583D">
        <w:t xml:space="preserve">rozdílu mezi sjednanou rezervovanou kapacitou a maximální hodnotou </w:t>
      </w:r>
      <w:r w:rsidR="0040058C">
        <w:t xml:space="preserve">registrovaného </w:t>
      </w:r>
      <w:r w:rsidR="003D583D">
        <w:t>¼ hodinového výkonového maxima za uplynulý kalendářní rok za cenu dle platného ceníku pro daný rok navýšenou o 25%</w:t>
      </w:r>
      <w:r w:rsidR="00CE7BAC">
        <w:t xml:space="preserve"> a to za všechny kalendářní měsíce, kdy je účtována stálá složka ceny tepelné energie v daném roce</w:t>
      </w:r>
      <w:r w:rsidR="003D583D">
        <w:t>. Ve všech ostatních případech k sankcionování překročení sjednané rezervované kapacity nedochází.</w:t>
      </w:r>
    </w:p>
    <w:p w:rsidR="007C3D5A" w:rsidRDefault="00254EEC" w:rsidP="00FB1BCB">
      <w:pPr>
        <w:pStyle w:val="Odstavecseseznamem"/>
        <w:numPr>
          <w:ilvl w:val="1"/>
          <w:numId w:val="14"/>
        </w:numPr>
        <w:spacing w:before="0" w:line="240" w:lineRule="auto"/>
        <w:ind w:left="284" w:hanging="284"/>
      </w:pPr>
      <w:r>
        <w:t xml:space="preserve">Z vyhodnocení překročení rezervované kapacity jsou vyjmuty </w:t>
      </w:r>
      <w:r w:rsidR="002A18CC">
        <w:t xml:space="preserve">tyto </w:t>
      </w:r>
      <w:r>
        <w:t>případy</w:t>
      </w:r>
      <w:r w:rsidR="007C3D5A">
        <w:t>:</w:t>
      </w:r>
    </w:p>
    <w:p w:rsidR="007C3D5A" w:rsidRDefault="002A18CC" w:rsidP="00FB1BCB">
      <w:pPr>
        <w:pStyle w:val="Odstavecseseznamem"/>
        <w:numPr>
          <w:ilvl w:val="0"/>
          <w:numId w:val="34"/>
        </w:numPr>
        <w:spacing w:before="0" w:line="240" w:lineRule="auto"/>
        <w:ind w:left="567" w:hanging="283"/>
      </w:pPr>
      <w:r>
        <w:t xml:space="preserve">k </w:t>
      </w:r>
      <w:r w:rsidR="00254EEC">
        <w:t xml:space="preserve">překročení dojde z důvodů ležících na straně dodavatele (např. výkonová špička po přerušení dodávky z důvodu poruchy na tepelném zařízení) a to po celou dobu, kdy trval onen důvod, a následně i </w:t>
      </w:r>
      <w:r>
        <w:t>8</w:t>
      </w:r>
      <w:r w:rsidR="00254EEC">
        <w:t xml:space="preserve"> hodin po jeho odstranění</w:t>
      </w:r>
      <w:r>
        <w:t>;</w:t>
      </w:r>
      <w:r w:rsidR="00BB19C6">
        <w:t xml:space="preserve"> </w:t>
      </w:r>
    </w:p>
    <w:p w:rsidR="00254EEC" w:rsidRDefault="002A18CC" w:rsidP="00FB1BCB">
      <w:pPr>
        <w:pStyle w:val="Odstavecseseznamem"/>
        <w:numPr>
          <w:ilvl w:val="0"/>
          <w:numId w:val="34"/>
        </w:numPr>
        <w:spacing w:before="0" w:line="240" w:lineRule="auto"/>
        <w:ind w:left="567" w:hanging="283"/>
      </w:pPr>
      <w:r>
        <w:lastRenderedPageBreak/>
        <w:t>k</w:t>
      </w:r>
      <w:r w:rsidRPr="002A18CC">
        <w:t xml:space="preserve"> překročení dojde z důvodů ležících na straně odběratele (např. plánované vypuštění tepelných rozvodů v domě pro případnou opravu) a odběratel předem ohlásí plánované překročení na dispečinku dodavatele; a to </w:t>
      </w:r>
      <w:r>
        <w:t xml:space="preserve">i </w:t>
      </w:r>
      <w:r w:rsidRPr="002A18CC">
        <w:t>4 hodiny po odstranění důvodu (např. ukončení prací).</w:t>
      </w:r>
    </w:p>
    <w:p w:rsidR="00EF07FD" w:rsidRDefault="00EF07FD" w:rsidP="004B2FEA">
      <w:pPr>
        <w:pStyle w:val="Odstavecseseznamem"/>
        <w:numPr>
          <w:ilvl w:val="0"/>
          <w:numId w:val="14"/>
        </w:numPr>
        <w:spacing w:before="0" w:line="240" w:lineRule="auto"/>
        <w:ind w:left="284" w:hanging="283"/>
      </w:pPr>
      <w:r>
        <w:t>Dodavatel je oprávněn kontrolovat měřící zařízení, opravovat je, vyměňovat, zajišťovat je plombami a provádět odečet naměřených hodnot</w:t>
      </w:r>
      <w:r w:rsidR="005A7944">
        <w:t>.</w:t>
      </w:r>
    </w:p>
    <w:p w:rsidR="004E35D9" w:rsidRDefault="004E35D9" w:rsidP="004B2FEA">
      <w:pPr>
        <w:pStyle w:val="Odstavecseseznamem"/>
        <w:numPr>
          <w:ilvl w:val="0"/>
          <w:numId w:val="14"/>
        </w:numPr>
        <w:spacing w:before="0" w:line="240" w:lineRule="auto"/>
        <w:ind w:left="284" w:hanging="283"/>
      </w:pPr>
      <w:r>
        <w:t xml:space="preserve">Dodavatel je na základě zákona č. 505/1990 Sb. povinen provádět periodické úřední ověření stanovených měřidel. Odběratel je povinen zajistit součinnost. </w:t>
      </w:r>
    </w:p>
    <w:p w:rsidR="00E464FF" w:rsidRDefault="00E464FF" w:rsidP="004B2FEA">
      <w:pPr>
        <w:pStyle w:val="Odstavecseseznamem"/>
        <w:numPr>
          <w:ilvl w:val="0"/>
          <w:numId w:val="14"/>
        </w:numPr>
        <w:spacing w:before="0" w:line="240" w:lineRule="auto"/>
        <w:ind w:left="284" w:hanging="283"/>
      </w:pPr>
      <w:r>
        <w:t>Dodavatel je oprávněn zaplombovat proti neoprávněné manipulaci i zařízení v majetku odběratele, které by mohlo ovlivňovat sjednané parametry dodávané TE, ÚT či TV.</w:t>
      </w:r>
    </w:p>
    <w:p w:rsidR="00224F84" w:rsidRDefault="00224F84" w:rsidP="004B2FEA">
      <w:pPr>
        <w:pStyle w:val="Odstavecseseznamem"/>
        <w:numPr>
          <w:ilvl w:val="0"/>
          <w:numId w:val="14"/>
        </w:numPr>
        <w:spacing w:before="0" w:line="240" w:lineRule="auto"/>
        <w:ind w:left="284" w:hanging="283"/>
      </w:pPr>
      <w:r>
        <w:t xml:space="preserve">Porušení plomb dodavatele </w:t>
      </w:r>
      <w:r w:rsidR="008B5C23">
        <w:t>bez jeho přítomnosti či písemného</w:t>
      </w:r>
      <w:r>
        <w:t xml:space="preserve"> upozornění je zakázáno.</w:t>
      </w:r>
    </w:p>
    <w:p w:rsidR="002E7700" w:rsidRDefault="002E7700" w:rsidP="004B2FEA">
      <w:pPr>
        <w:pStyle w:val="Odstavecseseznamem"/>
        <w:numPr>
          <w:ilvl w:val="0"/>
          <w:numId w:val="14"/>
        </w:numPr>
        <w:spacing w:before="0" w:line="240" w:lineRule="auto"/>
        <w:ind w:left="284" w:hanging="283"/>
      </w:pPr>
      <w:r w:rsidRPr="002E7700">
        <w:t>Odběratel není oprávněn jakkoliv manipulovat s měřícími, pomocnými a ovládacími zařízeními dodavatele bez jeho písemného souhlasu.</w:t>
      </w:r>
    </w:p>
    <w:p w:rsidR="002E7700" w:rsidRDefault="002E7700" w:rsidP="004B2FEA">
      <w:pPr>
        <w:pStyle w:val="Odstavecseseznamem"/>
        <w:numPr>
          <w:ilvl w:val="0"/>
          <w:numId w:val="14"/>
        </w:numPr>
        <w:spacing w:before="0" w:line="240" w:lineRule="auto"/>
        <w:ind w:left="284" w:hanging="283"/>
      </w:pPr>
      <w:r w:rsidRPr="002E7700">
        <w:t>Odběratel je odpovědný za případné škody způsobené na měřících, pomocných a ovládacích zařízeních dodavatele umístěných v objektu odběratele</w:t>
      </w:r>
      <w:r>
        <w:t>.</w:t>
      </w:r>
    </w:p>
    <w:p w:rsidR="000B5672" w:rsidRDefault="0020098C" w:rsidP="004B2FEA">
      <w:pPr>
        <w:pStyle w:val="Odstavecseseznamem"/>
        <w:numPr>
          <w:ilvl w:val="0"/>
          <w:numId w:val="14"/>
        </w:numPr>
        <w:spacing w:before="0" w:line="240" w:lineRule="auto"/>
        <w:ind w:left="284" w:hanging="283"/>
      </w:pPr>
      <w:r>
        <w:t>Odběratel se zavazuje uhradit dodavateli vzniklé náklady související s manipulací s měřícím zařízením (montáž/demontáž) v případě, kdy je tato manipulace vyvolána na žádost odběratele nebo v souvislosti s </w:t>
      </w:r>
      <w:r w:rsidRPr="00994A93">
        <w:t>porušením</w:t>
      </w:r>
      <w:r>
        <w:t xml:space="preserve"> </w:t>
      </w:r>
      <w:r w:rsidR="00994A93">
        <w:t xml:space="preserve">povinností </w:t>
      </w:r>
      <w:r>
        <w:t>ze strany odběratele. Náklady na tyto manipulace budou ze strany dod</w:t>
      </w:r>
      <w:r w:rsidR="0044609B">
        <w:t>a</w:t>
      </w:r>
      <w:r>
        <w:t>vatele odběrateli vyúčtovány samostatným daňovým dokladem</w:t>
      </w:r>
      <w:r w:rsidR="0044609B">
        <w:t xml:space="preserve"> vyjma případů, kdy manipulace byla vyvolána v důsledku exi</w:t>
      </w:r>
      <w:r w:rsidR="001F7B28">
        <w:t>stence závady měřícího zařízení.</w:t>
      </w:r>
    </w:p>
    <w:p w:rsidR="001F7B28" w:rsidRDefault="00005148" w:rsidP="004B2FEA">
      <w:pPr>
        <w:pStyle w:val="Odstavecseseznamem"/>
        <w:numPr>
          <w:ilvl w:val="0"/>
          <w:numId w:val="14"/>
        </w:numPr>
        <w:spacing w:before="0" w:line="240" w:lineRule="auto"/>
        <w:ind w:left="284" w:hanging="283"/>
      </w:pPr>
      <w:r w:rsidRPr="00005148">
        <w:t xml:space="preserve">V případě dodávek TV </w:t>
      </w:r>
      <w:r w:rsidR="00B51753" w:rsidRPr="00B51753">
        <w:t>ze společné přípravy teplé vody</w:t>
      </w:r>
      <w:r w:rsidR="001F7B28" w:rsidRPr="00B51753">
        <w:t xml:space="preserve"> </w:t>
      </w:r>
      <w:r w:rsidR="001F7B28">
        <w:t>je odběratel povinen vlastním nákladem zajišťovat pravidelné ověřování všech vodoměrů teplé vody (případně patní měřící sestavy teplé vody) v souladu s metrologickými předpisy (tj. dle Vyhlášky Ministerstva průmyslu a obchodu č. 345/2002 Sb., v platném znění, §2 a přílohou této vyhlášky). Na vyzvání dodavatele je odběratel povinen prokázat platné ověření všech příslušných vodoměrů.</w:t>
      </w:r>
    </w:p>
    <w:p w:rsidR="00C063C7" w:rsidRDefault="00C063C7" w:rsidP="004B2FEA">
      <w:pPr>
        <w:pStyle w:val="Odstavecseseznamem"/>
        <w:numPr>
          <w:ilvl w:val="0"/>
          <w:numId w:val="14"/>
        </w:numPr>
        <w:spacing w:before="0" w:line="240" w:lineRule="auto"/>
        <w:ind w:left="284" w:hanging="283"/>
      </w:pPr>
      <w:r>
        <w:t xml:space="preserve">V případě dodávek </w:t>
      </w:r>
      <w:r w:rsidR="00B51753" w:rsidRPr="00B51753">
        <w:t>doplňovací vody</w:t>
      </w:r>
      <w:r w:rsidRPr="00B51753">
        <w:t xml:space="preserve"> </w:t>
      </w:r>
      <w:r w:rsidR="00EC098C">
        <w:t>bude</w:t>
      </w:r>
      <w:r>
        <w:t xml:space="preserve"> dodavatel účtovat </w:t>
      </w:r>
      <w:r w:rsidR="00AF4206">
        <w:t>ke každému odebranému m</w:t>
      </w:r>
      <w:r w:rsidR="00AF4206" w:rsidRPr="00AF4206">
        <w:rPr>
          <w:vertAlign w:val="superscript"/>
        </w:rPr>
        <w:t>3</w:t>
      </w:r>
      <w:r w:rsidR="00AF4206">
        <w:t xml:space="preserve"> doplňovací vody </w:t>
      </w:r>
      <w:r>
        <w:t>i obsah zbytkového tepla v doplňovací vodě, která činí Q = 1m</w:t>
      </w:r>
      <w:r w:rsidRPr="00C063C7">
        <w:rPr>
          <w:vertAlign w:val="superscript"/>
        </w:rPr>
        <w:t>3</w:t>
      </w:r>
      <w:r>
        <w:t xml:space="preserve"> * 4,1868*10</w:t>
      </w:r>
      <w:r w:rsidRPr="00C063C7">
        <w:rPr>
          <w:vertAlign w:val="superscript"/>
        </w:rPr>
        <w:t>-3</w:t>
      </w:r>
      <w:r>
        <w:t xml:space="preserve">GJ/K * 50°K = </w:t>
      </w:r>
      <w:r w:rsidR="00EC098C">
        <w:t>0,21</w:t>
      </w:r>
      <w:r>
        <w:t xml:space="preserve"> GJ/m</w:t>
      </w:r>
      <w:r w:rsidRPr="00C063C7">
        <w:rPr>
          <w:vertAlign w:val="superscript"/>
        </w:rPr>
        <w:t>3</w:t>
      </w:r>
      <w:r>
        <w:t>.</w:t>
      </w:r>
    </w:p>
    <w:tbl>
      <w:tblPr>
        <w:tblStyle w:val="Mkatabulky"/>
        <w:tblW w:w="0" w:type="auto"/>
        <w:tblBorders>
          <w:top w:val="none" w:sz="0" w:space="0" w:color="auto"/>
          <w:left w:val="none" w:sz="0" w:space="0" w:color="auto"/>
          <w:right w:val="none" w:sz="0" w:space="0" w:color="auto"/>
        </w:tblBorders>
        <w:tblLook w:val="04A0" w:firstRow="1" w:lastRow="0" w:firstColumn="1" w:lastColumn="0" w:noHBand="0" w:noVBand="1"/>
      </w:tblPr>
      <w:tblGrid>
        <w:gridCol w:w="10344"/>
      </w:tblGrid>
      <w:tr w:rsidR="00B51753" w:rsidRPr="00B51753" w:rsidTr="00B51753">
        <w:tc>
          <w:tcPr>
            <w:tcW w:w="10344" w:type="dxa"/>
          </w:tcPr>
          <w:p w:rsidR="00B51753" w:rsidRPr="00B51753" w:rsidRDefault="00B51753" w:rsidP="00B51753">
            <w:pPr>
              <w:pStyle w:val="Podtitul"/>
              <w:keepNext/>
            </w:pPr>
            <w:r w:rsidRPr="00B51753">
              <w:t xml:space="preserve">Článek 6: </w:t>
            </w:r>
            <w:r>
              <w:t>Vyhodnocení odběrového diagramu</w:t>
            </w:r>
          </w:p>
        </w:tc>
      </w:tr>
    </w:tbl>
    <w:p w:rsidR="00C063C7" w:rsidRDefault="00C063C7" w:rsidP="00B51753">
      <w:pPr>
        <w:pStyle w:val="Odstavecseseznamem"/>
        <w:numPr>
          <w:ilvl w:val="0"/>
          <w:numId w:val="33"/>
        </w:numPr>
        <w:spacing w:before="0" w:line="240" w:lineRule="auto"/>
        <w:ind w:left="284" w:hanging="284"/>
      </w:pPr>
      <w:r>
        <w:t>Dodavatel je oprávněn vyhodnocovat dodávku tepelné energ</w:t>
      </w:r>
      <w:r w:rsidR="004E35D9">
        <w:t>ie a navrhovat úpravy odběrového</w:t>
      </w:r>
      <w:r>
        <w:t xml:space="preserve"> diagram</w:t>
      </w:r>
      <w:r w:rsidR="004E35D9">
        <w:t>u</w:t>
      </w:r>
      <w:r>
        <w:t xml:space="preserve">. Vyhodnocení dodávky tepelné energie vychází </w:t>
      </w:r>
      <w:r w:rsidR="006D3631">
        <w:t xml:space="preserve">z </w:t>
      </w:r>
      <w:r w:rsidR="006D3631" w:rsidRPr="006D3631">
        <w:t>náměrů</w:t>
      </w:r>
      <w:r w:rsidRPr="00EF0303">
        <w:rPr>
          <w:color w:val="FF0000"/>
        </w:rPr>
        <w:t xml:space="preserve"> </w:t>
      </w:r>
      <w:r>
        <w:t>fakturačního měřícího zařízení.</w:t>
      </w:r>
    </w:p>
    <w:p w:rsidR="005B79AE" w:rsidRDefault="005B79AE" w:rsidP="00FB1BCB">
      <w:pPr>
        <w:pStyle w:val="Odstavecseseznamem"/>
        <w:numPr>
          <w:ilvl w:val="0"/>
          <w:numId w:val="33"/>
        </w:numPr>
        <w:spacing w:before="0" w:line="240" w:lineRule="auto"/>
        <w:ind w:left="284" w:hanging="284"/>
      </w:pPr>
      <w:r>
        <w:t xml:space="preserve">Odběratel je oprávněn upravit odběrový diagram </w:t>
      </w:r>
      <w:r w:rsidR="00BB5A2B">
        <w:t xml:space="preserve">a rezervovanou kapacitu </w:t>
      </w:r>
      <w:r>
        <w:t>pro následující kalendářní rok na základě provedených opatření a to nejpozději do 30.</w:t>
      </w:r>
      <w:r w:rsidR="00227363">
        <w:t xml:space="preserve"> </w:t>
      </w:r>
      <w:r>
        <w:t>9.</w:t>
      </w:r>
      <w:r w:rsidR="00EF0303">
        <w:t xml:space="preserve"> </w:t>
      </w:r>
      <w:r>
        <w:t>daného roku. Požadované změny je odběratel povinen dodavateli doložit např. energetickým průkazem budovy, projektovou dokumentací apod.</w:t>
      </w:r>
      <w:r w:rsidR="00AB0EB7" w:rsidRPr="00AB0EB7">
        <w:t xml:space="preserve"> </w:t>
      </w:r>
    </w:p>
    <w:p w:rsidR="00BB5A2B" w:rsidRPr="002E7700" w:rsidRDefault="00BB5A2B" w:rsidP="00B51753">
      <w:pPr>
        <w:pStyle w:val="Odstavecseseznamem"/>
        <w:numPr>
          <w:ilvl w:val="0"/>
          <w:numId w:val="33"/>
        </w:numPr>
        <w:spacing w:before="0" w:line="240" w:lineRule="auto"/>
        <w:ind w:left="284" w:hanging="283"/>
      </w:pPr>
      <w:r>
        <w:t>Změna odběrového diagramu a rezervované kapacity je možná i v průběhu kalendářního roku, jestliže se zásadně a nepředvídatelně změní charakter využívání zásobovaných objektů.</w:t>
      </w:r>
      <w:r w:rsidR="00AB0EB7" w:rsidRPr="00AB0EB7">
        <w:t xml:space="preserve"> </w:t>
      </w:r>
      <w:r w:rsidR="00AB0EB7">
        <w:t>Požadovaná úprava</w:t>
      </w:r>
      <w:r w:rsidR="00AB0EB7" w:rsidRPr="00AB0EB7">
        <w:t xml:space="preserve"> musí být s dodavatelem sjednána alespoň 30 dní před účinností změny, aby dodavatel mohl provést případná technická </w:t>
      </w:r>
      <w:r w:rsidR="00BB19C6">
        <w:t xml:space="preserve">a administrativní </w:t>
      </w:r>
      <w:r w:rsidR="00AB0EB7" w:rsidRPr="00AB0EB7">
        <w:t>opatření spojené se změnou výše sjednaného výkonu.</w:t>
      </w:r>
    </w:p>
    <w:tbl>
      <w:tblPr>
        <w:tblStyle w:val="Mkatabulky"/>
        <w:tblW w:w="10206" w:type="dxa"/>
        <w:tblCellMar>
          <w:left w:w="0" w:type="dxa"/>
          <w:right w:w="0" w:type="dxa"/>
        </w:tblCellMar>
        <w:tblLook w:val="04A0" w:firstRow="1" w:lastRow="0" w:firstColumn="1" w:lastColumn="0" w:noHBand="0" w:noVBand="1"/>
      </w:tblPr>
      <w:tblGrid>
        <w:gridCol w:w="10206"/>
      </w:tblGrid>
      <w:tr w:rsidR="004E7EB4" w:rsidRPr="004E7EB4" w:rsidTr="00F82966">
        <w:tc>
          <w:tcPr>
            <w:tcW w:w="10206" w:type="dxa"/>
            <w:tcBorders>
              <w:top w:val="nil"/>
              <w:left w:val="nil"/>
              <w:bottom w:val="single" w:sz="4" w:space="0" w:color="auto"/>
              <w:right w:val="nil"/>
            </w:tcBorders>
            <w:tcMar>
              <w:left w:w="0" w:type="dxa"/>
            </w:tcMar>
          </w:tcPr>
          <w:p w:rsidR="008F11E1" w:rsidRPr="004E7EB4" w:rsidRDefault="008F11E1" w:rsidP="004E35D9">
            <w:pPr>
              <w:pStyle w:val="Podtitul"/>
              <w:keepNext/>
            </w:pPr>
            <w:r w:rsidRPr="004E7EB4">
              <w:t xml:space="preserve">Článek </w:t>
            </w:r>
            <w:r w:rsidR="00B51753" w:rsidRPr="004E7EB4">
              <w:t>7</w:t>
            </w:r>
            <w:r w:rsidRPr="004E7EB4">
              <w:t xml:space="preserve">: </w:t>
            </w:r>
            <w:r w:rsidR="004E35D9" w:rsidRPr="004E7EB4">
              <w:t>Stanovení a změna ceny za dodávku tepelné energie</w:t>
            </w:r>
          </w:p>
        </w:tc>
      </w:tr>
    </w:tbl>
    <w:p w:rsidR="004E7EB4" w:rsidRDefault="004E35D9" w:rsidP="0043260B">
      <w:pPr>
        <w:pStyle w:val="Podtitul"/>
        <w:numPr>
          <w:ilvl w:val="0"/>
          <w:numId w:val="11"/>
        </w:numPr>
        <w:spacing w:before="0" w:line="240" w:lineRule="auto"/>
        <w:ind w:left="284" w:hanging="284"/>
        <w:rPr>
          <w:b w:val="0"/>
        </w:rPr>
      </w:pPr>
      <w:r w:rsidRPr="004E35D9">
        <w:rPr>
          <w:b w:val="0"/>
        </w:rPr>
        <w:t xml:space="preserve">Dodavatel je oprávněn jednostranně změnit výši ceny tepelné energie či způsob jejího určení (dále jen jako „změna ceny“), a to i v průběhu kalendářního roku, zejména s ohledem na zákon č. 458/2000 Sb., energetický zákon, zákon č. 406/2000 Sb., o hospodaření energií, zákon č. 526/1990 Sb., o cenách a v souladu s vyhláškami a </w:t>
      </w:r>
      <w:r w:rsidR="00712EFC">
        <w:rPr>
          <w:b w:val="0"/>
        </w:rPr>
        <w:t xml:space="preserve">cenovými </w:t>
      </w:r>
      <w:r w:rsidRPr="004E35D9">
        <w:rPr>
          <w:b w:val="0"/>
        </w:rPr>
        <w:t>rozhodnutími Energetického regulačního úřadu.</w:t>
      </w:r>
    </w:p>
    <w:p w:rsidR="00E6455F" w:rsidRDefault="00E6455F" w:rsidP="0043260B">
      <w:pPr>
        <w:pStyle w:val="Podtitul"/>
        <w:numPr>
          <w:ilvl w:val="0"/>
          <w:numId w:val="11"/>
        </w:numPr>
        <w:spacing w:before="0" w:line="240" w:lineRule="auto"/>
        <w:ind w:left="284" w:hanging="284"/>
        <w:rPr>
          <w:b w:val="0"/>
        </w:rPr>
      </w:pPr>
      <w:r w:rsidRPr="004E35D9">
        <w:rPr>
          <w:b w:val="0"/>
        </w:rPr>
        <w:t>Smluv</w:t>
      </w:r>
      <w:r w:rsidR="0095584C" w:rsidRPr="004E35D9">
        <w:rPr>
          <w:b w:val="0"/>
        </w:rPr>
        <w:t>n</w:t>
      </w:r>
      <w:r w:rsidRPr="004E35D9">
        <w:rPr>
          <w:b w:val="0"/>
        </w:rPr>
        <w:t>í strany těmito obchodními podmínkami stanovují způsob určení ceny dodávané tepelné energie, přičemž tento způsob</w:t>
      </w:r>
      <w:r>
        <w:rPr>
          <w:b w:val="0"/>
        </w:rPr>
        <w:t xml:space="preserve"> stanovení ceny je v souladu se zákonem č. 526/1990 Sb., o cenách, navazujícími vyhláškami a cenovým</w:t>
      </w:r>
      <w:r w:rsidR="00FE542C">
        <w:rPr>
          <w:b w:val="0"/>
        </w:rPr>
        <w:t>i</w:t>
      </w:r>
      <w:r>
        <w:rPr>
          <w:b w:val="0"/>
        </w:rPr>
        <w:t xml:space="preserve"> rozhodnutím</w:t>
      </w:r>
      <w:r w:rsidR="00FE542C">
        <w:rPr>
          <w:b w:val="0"/>
        </w:rPr>
        <w:t>i</w:t>
      </w:r>
      <w:r>
        <w:rPr>
          <w:b w:val="0"/>
        </w:rPr>
        <w:t xml:space="preserve"> Energetického regulačního úřadu.</w:t>
      </w:r>
    </w:p>
    <w:p w:rsidR="0034182D" w:rsidRDefault="0034182D" w:rsidP="0043260B">
      <w:pPr>
        <w:pStyle w:val="Odstavecseseznamem"/>
        <w:numPr>
          <w:ilvl w:val="0"/>
          <w:numId w:val="11"/>
        </w:numPr>
        <w:spacing w:before="0" w:line="240" w:lineRule="auto"/>
        <w:ind w:left="284" w:hanging="284"/>
      </w:pPr>
      <w:r>
        <w:t>Cena tepelné energie je stanovena jako dvousložková, případně jednosložková, dle následujících podmínek:</w:t>
      </w:r>
    </w:p>
    <w:p w:rsidR="00AB4551" w:rsidRDefault="00AB4551" w:rsidP="00FB1BCB">
      <w:pPr>
        <w:pStyle w:val="Odstavecseseznamem"/>
        <w:numPr>
          <w:ilvl w:val="1"/>
          <w:numId w:val="11"/>
        </w:numPr>
        <w:spacing w:before="0" w:line="240" w:lineRule="auto"/>
        <w:ind w:left="284" w:hanging="284"/>
      </w:pPr>
      <w:r>
        <w:t>Dvousložková cena tepelné energie je účtována dodavatelem pro všechna odběrná místa s odběrem komodity tepelné energie (TE) a ústředního vytápění (ÚT).</w:t>
      </w:r>
    </w:p>
    <w:p w:rsidR="00AB4551" w:rsidRDefault="00AB4551" w:rsidP="00FB1BCB">
      <w:pPr>
        <w:pStyle w:val="Odstavecseseznamem"/>
        <w:numPr>
          <w:ilvl w:val="1"/>
          <w:numId w:val="11"/>
        </w:numPr>
        <w:spacing w:before="0" w:line="240" w:lineRule="auto"/>
        <w:ind w:left="284" w:hanging="284"/>
      </w:pPr>
      <w:r>
        <w:t>Jednosložková cena tepelné energie je účtována pro dodávky teplé vody (TV) ze společné přípravy a ve zvláštních případech, kterými jsou např. objekty před dokončením, nebo před zahájením využívání (temperování nových objektů).</w:t>
      </w:r>
    </w:p>
    <w:p w:rsidR="0034182D" w:rsidRDefault="0034182D" w:rsidP="00FB1BCB">
      <w:pPr>
        <w:pStyle w:val="Odstavecseseznamem"/>
        <w:numPr>
          <w:ilvl w:val="1"/>
          <w:numId w:val="11"/>
        </w:numPr>
        <w:spacing w:before="0" w:line="240" w:lineRule="auto"/>
        <w:ind w:left="284" w:hanging="284"/>
      </w:pPr>
      <w:r>
        <w:t>Dvousložková cena tepelné energie se pro jednotlivé cenové úrovně a cenové lokality skládá ze stálé složky a proměnné složky.</w:t>
      </w:r>
      <w:r w:rsidR="00AB4551">
        <w:t xml:space="preserve"> </w:t>
      </w:r>
      <w:r w:rsidR="003A419D">
        <w:t>Stálá složka vychází ze sjednané rezervované kapacity a ceny za kW</w:t>
      </w:r>
      <w:r w:rsidR="00A527DE">
        <w:t xml:space="preserve"> a měsíc</w:t>
      </w:r>
      <w:r w:rsidR="003A419D">
        <w:t>, platné pro dané období. Proměnná složka vychází z naměřené spotřeby tepelné energie a platné ceny za GJ pro dané období.</w:t>
      </w:r>
    </w:p>
    <w:p w:rsidR="005B00A8" w:rsidRDefault="005B00A8" w:rsidP="00FB1BCB">
      <w:pPr>
        <w:pStyle w:val="Odstavecseseznamem"/>
        <w:numPr>
          <w:ilvl w:val="1"/>
          <w:numId w:val="11"/>
        </w:numPr>
        <w:spacing w:before="0" w:line="240" w:lineRule="auto"/>
        <w:ind w:left="284" w:hanging="284"/>
      </w:pPr>
      <w:r>
        <w:t>Sjednaná hodnota rezervované kapacity je uvedena v „části B – Technické údaje odběrného místa“.</w:t>
      </w:r>
    </w:p>
    <w:p w:rsidR="003A419D" w:rsidRDefault="003A419D" w:rsidP="00FB1BCB">
      <w:pPr>
        <w:pStyle w:val="Odstavecseseznamem"/>
        <w:numPr>
          <w:ilvl w:val="1"/>
          <w:numId w:val="11"/>
        </w:numPr>
        <w:spacing w:before="0" w:line="240" w:lineRule="auto"/>
        <w:ind w:left="284" w:hanging="284"/>
      </w:pPr>
      <w:r>
        <w:t xml:space="preserve">Cena tepelné energie, případně její jednotlivé složky, vč. doplňovací vody je stanovena v ceníku dodavatele vždy na dané období. Ceník je dostupný na webových stránkách dodavatele. Cena pitné vody je převzata od jejího výrobce, společnosti </w:t>
      </w:r>
      <w:r w:rsidRPr="003A419D">
        <w:t>Severočeské vodovody a kanalizace, a.s.</w:t>
      </w:r>
    </w:p>
    <w:p w:rsidR="00F3466F" w:rsidRDefault="00C47E8A" w:rsidP="0043260B">
      <w:pPr>
        <w:pStyle w:val="Odstavecseseznamem"/>
        <w:numPr>
          <w:ilvl w:val="0"/>
          <w:numId w:val="11"/>
        </w:numPr>
        <w:spacing w:before="0" w:line="240" w:lineRule="auto"/>
        <w:ind w:left="284" w:hanging="284"/>
      </w:pPr>
      <w:r>
        <w:t xml:space="preserve">Změnu </w:t>
      </w:r>
      <w:r w:rsidR="00994A93" w:rsidRPr="00994A93">
        <w:t>ceny</w:t>
      </w:r>
      <w:r w:rsidRPr="003B6379">
        <w:rPr>
          <w:color w:val="FF0000"/>
        </w:rPr>
        <w:t xml:space="preserve"> </w:t>
      </w:r>
      <w:r>
        <w:t xml:space="preserve">tepelné energie, včetně termínu, od kterého je nová cena platná, zveřejní dodavatel nejpozději 14 dnů přede dnem účinnosti změny, ve svém sídle, na svých webových stránkách </w:t>
      </w:r>
      <w:hyperlink r:id="rId8" w:history="1">
        <w:r w:rsidRPr="0009087A">
          <w:rPr>
            <w:rStyle w:val="Hypertextovodkaz"/>
          </w:rPr>
          <w:t>www.setep.cz</w:t>
        </w:r>
      </w:hyperlink>
      <w:r>
        <w:t xml:space="preserve"> </w:t>
      </w:r>
      <w:r w:rsidR="00FE542C">
        <w:t xml:space="preserve">v elektronické podobě </w:t>
      </w:r>
      <w:r>
        <w:t xml:space="preserve">a </w:t>
      </w:r>
      <w:r w:rsidR="00FE542C">
        <w:t xml:space="preserve">dále </w:t>
      </w:r>
      <w:r>
        <w:t>o změně ceny bude odběratele vhodným způsobem informovat (např. zasláním písemného oznáme</w:t>
      </w:r>
      <w:r w:rsidR="00FE542C">
        <w:t>ní o změně ceny tepelné energie nebo</w:t>
      </w:r>
      <w:r>
        <w:t xml:space="preserve"> uvedením odkazu na daňovém dokladu na platný ceník tepelné energie apod.).</w:t>
      </w:r>
      <w:r w:rsidR="0095584C">
        <w:t xml:space="preserve"> Odběratel je povinen se se změnou ceny tepelné energie seznámit.</w:t>
      </w:r>
    </w:p>
    <w:p w:rsidR="0095584C" w:rsidRDefault="0095584C" w:rsidP="0043260B">
      <w:pPr>
        <w:pStyle w:val="Odstavecseseznamem"/>
        <w:numPr>
          <w:ilvl w:val="0"/>
          <w:numId w:val="11"/>
        </w:numPr>
        <w:spacing w:before="0" w:line="240" w:lineRule="auto"/>
        <w:ind w:left="284" w:hanging="284"/>
      </w:pPr>
      <w:r>
        <w:t xml:space="preserve">V případě, že dodavatel cenu tepelné energie změní, je odběratel tepelné energie oprávněn od Smlouvy o dodávce tepelné energie odstoupit. Odstoupení od smlouvy představuje výlučný nástroj vyjádření nesouhlasu se změnou ceny tepelné energie. </w:t>
      </w:r>
      <w:r w:rsidR="005731A5">
        <w:t xml:space="preserve">Odstoupit od smlouvy může odběratel do 14 dnů od uveřejnění oznámení o změně ceny, přičemž v odstoupení musí být uveden výslovný odkaz na toto ustanovení obchodních podmínek. Písemné odstoupení od smlouvy musí být dodavateli doručeno v uvedené lhůtě, jinak je </w:t>
      </w:r>
      <w:r w:rsidR="005731A5">
        <w:lastRenderedPageBreak/>
        <w:t>neplatné. V případě, že odběratel platně odstoupí v uvedené lhůtě, smlouva zaniká ke dni, který předchází dni, kdy nabývá účinnosti změna ceny tepelné energie.</w:t>
      </w:r>
    </w:p>
    <w:p w:rsidR="00FE542C" w:rsidRPr="00E6455F" w:rsidRDefault="00FE542C" w:rsidP="0043260B">
      <w:pPr>
        <w:pStyle w:val="Odstavecseseznamem"/>
        <w:numPr>
          <w:ilvl w:val="0"/>
          <w:numId w:val="11"/>
        </w:numPr>
        <w:spacing w:before="0" w:line="240" w:lineRule="auto"/>
        <w:ind w:left="284" w:hanging="284"/>
      </w:pPr>
      <w:r>
        <w:t>Dodavatel k ceně tepelné energie připočte veškeré daně ve výši dle platných právních předpisů.</w:t>
      </w:r>
    </w:p>
    <w:p w:rsidR="003B0922" w:rsidRPr="00E6455F" w:rsidRDefault="003B0922" w:rsidP="0024237F">
      <w:pPr>
        <w:pStyle w:val="Podtitul"/>
        <w:numPr>
          <w:ilvl w:val="0"/>
          <w:numId w:val="0"/>
        </w:numPr>
        <w:spacing w:before="0" w:line="240" w:lineRule="auto"/>
        <w:ind w:left="284" w:hanging="284"/>
        <w:rPr>
          <w:b w:val="0"/>
        </w:rPr>
      </w:pPr>
    </w:p>
    <w:tbl>
      <w:tblPr>
        <w:tblStyle w:val="Mkatabulky"/>
        <w:tblW w:w="10206" w:type="dxa"/>
        <w:tblCellMar>
          <w:left w:w="0" w:type="dxa"/>
          <w:right w:w="0" w:type="dxa"/>
        </w:tblCellMar>
        <w:tblLook w:val="04A0" w:firstRow="1" w:lastRow="0" w:firstColumn="1" w:lastColumn="0" w:noHBand="0" w:noVBand="1"/>
      </w:tblPr>
      <w:tblGrid>
        <w:gridCol w:w="10206"/>
      </w:tblGrid>
      <w:tr w:rsidR="00BA1890" w:rsidTr="00F82966">
        <w:tc>
          <w:tcPr>
            <w:tcW w:w="10206" w:type="dxa"/>
            <w:tcBorders>
              <w:top w:val="nil"/>
              <w:left w:val="nil"/>
              <w:bottom w:val="single" w:sz="4" w:space="0" w:color="auto"/>
              <w:right w:val="nil"/>
            </w:tcBorders>
            <w:tcMar>
              <w:left w:w="0" w:type="dxa"/>
            </w:tcMar>
          </w:tcPr>
          <w:p w:rsidR="00BA1890" w:rsidRDefault="000E3286" w:rsidP="000D17AA">
            <w:pPr>
              <w:pStyle w:val="Podtitul"/>
              <w:keepNext/>
            </w:pPr>
            <w:r>
              <w:t xml:space="preserve">Článek </w:t>
            </w:r>
            <w:r w:rsidR="00F07EF5">
              <w:t>8</w:t>
            </w:r>
            <w:r w:rsidR="00BA1890">
              <w:t>: Zálohy</w:t>
            </w:r>
          </w:p>
        </w:tc>
      </w:tr>
    </w:tbl>
    <w:p w:rsidR="00CD3101" w:rsidRDefault="007428D2" w:rsidP="007428D2">
      <w:pPr>
        <w:pStyle w:val="Odstavecseseznamem"/>
        <w:numPr>
          <w:ilvl w:val="0"/>
          <w:numId w:val="15"/>
        </w:numPr>
        <w:spacing w:before="0" w:line="240" w:lineRule="auto"/>
        <w:ind w:left="284" w:hanging="284"/>
      </w:pPr>
      <w:r w:rsidRPr="007428D2">
        <w:t xml:space="preserve">Dodavatel je oprávněn požadovat od odběratele zálohové platby. </w:t>
      </w:r>
      <w:r w:rsidR="004E7EB4">
        <w:t>Má právo</w:t>
      </w:r>
      <w:r w:rsidRPr="007428D2">
        <w:t xml:space="preserve"> zálohové platby p</w:t>
      </w:r>
      <w:r w:rsidR="004E7EB4">
        <w:t>ředepisovat jednostranně a určovat</w:t>
      </w:r>
      <w:r w:rsidRPr="007428D2">
        <w:t xml:space="preserve"> jejich výši svým oznámením doručeným odběrateli.</w:t>
      </w:r>
      <w:r>
        <w:t xml:space="preserve"> </w:t>
      </w:r>
      <w:r w:rsidR="004E7EB4">
        <w:t>Výše, identifikace a termín</w:t>
      </w:r>
      <w:r>
        <w:t xml:space="preserve"> splatnosti zálohových plateb j</w:t>
      </w:r>
      <w:r w:rsidR="004E7EB4">
        <w:t>sou</w:t>
      </w:r>
      <w:r>
        <w:t xml:space="preserve"> stanoven</w:t>
      </w:r>
      <w:r w:rsidR="004E7EB4">
        <w:t>y</w:t>
      </w:r>
      <w:r>
        <w:t xml:space="preserve"> v </w:t>
      </w:r>
      <w:r w:rsidR="00524848">
        <w:t>„</w:t>
      </w:r>
      <w:r>
        <w:t>části C – Ceny a zálohy</w:t>
      </w:r>
      <w:r w:rsidR="00524848">
        <w:t>“</w:t>
      </w:r>
      <w:r>
        <w:t>.</w:t>
      </w:r>
    </w:p>
    <w:p w:rsidR="00B07F1E" w:rsidRDefault="00B07F1E" w:rsidP="00636B97">
      <w:pPr>
        <w:pStyle w:val="Odstavecseseznamem"/>
        <w:numPr>
          <w:ilvl w:val="0"/>
          <w:numId w:val="15"/>
        </w:numPr>
        <w:spacing w:before="0" w:line="240" w:lineRule="auto"/>
        <w:ind w:left="284" w:hanging="284"/>
      </w:pPr>
      <w:r>
        <w:t xml:space="preserve">U odběrů s měsíčním zúčtovacím obdobím je měsíční záloha stanovena na základě předpokládaného měsíčního odběru a </w:t>
      </w:r>
      <w:r w:rsidR="00993C22">
        <w:t xml:space="preserve">platné </w:t>
      </w:r>
      <w:r>
        <w:t>ceny tepelné energie.</w:t>
      </w:r>
    </w:p>
    <w:p w:rsidR="00636B97" w:rsidRDefault="00B07F1E" w:rsidP="00636B97">
      <w:pPr>
        <w:pStyle w:val="Odstavecseseznamem"/>
        <w:numPr>
          <w:ilvl w:val="0"/>
          <w:numId w:val="15"/>
        </w:numPr>
        <w:spacing w:before="0" w:line="240" w:lineRule="auto"/>
        <w:ind w:left="284" w:hanging="284"/>
      </w:pPr>
      <w:r>
        <w:t xml:space="preserve">U odběrů s ročním zúčtovacím obdobím </w:t>
      </w:r>
      <w:r w:rsidR="00374FD0">
        <w:t xml:space="preserve">vyjma odběrů studené vody </w:t>
      </w:r>
      <w:r>
        <w:t>je měsíční záloha stanovena z ročního předpokladu dodávky tepelné energie a ceny tepelné energie, a do jednotlivých měsíců se rozpočítá tak,</w:t>
      </w:r>
      <w:r w:rsidR="00417271">
        <w:t xml:space="preserve"> že první tři měsíce se stanovuje záloha ve výši 2/15 a pro zbývající období 1/15 z předpokládaných ročních nákladů. </w:t>
      </w:r>
    </w:p>
    <w:p w:rsidR="00636B97" w:rsidRDefault="00417271" w:rsidP="00636B97">
      <w:pPr>
        <w:pStyle w:val="Odstavecseseznamem"/>
        <w:numPr>
          <w:ilvl w:val="0"/>
          <w:numId w:val="15"/>
        </w:numPr>
        <w:spacing w:before="0" w:line="240" w:lineRule="auto"/>
        <w:ind w:left="284" w:hanging="284"/>
      </w:pPr>
      <w:r>
        <w:t xml:space="preserve">U </w:t>
      </w:r>
      <w:r w:rsidR="00636B97">
        <w:t xml:space="preserve">odběrů </w:t>
      </w:r>
      <w:r w:rsidR="009D0856">
        <w:t xml:space="preserve">studené vody </w:t>
      </w:r>
      <w:r w:rsidR="00636B97">
        <w:t xml:space="preserve">s ročním zúčtovacím obdobím </w:t>
      </w:r>
      <w:r w:rsidR="00993C22">
        <w:t>j</w:t>
      </w:r>
      <w:r>
        <w:t xml:space="preserve">e </w:t>
      </w:r>
      <w:r w:rsidR="00993C22">
        <w:t>měsíční</w:t>
      </w:r>
      <w:r>
        <w:t xml:space="preserve"> záloha </w:t>
      </w:r>
      <w:r w:rsidR="00993C22">
        <w:t>stanovena z ročního předpokládaného odběru studené vody a ceny studené vody a do jednotlivých měsíců se rozpočítá 1/12 z předpokládaných ročních nákladů</w:t>
      </w:r>
      <w:r>
        <w:t xml:space="preserve">. </w:t>
      </w:r>
    </w:p>
    <w:p w:rsidR="00417271" w:rsidRDefault="00417271" w:rsidP="00636B97">
      <w:pPr>
        <w:pStyle w:val="Odstavecseseznamem"/>
        <w:numPr>
          <w:ilvl w:val="0"/>
          <w:numId w:val="15"/>
        </w:numPr>
        <w:spacing w:before="0" w:line="240" w:lineRule="auto"/>
        <w:ind w:left="284" w:hanging="284"/>
      </w:pPr>
      <w:r>
        <w:t xml:space="preserve">V případě </w:t>
      </w:r>
      <w:r w:rsidR="00895E46">
        <w:t>speci</w:t>
      </w:r>
      <w:r w:rsidR="00993C22">
        <w:t>fických</w:t>
      </w:r>
      <w:r w:rsidR="00895E46">
        <w:t xml:space="preserve"> odběrů se zálohy stanoví individuálně.</w:t>
      </w:r>
    </w:p>
    <w:p w:rsidR="00993C22" w:rsidRDefault="00993C22" w:rsidP="00636B97">
      <w:pPr>
        <w:pStyle w:val="Odstavecseseznamem"/>
        <w:numPr>
          <w:ilvl w:val="0"/>
          <w:numId w:val="15"/>
        </w:numPr>
        <w:spacing w:before="0" w:line="240" w:lineRule="auto"/>
        <w:ind w:left="284" w:hanging="284"/>
      </w:pPr>
      <w:r w:rsidRPr="007428D2">
        <w:t>Dodavatel je oprávněn s ohledem na změnu velikosti odběru tepelné energie v odběrném místě, změnu ceny dodávky tepelné energie nebo při opakovaném nedodržování smluveného způsobu placení závazků odběratelem jednostranně změnit počet a splatnost záloh oznámením výše záloh za dodávku tepelné energie nebo plateb</w:t>
      </w:r>
      <w:r w:rsidR="00524848">
        <w:t>ním kalendářem, přičemž změna musí</w:t>
      </w:r>
      <w:r w:rsidRPr="007428D2">
        <w:t xml:space="preserve"> být přiměřená důvodům změny.</w:t>
      </w:r>
    </w:p>
    <w:p w:rsidR="00FD0712" w:rsidRDefault="00895E46" w:rsidP="00636B97">
      <w:pPr>
        <w:pStyle w:val="Odstavecseseznamem"/>
        <w:numPr>
          <w:ilvl w:val="0"/>
          <w:numId w:val="15"/>
        </w:numPr>
        <w:spacing w:before="0" w:line="240" w:lineRule="auto"/>
        <w:ind w:left="284" w:hanging="284"/>
      </w:pPr>
      <w:r>
        <w:t>Odběratel je povinen platit předepsané zálohy, a to i v případech přerušení dodávek tepelné energie, nedohodne-li se s dodavatelem jinak.</w:t>
      </w:r>
    </w:p>
    <w:tbl>
      <w:tblPr>
        <w:tblStyle w:val="Mkatabulky"/>
        <w:tblW w:w="10206" w:type="dxa"/>
        <w:tblCellMar>
          <w:left w:w="0" w:type="dxa"/>
          <w:right w:w="0" w:type="dxa"/>
        </w:tblCellMar>
        <w:tblLook w:val="04A0" w:firstRow="1" w:lastRow="0" w:firstColumn="1" w:lastColumn="0" w:noHBand="0" w:noVBand="1"/>
      </w:tblPr>
      <w:tblGrid>
        <w:gridCol w:w="10206"/>
      </w:tblGrid>
      <w:tr w:rsidR="00D44736" w:rsidTr="00F82966">
        <w:tc>
          <w:tcPr>
            <w:tcW w:w="10206" w:type="dxa"/>
            <w:tcBorders>
              <w:top w:val="nil"/>
              <w:left w:val="nil"/>
              <w:bottom w:val="single" w:sz="4" w:space="0" w:color="auto"/>
              <w:right w:val="nil"/>
            </w:tcBorders>
            <w:tcMar>
              <w:left w:w="0" w:type="dxa"/>
            </w:tcMar>
          </w:tcPr>
          <w:p w:rsidR="00D44736" w:rsidRDefault="000E3286" w:rsidP="000D17AA">
            <w:pPr>
              <w:pStyle w:val="Podtitul"/>
              <w:keepNext/>
            </w:pPr>
            <w:r>
              <w:t xml:space="preserve">Článek </w:t>
            </w:r>
            <w:r w:rsidR="0084534F">
              <w:t>9</w:t>
            </w:r>
            <w:r w:rsidR="00D44736">
              <w:t xml:space="preserve">: </w:t>
            </w:r>
            <w:r w:rsidR="00994A93">
              <w:t>Vyúčtování</w:t>
            </w:r>
            <w:r w:rsidR="00A24B7B">
              <w:t xml:space="preserve"> dodávek</w:t>
            </w:r>
            <w:r w:rsidR="00C52C6D">
              <w:t xml:space="preserve"> tepelné energie</w:t>
            </w:r>
          </w:p>
        </w:tc>
      </w:tr>
    </w:tbl>
    <w:p w:rsidR="008954DD" w:rsidRDefault="00766AF3" w:rsidP="007233C6">
      <w:pPr>
        <w:pStyle w:val="Odstavecseseznamem"/>
        <w:numPr>
          <w:ilvl w:val="0"/>
          <w:numId w:val="16"/>
        </w:numPr>
        <w:spacing w:before="0" w:line="240" w:lineRule="auto"/>
        <w:ind w:left="284" w:hanging="284"/>
      </w:pPr>
      <w:r>
        <w:t xml:space="preserve">Vyúčtování dodávek tepelné energie bude provedeno v souladu s vyhláškou č. 210/2011 Sb., </w:t>
      </w:r>
      <w:r w:rsidRPr="00766AF3">
        <w:t>o rozsahu, náležitostech a termínech vyúčtování dodávek elektřiny, plynu nebo tepelné energie a souvisejících služeb</w:t>
      </w:r>
      <w:r>
        <w:t>, v platném znění.</w:t>
      </w:r>
    </w:p>
    <w:p w:rsidR="00031B34" w:rsidRDefault="00031B34" w:rsidP="00031B34">
      <w:pPr>
        <w:pStyle w:val="Odstavecseseznamem"/>
        <w:numPr>
          <w:ilvl w:val="0"/>
          <w:numId w:val="16"/>
        </w:numPr>
        <w:spacing w:before="0" w:line="240" w:lineRule="auto"/>
        <w:ind w:left="284" w:hanging="284"/>
      </w:pPr>
      <w:r w:rsidRPr="00031B34">
        <w:t>Stálá složka dvousložkové ceny tepelné energie bude dodavatelem účtována v jednotlivých měsících topné sezóny (tj. od ledna do května a od září do prosince) a to bez ohledu na množství odebrané tepelné energie.</w:t>
      </w:r>
    </w:p>
    <w:p w:rsidR="0040058C" w:rsidRDefault="0040058C" w:rsidP="00031B34">
      <w:pPr>
        <w:pStyle w:val="Odstavecseseznamem"/>
        <w:numPr>
          <w:ilvl w:val="0"/>
          <w:numId w:val="16"/>
        </w:numPr>
        <w:spacing w:before="0" w:line="240" w:lineRule="auto"/>
        <w:ind w:left="284" w:hanging="284"/>
      </w:pPr>
      <w:r>
        <w:t xml:space="preserve">Vyúčtování překročení rezervované kapacity </w:t>
      </w:r>
      <w:r w:rsidR="003F0112">
        <w:t xml:space="preserve">za daný kalendářní rok </w:t>
      </w:r>
      <w:r>
        <w:t xml:space="preserve">je dodavatel povinen vystavit a odeslat odběrateli nejpozději do 31.1. </w:t>
      </w:r>
      <w:r w:rsidR="003F0112">
        <w:t>následujícího kalendářního roku</w:t>
      </w:r>
      <w:r>
        <w:t>.</w:t>
      </w:r>
    </w:p>
    <w:p w:rsidR="00031B34" w:rsidRDefault="00031B34" w:rsidP="00031B34">
      <w:pPr>
        <w:pStyle w:val="Odstavecseseznamem"/>
        <w:numPr>
          <w:ilvl w:val="0"/>
          <w:numId w:val="16"/>
        </w:numPr>
        <w:spacing w:before="0" w:line="240" w:lineRule="auto"/>
        <w:ind w:left="284" w:hanging="284"/>
      </w:pPr>
      <w:r>
        <w:t>Odběratel je povinen hradit rezervovanou kapacitu i při přerušení dodávek tepelné energie, nedohodne-li se s dodavatelem jinak.</w:t>
      </w:r>
    </w:p>
    <w:p w:rsidR="00766AF3" w:rsidRDefault="008D2156" w:rsidP="007233C6">
      <w:pPr>
        <w:pStyle w:val="Odstavecseseznamem"/>
        <w:numPr>
          <w:ilvl w:val="0"/>
          <w:numId w:val="16"/>
        </w:numPr>
        <w:spacing w:before="0" w:line="240" w:lineRule="auto"/>
        <w:ind w:left="284" w:hanging="284"/>
      </w:pPr>
      <w:r>
        <w:t xml:space="preserve">Při společném měření množství odebrané tepelné energie na přípravu teplé vody pro více odběrných míst </w:t>
      </w:r>
      <w:r w:rsidR="00AF381C">
        <w:t>(dodávka komodity TV z centrální předávací stanice)</w:t>
      </w:r>
      <w:r w:rsidR="003E58BE">
        <w:rPr>
          <w:b/>
        </w:rPr>
        <w:t xml:space="preserve"> </w:t>
      </w:r>
      <w:r>
        <w:t>se sjednávají následující pravidla:</w:t>
      </w:r>
    </w:p>
    <w:p w:rsidR="00C52C6D" w:rsidRDefault="008D2156" w:rsidP="007233C6">
      <w:pPr>
        <w:pStyle w:val="Odstavecseseznamem"/>
        <w:spacing w:before="0" w:line="240" w:lineRule="auto"/>
        <w:ind w:left="567" w:hanging="284"/>
      </w:pPr>
      <w:r>
        <w:t xml:space="preserve">a) </w:t>
      </w:r>
      <w:r w:rsidR="007233C6">
        <w:tab/>
      </w:r>
      <w:r w:rsidR="00C52C6D">
        <w:t>odečty stavů měřičů množství teplé vody na jednotlivých výtocích je odběratel povinen uskutečnit v termínu od 15.12. do 31.12. příslušného roku,</w:t>
      </w:r>
    </w:p>
    <w:p w:rsidR="00387C5D" w:rsidRDefault="00387C5D" w:rsidP="007233C6">
      <w:pPr>
        <w:pStyle w:val="Odstavecseseznamem"/>
        <w:spacing w:before="0" w:line="240" w:lineRule="auto"/>
        <w:ind w:left="567" w:hanging="284"/>
      </w:pPr>
      <w:r>
        <w:t>b)</w:t>
      </w:r>
      <w:r>
        <w:tab/>
        <w:t>odečty stavů měřičů množství teplé vody na jednotlivých výtocích odběratel vyhodnotí vůči provedeným odečtům stavů z předchozího období a vypočítá spotřebu teplé vody za celé odběrné místo; do výpočtu zahrne kvalifikované dopočty za neměřené odběry teplé vody</w:t>
      </w:r>
    </w:p>
    <w:p w:rsidR="00AC2535" w:rsidRDefault="00387C5D" w:rsidP="007233C6">
      <w:pPr>
        <w:pStyle w:val="Odstavecseseznamem"/>
        <w:spacing w:before="0" w:line="240" w:lineRule="auto"/>
        <w:ind w:left="567" w:hanging="284"/>
      </w:pPr>
      <w:r>
        <w:t>c</w:t>
      </w:r>
      <w:r w:rsidR="00AC2535">
        <w:t xml:space="preserve">) </w:t>
      </w:r>
      <w:r w:rsidR="007233C6">
        <w:tab/>
      </w:r>
      <w:r w:rsidR="00301423">
        <w:t>spotřebu teplé vody za celé odběrné místo a zúčtovací období uvede odběratel do protokolu</w:t>
      </w:r>
      <w:r w:rsidR="00282658">
        <w:t xml:space="preserve"> </w:t>
      </w:r>
      <w:r>
        <w:t>„Hlášení o</w:t>
      </w:r>
      <w:r w:rsidR="00282658">
        <w:t xml:space="preserve"> spotřeb</w:t>
      </w:r>
      <w:r>
        <w:t>ovaném množství</w:t>
      </w:r>
      <w:r w:rsidR="00282658">
        <w:t xml:space="preserve"> </w:t>
      </w:r>
      <w:r>
        <w:t>TV“</w:t>
      </w:r>
      <w:r w:rsidR="00301423">
        <w:t xml:space="preserve"> a předá dodavateli </w:t>
      </w:r>
      <w:r w:rsidR="002A12AA">
        <w:t xml:space="preserve">nejpozději </w:t>
      </w:r>
      <w:r w:rsidR="00301423">
        <w:t xml:space="preserve">do </w:t>
      </w:r>
      <w:r w:rsidR="00631735" w:rsidRPr="008E045E">
        <w:t>15.</w:t>
      </w:r>
      <w:r w:rsidR="003E58BE">
        <w:t xml:space="preserve"> </w:t>
      </w:r>
      <w:r w:rsidR="00631735" w:rsidRPr="008E045E">
        <w:t>1.</w:t>
      </w:r>
      <w:r>
        <w:t xml:space="preserve"> roku následujícího po </w:t>
      </w:r>
      <w:r w:rsidR="005F04CD">
        <w:t>z</w:t>
      </w:r>
      <w:r>
        <w:t>účtova</w:t>
      </w:r>
      <w:r w:rsidR="005F04CD">
        <w:t>cím</w:t>
      </w:r>
      <w:r>
        <w:t xml:space="preserve"> období</w:t>
      </w:r>
      <w:r w:rsidR="00631735" w:rsidRPr="008E045E">
        <w:t>,</w:t>
      </w:r>
    </w:p>
    <w:p w:rsidR="008A4807" w:rsidRDefault="008A4807" w:rsidP="008A4807">
      <w:pPr>
        <w:pStyle w:val="Odstavecseseznamem"/>
        <w:spacing w:before="0" w:line="240" w:lineRule="auto"/>
        <w:ind w:left="567" w:hanging="284"/>
      </w:pPr>
      <w:r>
        <w:t xml:space="preserve">d) </w:t>
      </w:r>
      <w:r>
        <w:tab/>
        <w:t>odběratel odpovídá za úplnost a správnost údajů uváděných v protokolu o spotřebovaném množství teplé vody. Taktéž zodpovídá za správnost měření, pravidelné ověřování měřičů teplé vody a náhradní způsoby výpočtu v případě poruchy nebo nepřístupnosti měřiče. Dodavatel si vyhrazuje právo na kontrolu uvedených údajů a jejich podkladů,</w:t>
      </w:r>
    </w:p>
    <w:p w:rsidR="008A4807" w:rsidRDefault="00116B40" w:rsidP="008A4807">
      <w:pPr>
        <w:pStyle w:val="Odstavecseseznamem"/>
        <w:spacing w:before="0" w:line="240" w:lineRule="auto"/>
        <w:ind w:left="567" w:hanging="284"/>
      </w:pPr>
      <w:r>
        <w:t>e</w:t>
      </w:r>
      <w:r w:rsidR="008A4807">
        <w:t xml:space="preserve">) </w:t>
      </w:r>
      <w:r w:rsidR="008A4807">
        <w:tab/>
        <w:t xml:space="preserve">v případě, že odběratel nesplní svoji povinnost a nezašle ve stanovený termín spotřebu </w:t>
      </w:r>
      <w:r w:rsidR="00217568">
        <w:t xml:space="preserve">množství </w:t>
      </w:r>
      <w:r w:rsidR="008A4807">
        <w:t xml:space="preserve">teplé vody za odběrné místo, provede dodavatel odborný odhad spotřeby </w:t>
      </w:r>
      <w:r w:rsidR="00217568">
        <w:t xml:space="preserve">množství </w:t>
      </w:r>
      <w:r w:rsidR="008A4807">
        <w:t>teplé vody pro dané odběrné místo pomocí statistických údajů předchozích zúčtovacích období či srovnatelných objektů,</w:t>
      </w:r>
    </w:p>
    <w:p w:rsidR="00217568" w:rsidRDefault="0013060B" w:rsidP="00217568">
      <w:pPr>
        <w:pStyle w:val="Odstavecseseznamem"/>
        <w:spacing w:before="0" w:line="240" w:lineRule="auto"/>
        <w:ind w:left="567" w:hanging="283"/>
      </w:pPr>
      <w:r>
        <w:t>f</w:t>
      </w:r>
      <w:r w:rsidR="00217568">
        <w:t xml:space="preserve">) </w:t>
      </w:r>
      <w:r w:rsidR="00217568">
        <w:tab/>
        <w:t>jsou-li dodavatelem v rámci společné přípravy teplé vody osazena všechna odběrná místa stejným typem patového měřiče množství teplé vody („metoda A“ nebo „metoda B“ dle metodického pokynu pro metrologii č. MPM 22-07) budou pro rozdělení nákladů na jednotlivá odběrná místa použity náměry těchto měřičů</w:t>
      </w:r>
      <w:r w:rsidR="00DE4D8A">
        <w:t xml:space="preserve">. Odečty těchto měřičů průběžně provádí </w:t>
      </w:r>
      <w:r w:rsidR="00217568">
        <w:t xml:space="preserve">dodavatel. V ostatních případech budou pro rozdělení nákladů na jednotlivá odběrná místa použity spotřeby </w:t>
      </w:r>
      <w:r w:rsidR="00DE4D8A">
        <w:t>množství teplé vody za celá odběrná místa</w:t>
      </w:r>
      <w:r w:rsidR="00217568">
        <w:t xml:space="preserve"> a zúčtovací období</w:t>
      </w:r>
      <w:r w:rsidR="00DE4D8A">
        <w:t xml:space="preserve"> nahlášené odběrateli</w:t>
      </w:r>
      <w:r w:rsidR="00217568">
        <w:t>. Při použití náměrů patových měřičů teplé vody není dotčena povinnost odběratele provést odečty a vyhodnocení odečtů měřičů teplé vody na jednotlivých výtocích uvedených v předchozích bodech 2.a) až d),</w:t>
      </w:r>
    </w:p>
    <w:p w:rsidR="00282658" w:rsidRDefault="0013060B" w:rsidP="007233C6">
      <w:pPr>
        <w:pStyle w:val="Odstavecseseznamem"/>
        <w:spacing w:before="0" w:line="240" w:lineRule="auto"/>
        <w:ind w:left="567" w:hanging="284"/>
      </w:pPr>
      <w:r>
        <w:t>g</w:t>
      </w:r>
      <w:r w:rsidR="00282658">
        <w:t xml:space="preserve">) </w:t>
      </w:r>
      <w:r w:rsidR="007233C6">
        <w:tab/>
      </w:r>
      <w:r w:rsidR="002B0BA3">
        <w:t xml:space="preserve">smluvní strany se dohodly, že </w:t>
      </w:r>
      <w:r w:rsidR="00607E56">
        <w:t>dodava</w:t>
      </w:r>
      <w:r w:rsidR="002B0BA3">
        <w:t xml:space="preserve">tel provede </w:t>
      </w:r>
      <w:r w:rsidR="00DE4D8A">
        <w:t>rozdělení</w:t>
      </w:r>
      <w:r w:rsidR="002B0BA3">
        <w:t xml:space="preserve"> nákladů</w:t>
      </w:r>
      <w:r w:rsidR="00607E56">
        <w:t xml:space="preserve"> </w:t>
      </w:r>
      <w:r w:rsidR="00DE4D8A">
        <w:t xml:space="preserve">na dodávku </w:t>
      </w:r>
      <w:r w:rsidR="00607E56">
        <w:t xml:space="preserve">teplé vody </w:t>
      </w:r>
      <w:r w:rsidR="00DE4D8A" w:rsidRPr="00DE4D8A">
        <w:t xml:space="preserve">při společném měření množství odebrané tepelné energie na přípravu teplé vody pro více odběrných míst </w:t>
      </w:r>
      <w:r w:rsidR="002B0BA3">
        <w:t xml:space="preserve">dle metodiky vyhlášky č. 366/2010 Sb., </w:t>
      </w:r>
      <w:r w:rsidR="00DE4D8A">
        <w:t xml:space="preserve">v platném znění, </w:t>
      </w:r>
      <w:r w:rsidR="002B0BA3">
        <w:t xml:space="preserve">s tím, že dodavatel použije pro výpočet </w:t>
      </w:r>
      <w:r>
        <w:t>základní i spotřební složky nákladů na teplou vodu poměr dle dodaných měřených spotřeb</w:t>
      </w:r>
      <w:r w:rsidR="002B0BA3">
        <w:t>,</w:t>
      </w:r>
    </w:p>
    <w:p w:rsidR="001622B1" w:rsidRDefault="0013060B" w:rsidP="007233C6">
      <w:pPr>
        <w:pStyle w:val="Odstavecseseznamem"/>
        <w:spacing w:before="0" w:line="240" w:lineRule="auto"/>
        <w:ind w:left="567" w:hanging="284"/>
      </w:pPr>
      <w:r>
        <w:t>h</w:t>
      </w:r>
      <w:r w:rsidR="001622B1">
        <w:t xml:space="preserve">) </w:t>
      </w:r>
      <w:r w:rsidR="007233C6">
        <w:tab/>
      </w:r>
      <w:r w:rsidR="001622B1">
        <w:t xml:space="preserve">v případě, kdy minimálně jeden odběratel v rámci společné přípravy teplé vody nesouhlasí s výše uvedeným postupem rozdělení nákladů dle písm. </w:t>
      </w:r>
      <w:r>
        <w:t>g</w:t>
      </w:r>
      <w:r w:rsidR="001622B1">
        <w:t>), bude dodavatel postupovat v souladu s vyhláškou č. 366/2010 Sb.</w:t>
      </w:r>
    </w:p>
    <w:tbl>
      <w:tblPr>
        <w:tblStyle w:val="Mkatabulky"/>
        <w:tblW w:w="10206" w:type="dxa"/>
        <w:tblCellMar>
          <w:left w:w="0" w:type="dxa"/>
          <w:right w:w="0" w:type="dxa"/>
        </w:tblCellMar>
        <w:tblLook w:val="04A0" w:firstRow="1" w:lastRow="0" w:firstColumn="1" w:lastColumn="0" w:noHBand="0" w:noVBand="1"/>
      </w:tblPr>
      <w:tblGrid>
        <w:gridCol w:w="10206"/>
      </w:tblGrid>
      <w:tr w:rsidR="00A92746" w:rsidTr="00F82966">
        <w:tc>
          <w:tcPr>
            <w:tcW w:w="10206" w:type="dxa"/>
            <w:tcBorders>
              <w:top w:val="nil"/>
              <w:left w:val="nil"/>
              <w:bottom w:val="single" w:sz="4" w:space="0" w:color="auto"/>
              <w:right w:val="nil"/>
            </w:tcBorders>
            <w:tcMar>
              <w:left w:w="0" w:type="dxa"/>
            </w:tcMar>
          </w:tcPr>
          <w:p w:rsidR="00A92746" w:rsidRDefault="0084534F" w:rsidP="007233C6">
            <w:pPr>
              <w:pStyle w:val="Podtitul"/>
              <w:keepNext/>
            </w:pPr>
            <w:r>
              <w:t>Článek 10</w:t>
            </w:r>
            <w:r w:rsidR="00A92746">
              <w:t>: Reklamace</w:t>
            </w:r>
          </w:p>
        </w:tc>
      </w:tr>
    </w:tbl>
    <w:p w:rsidR="00A92746" w:rsidRDefault="00A92746" w:rsidP="007233C6">
      <w:pPr>
        <w:pStyle w:val="Odstavecseseznamem"/>
        <w:numPr>
          <w:ilvl w:val="0"/>
          <w:numId w:val="17"/>
        </w:numPr>
        <w:spacing w:before="0" w:line="240" w:lineRule="auto"/>
        <w:ind w:left="284" w:hanging="284"/>
      </w:pPr>
      <w:r>
        <w:t>V případě, že odběratel reklamuje fakturovanou cenu dodávky tepelné energie, nemá písemné odeslání reklamace odkladný účinek pro úhradu faktury, nejedná-li se s ohledem na výši předcházejících faktur za srovnatelné období o zcela zjevnou chybu.</w:t>
      </w:r>
    </w:p>
    <w:p w:rsidR="00A92746" w:rsidRDefault="005963C7" w:rsidP="007233C6">
      <w:pPr>
        <w:pStyle w:val="Odstavecseseznamem"/>
        <w:numPr>
          <w:ilvl w:val="0"/>
          <w:numId w:val="17"/>
        </w:numPr>
        <w:spacing w:before="0" w:line="240" w:lineRule="auto"/>
        <w:ind w:left="284" w:hanging="284"/>
      </w:pPr>
      <w:r>
        <w:t>Odběratel</w:t>
      </w:r>
      <w:r w:rsidR="00A92746">
        <w:t xml:space="preserve"> musí </w:t>
      </w:r>
      <w:r w:rsidR="00D861AD">
        <w:t xml:space="preserve">uplatnit </w:t>
      </w:r>
      <w:r>
        <w:t>reklamaci</w:t>
      </w:r>
      <w:r w:rsidR="00D861AD">
        <w:t xml:space="preserve"> bez zbytečného prodlení, nejpozději do 30ti dnů od zjištění reklamované </w:t>
      </w:r>
      <w:r w:rsidR="00B36929">
        <w:t>skutečnosti</w:t>
      </w:r>
      <w:r w:rsidR="00D861AD">
        <w:t xml:space="preserve">. Reklamace musí </w:t>
      </w:r>
      <w:r w:rsidR="00A92746">
        <w:t>být</w:t>
      </w:r>
      <w:r w:rsidR="00B36929">
        <w:t xml:space="preserve"> </w:t>
      </w:r>
      <w:r w:rsidR="00A92746">
        <w:t xml:space="preserve">písemná a musí obsahovat jednoznačnou identifikaci odběratele, který reklamaci podává, identifikaci odběrného místa </w:t>
      </w:r>
      <w:r w:rsidR="00B36929">
        <w:t>případně</w:t>
      </w:r>
      <w:r w:rsidR="00A92746">
        <w:t xml:space="preserve"> faktury, j</w:t>
      </w:r>
      <w:r w:rsidR="00B36929">
        <w:t>í</w:t>
      </w:r>
      <w:r w:rsidR="00A92746">
        <w:t>ž se reklamace týká, výstižný popis reklamované skutečnosti včetně dostupné podpůrné dokumentace.</w:t>
      </w:r>
    </w:p>
    <w:p w:rsidR="00A92746" w:rsidRDefault="00A92746" w:rsidP="007233C6">
      <w:pPr>
        <w:pStyle w:val="Odstavecseseznamem"/>
        <w:numPr>
          <w:ilvl w:val="0"/>
          <w:numId w:val="17"/>
        </w:numPr>
        <w:spacing w:before="0" w:line="240" w:lineRule="auto"/>
        <w:ind w:left="284" w:hanging="284"/>
      </w:pPr>
      <w:r>
        <w:lastRenderedPageBreak/>
        <w:t>Reklamace kvality dodávek ÚT a TV bude řešena měřením stupně kvality dodávek (teplota, tlak, průtok) a to měřícími přístroji, na jejichž použití se strany pro jednotlivá měření dohodnou.</w:t>
      </w:r>
    </w:p>
    <w:tbl>
      <w:tblPr>
        <w:tblStyle w:val="Mkatabulky"/>
        <w:tblW w:w="10206" w:type="dxa"/>
        <w:tblCellMar>
          <w:left w:w="0" w:type="dxa"/>
          <w:right w:w="0" w:type="dxa"/>
        </w:tblCellMar>
        <w:tblLook w:val="04A0" w:firstRow="1" w:lastRow="0" w:firstColumn="1" w:lastColumn="0" w:noHBand="0" w:noVBand="1"/>
      </w:tblPr>
      <w:tblGrid>
        <w:gridCol w:w="10206"/>
      </w:tblGrid>
      <w:tr w:rsidR="002C2D45" w:rsidTr="00F82966">
        <w:tc>
          <w:tcPr>
            <w:tcW w:w="10206" w:type="dxa"/>
            <w:tcBorders>
              <w:top w:val="nil"/>
              <w:left w:val="nil"/>
              <w:bottom w:val="single" w:sz="4" w:space="0" w:color="auto"/>
              <w:right w:val="nil"/>
            </w:tcBorders>
            <w:tcMar>
              <w:left w:w="0" w:type="dxa"/>
            </w:tcMar>
          </w:tcPr>
          <w:p w:rsidR="002C2D45" w:rsidRDefault="0084534F" w:rsidP="008902DB">
            <w:pPr>
              <w:pStyle w:val="Podtitul"/>
            </w:pPr>
            <w:r>
              <w:t>Článek 11</w:t>
            </w:r>
            <w:r w:rsidR="002C2D45">
              <w:t>: Práva a povinnosti dodavatele</w:t>
            </w:r>
          </w:p>
        </w:tc>
      </w:tr>
    </w:tbl>
    <w:p w:rsidR="00EF07FD" w:rsidRDefault="00EF07FD" w:rsidP="0040139D">
      <w:pPr>
        <w:pStyle w:val="Odstavecseseznamem"/>
        <w:numPr>
          <w:ilvl w:val="0"/>
          <w:numId w:val="18"/>
        </w:numPr>
        <w:spacing w:before="0" w:line="240" w:lineRule="auto"/>
        <w:ind w:left="284" w:hanging="284"/>
      </w:pPr>
      <w:r>
        <w:t>Dodavatel je oprávněn přerušit dodávky tepelné energie v nezbytném rozsahu v případech uvedených v </w:t>
      </w:r>
      <w:r w:rsidR="00096692">
        <w:t>§76 odst. 4 zákona č. 458/2000 Sb., energetický zákon</w:t>
      </w:r>
      <w:r>
        <w:t>, zejména při neoprávněném odběru, tj. např. při neplacení záloh.</w:t>
      </w:r>
    </w:p>
    <w:p w:rsidR="00804FCA" w:rsidRDefault="00EF07FD" w:rsidP="0040139D">
      <w:pPr>
        <w:pStyle w:val="Odstavecseseznamem"/>
        <w:numPr>
          <w:ilvl w:val="0"/>
          <w:numId w:val="18"/>
        </w:numPr>
        <w:spacing w:before="0" w:line="240" w:lineRule="auto"/>
        <w:ind w:left="284" w:hanging="284"/>
      </w:pPr>
      <w:r>
        <w:t>Dodavatel je oprávněn zabezpečit plombami uzavírací ventil odběratele pro ÚT</w:t>
      </w:r>
      <w:r w:rsidR="001E5A74">
        <w:t xml:space="preserve"> v případě, že uzavírací ventil plní funkci regulačního prvku soustavy. Zabezpečovat plombami uzavírací ventil nelze u objektů odběratele vybavených regulací topné soustavy.</w:t>
      </w:r>
    </w:p>
    <w:p w:rsidR="001E5A74" w:rsidRDefault="001E5A74" w:rsidP="0040139D">
      <w:pPr>
        <w:pStyle w:val="Odstavecseseznamem"/>
        <w:numPr>
          <w:ilvl w:val="0"/>
          <w:numId w:val="18"/>
        </w:numPr>
        <w:spacing w:before="0" w:line="240" w:lineRule="auto"/>
        <w:ind w:left="284" w:hanging="284"/>
      </w:pPr>
      <w:r>
        <w:t xml:space="preserve">Dodavatel je povinen si počínat při vstupu do odběrného místa tak, aby odběrateli nevznikaly </w:t>
      </w:r>
      <w:r w:rsidR="00096692">
        <w:t xml:space="preserve">žádné </w:t>
      </w:r>
      <w:r>
        <w:t xml:space="preserve">škody. Škody na majetku odběratele a jeho nájemců vzniklé prokazatelně </w:t>
      </w:r>
      <w:r w:rsidR="00096692">
        <w:t>činností dodavatele jdou na vrub</w:t>
      </w:r>
      <w:r>
        <w:t xml:space="preserve"> dodavatele.</w:t>
      </w:r>
    </w:p>
    <w:tbl>
      <w:tblPr>
        <w:tblStyle w:val="Mkatabulky"/>
        <w:tblW w:w="10206" w:type="dxa"/>
        <w:tblCellMar>
          <w:left w:w="0" w:type="dxa"/>
          <w:right w:w="0" w:type="dxa"/>
        </w:tblCellMar>
        <w:tblLook w:val="04A0" w:firstRow="1" w:lastRow="0" w:firstColumn="1" w:lastColumn="0" w:noHBand="0" w:noVBand="1"/>
      </w:tblPr>
      <w:tblGrid>
        <w:gridCol w:w="10206"/>
      </w:tblGrid>
      <w:tr w:rsidR="001E5A74" w:rsidTr="00F82966">
        <w:tc>
          <w:tcPr>
            <w:tcW w:w="10206" w:type="dxa"/>
            <w:tcBorders>
              <w:top w:val="nil"/>
              <w:left w:val="nil"/>
              <w:bottom w:val="single" w:sz="4" w:space="0" w:color="auto"/>
              <w:right w:val="nil"/>
            </w:tcBorders>
            <w:tcMar>
              <w:left w:w="0" w:type="dxa"/>
            </w:tcMar>
          </w:tcPr>
          <w:p w:rsidR="001E5A74" w:rsidRDefault="001E5A74" w:rsidP="0040139D">
            <w:pPr>
              <w:pStyle w:val="Podtitul"/>
              <w:keepNext/>
            </w:pPr>
            <w:r>
              <w:t>Článek 1</w:t>
            </w:r>
            <w:r w:rsidR="0084534F">
              <w:t>2</w:t>
            </w:r>
            <w:r>
              <w:t>: Práva a povinnosti odběratele</w:t>
            </w:r>
          </w:p>
        </w:tc>
      </w:tr>
    </w:tbl>
    <w:p w:rsidR="001E5A74" w:rsidRDefault="00EB5FE5" w:rsidP="0040139D">
      <w:pPr>
        <w:pStyle w:val="Odstavecseseznamem"/>
        <w:numPr>
          <w:ilvl w:val="0"/>
          <w:numId w:val="19"/>
        </w:numPr>
        <w:spacing w:before="0" w:line="240" w:lineRule="auto"/>
        <w:ind w:left="284" w:hanging="283"/>
      </w:pPr>
      <w:r>
        <w:t xml:space="preserve">Odběratel je povinen užívat dodávky </w:t>
      </w:r>
      <w:r w:rsidR="00096692">
        <w:t xml:space="preserve">tepelné energie </w:t>
      </w:r>
      <w:r>
        <w:t>pouze k účelům, k nimž jsou obvykle určeny. Dodavatel neodpovídá za škody způsobené nesprávným použitím či neodbornou manipulací.</w:t>
      </w:r>
    </w:p>
    <w:p w:rsidR="00EB5FE5" w:rsidRDefault="003A169D" w:rsidP="0040139D">
      <w:pPr>
        <w:pStyle w:val="Odstavecseseznamem"/>
        <w:numPr>
          <w:ilvl w:val="0"/>
          <w:numId w:val="19"/>
        </w:numPr>
        <w:spacing w:before="0" w:line="240" w:lineRule="auto"/>
        <w:ind w:left="284" w:hanging="283"/>
      </w:pPr>
      <w:r>
        <w:t>O</w:t>
      </w:r>
      <w:r w:rsidR="00EB5FE5">
        <w:t xml:space="preserve">dběratel </w:t>
      </w:r>
      <w:r>
        <w:t xml:space="preserve">je </w:t>
      </w:r>
      <w:r w:rsidR="00EB5FE5">
        <w:t>povinen umožnit přístup pracovníků dodavatele nebo jím pověřené osoby k měřícím a regulačním zařízením za účelem provedení kontroly, výměny, opravy</w:t>
      </w:r>
      <w:r w:rsidR="000E60CA">
        <w:t>, úřednímu ověření</w:t>
      </w:r>
      <w:r w:rsidR="00EB5FE5">
        <w:t xml:space="preserve"> či seřízení daného tepelného zařízení v majetku dodavatele</w:t>
      </w:r>
      <w:r w:rsidR="00E70A58">
        <w:t xml:space="preserve"> umístěných na pozemcích či v objektu odběratele</w:t>
      </w:r>
      <w:r w:rsidR="00EB5FE5">
        <w:t>.</w:t>
      </w:r>
    </w:p>
    <w:p w:rsidR="00E70A58" w:rsidRDefault="00E70A58" w:rsidP="0040139D">
      <w:pPr>
        <w:pStyle w:val="Odstavecseseznamem"/>
        <w:numPr>
          <w:ilvl w:val="0"/>
          <w:numId w:val="19"/>
        </w:numPr>
        <w:spacing w:before="0" w:line="240" w:lineRule="auto"/>
        <w:ind w:left="284" w:hanging="283"/>
      </w:pPr>
      <w:r>
        <w:t xml:space="preserve">Odběratel nesmí vypouštět teplonosnou látku z topného systému bez předchozího písemného souhlasu dodavatele. To neplatí, musí-li odběratel vypouštět teplonosnou látku z důvodu poruchy topného systému. </w:t>
      </w:r>
      <w:r w:rsidR="003A169D">
        <w:t>V případě havarijního vypouštění teplonosné látky ze systému, je odběratel povinen následně tuto skutečnost nahlásit dodavateli.</w:t>
      </w:r>
    </w:p>
    <w:p w:rsidR="00E70A58" w:rsidRDefault="00E70A58" w:rsidP="0040139D">
      <w:pPr>
        <w:pStyle w:val="Odstavecseseznamem"/>
        <w:numPr>
          <w:ilvl w:val="0"/>
          <w:numId w:val="19"/>
        </w:numPr>
        <w:spacing w:before="0" w:line="240" w:lineRule="auto"/>
        <w:ind w:left="284" w:hanging="283"/>
      </w:pPr>
      <w:r>
        <w:t>Dojde-li při činnostech odběratele na odběrném tepelném zařízení k porušení plomb dodavatele, je odběratel povinen o tom neprodleně uvědomit dodavatele.</w:t>
      </w:r>
    </w:p>
    <w:p w:rsidR="00E70A58" w:rsidRDefault="00E70A58" w:rsidP="0040139D">
      <w:pPr>
        <w:pStyle w:val="Odstavecseseznamem"/>
        <w:numPr>
          <w:ilvl w:val="0"/>
          <w:numId w:val="19"/>
        </w:numPr>
        <w:spacing w:before="0" w:line="240" w:lineRule="auto"/>
        <w:ind w:left="284" w:hanging="283"/>
      </w:pPr>
      <w:r>
        <w:t xml:space="preserve">Odběratel je povinen zajistit dodržování ustanovení smlouvy i </w:t>
      </w:r>
      <w:r w:rsidR="00772651">
        <w:t>ostatními</w:t>
      </w:r>
      <w:r>
        <w:t xml:space="preserve"> </w:t>
      </w:r>
      <w:r w:rsidR="000E3286">
        <w:t>obyvateli</w:t>
      </w:r>
      <w:r>
        <w:t xml:space="preserve"> či osobami, které spolu s ním odběrné místo užívají nebo se v něm zdržují.</w:t>
      </w:r>
    </w:p>
    <w:p w:rsidR="0037291F" w:rsidRDefault="00E70A58" w:rsidP="0040139D">
      <w:pPr>
        <w:pStyle w:val="Odstavecseseznamem"/>
        <w:numPr>
          <w:ilvl w:val="0"/>
          <w:numId w:val="19"/>
        </w:numPr>
        <w:spacing w:before="0" w:line="240" w:lineRule="auto"/>
        <w:ind w:left="284" w:hanging="283"/>
      </w:pPr>
      <w:r>
        <w:t>Odběratel je povinen řádně evidovat údaje o každém odběru TV v daném odběrném místě a na požádání je předložit dodavateli. Evidence musí obsahovat tyto údaje: název odběrného místa, název zdroje, číslo smlouvy, čísla měřidel, umístění v odběrném místě, datum počátečního a koncového odečtu, počáteční a koncový stav, spotřebu v m</w:t>
      </w:r>
      <w:r w:rsidRPr="00E70A58">
        <w:rPr>
          <w:vertAlign w:val="superscript"/>
        </w:rPr>
        <w:t>3</w:t>
      </w:r>
      <w:r>
        <w:t xml:space="preserve">, </w:t>
      </w:r>
      <w:r w:rsidR="00543DB4">
        <w:t>označení zda se jedná o domácnost či ostatní odběr, vyznačení náhradního výpočtu spotřeby s uvedením období, za které byl proveden, včetně uvedení důvodu.</w:t>
      </w:r>
    </w:p>
    <w:p w:rsidR="00B26F8A" w:rsidRDefault="00B26F8A" w:rsidP="0040139D">
      <w:pPr>
        <w:pStyle w:val="Odstavecseseznamem"/>
        <w:numPr>
          <w:ilvl w:val="0"/>
          <w:numId w:val="19"/>
        </w:numPr>
        <w:spacing w:before="0" w:line="240" w:lineRule="auto"/>
        <w:ind w:left="284" w:hanging="283"/>
      </w:pPr>
      <w:r>
        <w:t xml:space="preserve">Odběratel je </w:t>
      </w:r>
      <w:r w:rsidR="00690C56">
        <w:t xml:space="preserve">povinen </w:t>
      </w:r>
      <w:r>
        <w:t>neprodleně písemně sdělit dodavateli:</w:t>
      </w:r>
    </w:p>
    <w:p w:rsidR="00B26F8A" w:rsidRDefault="00B26F8A" w:rsidP="00B26F8A">
      <w:pPr>
        <w:pStyle w:val="Odstavecseseznamem"/>
        <w:numPr>
          <w:ilvl w:val="1"/>
          <w:numId w:val="31"/>
        </w:numPr>
        <w:spacing w:before="0" w:line="240" w:lineRule="auto"/>
      </w:pPr>
      <w:r>
        <w:t>plánované rekonstrukce, opravy či jiné změny na stávajícím odběrném tepelném zařízení</w:t>
      </w:r>
    </w:p>
    <w:p w:rsidR="00B26F8A" w:rsidRDefault="00B26F8A" w:rsidP="00B26F8A">
      <w:pPr>
        <w:pStyle w:val="Odstavecseseznamem"/>
        <w:numPr>
          <w:ilvl w:val="1"/>
          <w:numId w:val="31"/>
        </w:numPr>
        <w:spacing w:before="0" w:line="240" w:lineRule="auto"/>
      </w:pPr>
      <w:r>
        <w:t>provádění oprav a rekonstrukcí na odběrném tepelném zařízení</w:t>
      </w:r>
      <w:r w:rsidR="00690C56">
        <w:t>, které byly odsouhlaseny dodavatelem, a po skončení prací vyzvat dodavatele ke kontrole odběrného tepelného zařízení a uvedení do provozu</w:t>
      </w:r>
    </w:p>
    <w:p w:rsidR="00690C56" w:rsidRDefault="00690C56" w:rsidP="00B26F8A">
      <w:pPr>
        <w:pStyle w:val="Odstavecseseznamem"/>
        <w:numPr>
          <w:ilvl w:val="1"/>
          <w:numId w:val="31"/>
        </w:numPr>
        <w:spacing w:before="0" w:line="240" w:lineRule="auto"/>
      </w:pPr>
      <w:r>
        <w:t>změnu odběratele tepelné energie</w:t>
      </w:r>
    </w:p>
    <w:p w:rsidR="00690C56" w:rsidRDefault="00690C56" w:rsidP="00B26F8A">
      <w:pPr>
        <w:pStyle w:val="Odstavecseseznamem"/>
        <w:numPr>
          <w:ilvl w:val="1"/>
          <w:numId w:val="31"/>
        </w:numPr>
        <w:spacing w:before="0" w:line="240" w:lineRule="auto"/>
      </w:pPr>
      <w:r>
        <w:t>změny podlahové plochy s rozdělením na bytové a nebytové plochy či počty bytů a to vždy nejpozději 5 dnů před zahájením takové rekonstrukce či opravy, která má na změnu uvedených hodnot vliv.</w:t>
      </w:r>
    </w:p>
    <w:p w:rsidR="00690C56" w:rsidRDefault="00690C56" w:rsidP="00690C56">
      <w:pPr>
        <w:pStyle w:val="Odstavecseseznamem"/>
        <w:numPr>
          <w:ilvl w:val="0"/>
          <w:numId w:val="32"/>
        </w:numPr>
        <w:spacing w:before="0" w:line="240" w:lineRule="auto"/>
      </w:pPr>
      <w:r>
        <w:t>Nesplní-li odběratel ohlašovací povinnost ke škodě na majetku dod</w:t>
      </w:r>
      <w:r w:rsidR="0084534F">
        <w:t>a</w:t>
      </w:r>
      <w:r>
        <w:t>vatele nebo dalších odběratelů, je odběratel povinen uhradit dodavateli veškeré škody vzniklé opomenutím odběratele. Náhrada škody se řídí ustanovením § 2909 a násl. občanského zákoníku.</w:t>
      </w:r>
    </w:p>
    <w:tbl>
      <w:tblPr>
        <w:tblStyle w:val="Mkatabulky"/>
        <w:tblW w:w="10206" w:type="dxa"/>
        <w:tblCellMar>
          <w:left w:w="0" w:type="dxa"/>
          <w:right w:w="0" w:type="dxa"/>
        </w:tblCellMar>
        <w:tblLook w:val="04A0" w:firstRow="1" w:lastRow="0" w:firstColumn="1" w:lastColumn="0" w:noHBand="0" w:noVBand="1"/>
      </w:tblPr>
      <w:tblGrid>
        <w:gridCol w:w="10206"/>
      </w:tblGrid>
      <w:tr w:rsidR="00BC3864" w:rsidTr="00F82966">
        <w:tc>
          <w:tcPr>
            <w:tcW w:w="10206" w:type="dxa"/>
            <w:tcBorders>
              <w:top w:val="nil"/>
              <w:left w:val="nil"/>
              <w:bottom w:val="single" w:sz="4" w:space="0" w:color="auto"/>
              <w:right w:val="nil"/>
            </w:tcBorders>
            <w:tcMar>
              <w:left w:w="0" w:type="dxa"/>
            </w:tcMar>
          </w:tcPr>
          <w:p w:rsidR="00BC3864" w:rsidRDefault="0084534F" w:rsidP="0040139D">
            <w:pPr>
              <w:pStyle w:val="Podtitul"/>
              <w:keepNext/>
            </w:pPr>
            <w:r>
              <w:t>Článek 13</w:t>
            </w:r>
            <w:r w:rsidR="00BC3864">
              <w:t>:</w:t>
            </w:r>
            <w:r w:rsidR="00D2071D">
              <w:t xml:space="preserve"> </w:t>
            </w:r>
            <w:r w:rsidR="00BC3864">
              <w:t>Změny obchodních podmínek</w:t>
            </w:r>
          </w:p>
        </w:tc>
      </w:tr>
    </w:tbl>
    <w:p w:rsidR="00BC3864" w:rsidRDefault="00BC3864" w:rsidP="00BC3864">
      <w:pPr>
        <w:pStyle w:val="Odstavecseseznamem"/>
        <w:numPr>
          <w:ilvl w:val="0"/>
          <w:numId w:val="30"/>
        </w:numPr>
        <w:spacing w:before="0" w:line="240" w:lineRule="auto"/>
        <w:ind w:left="284" w:hanging="284"/>
      </w:pPr>
      <w:r>
        <w:t>Dle dohody odběratele a dodavatele ve smlouvě je dodavatel oprávněn ke změně obchodních podmínek. V tomto článku obchodních podmínek je upraven způsob oznámení změny obchodních podmínek odběrateli.</w:t>
      </w:r>
      <w:r w:rsidR="00670950">
        <w:t xml:space="preserve"> Dodavatel je oprávněn oznámit odběrateli změnu obchodních podmínek prostřednictvím uveřejnění </w:t>
      </w:r>
      <w:r w:rsidR="00AB4DA7">
        <w:t xml:space="preserve">této změny obchodních podmínek na svých webových stránkách dodavatele </w:t>
      </w:r>
      <w:hyperlink r:id="rId9" w:history="1">
        <w:r w:rsidR="00AB4DA7" w:rsidRPr="00AF2B48">
          <w:rPr>
            <w:rStyle w:val="Hypertextovodkaz"/>
          </w:rPr>
          <w:t>www.setep.cz</w:t>
        </w:r>
      </w:hyperlink>
      <w:r w:rsidR="00AB4DA7">
        <w:t>, a to alespoň 21 dnů před okamžikem účinnosti této změny; toto oznámení (uveřejnění) se považuje za učiněné v den umístění tohoto oznámení na předmětné webové stránky dodavatele a musí v něm být uvedeno datum, kdy změna obchodních podmínek nabude účinnosti. Dodavatel je povinen rovněž odběratele o změně obchodních podmínek vhodným způsobem informovat (např. upozorněním na daňovém dokladu) s tím, že tato informace resp. její doručení nemá vliv na účinnost změny obchodních podmínek oznámením (uveřejněním), a na požádání mu obchodní podmínky neprodleně zaslat písemně či elektronickou poštou. Odběratel je povinen se se změnou obchodních podmínek seznámit.</w:t>
      </w:r>
    </w:p>
    <w:p w:rsidR="00AB4DA7" w:rsidRDefault="00F9178B" w:rsidP="00BC3864">
      <w:pPr>
        <w:pStyle w:val="Odstavecseseznamem"/>
        <w:numPr>
          <w:ilvl w:val="0"/>
          <w:numId w:val="30"/>
        </w:numPr>
        <w:spacing w:before="0" w:line="240" w:lineRule="auto"/>
        <w:ind w:left="284" w:hanging="284"/>
      </w:pPr>
      <w:r>
        <w:t>Odběratel je oprávněn změny obchodních podmínek ve lhůtě 21 dnů</w:t>
      </w:r>
      <w:r w:rsidR="002A32B7">
        <w:t xml:space="preserve"> od uveřejnění oznámení dodavatele o změně odmítnout a smlouvu z tohoto důvodu písemně vypovědět. Výpovědní doba činí 6 měsíců a počíná běžet prvním dnem následujícího měsíce po měsíci, ve kterém byla výpověď odběratele doručena dodavateli. Smlouva uzavřená mezi odběratelem a dodavatelem zaniká uplynutím výpovědní doby. Po dobu výpovědní doby se smluvní vztah mezi dodavatelem a odběratelem řídí smlouvou, obchodními podmínkami naposledy platnými a účinnými a obecně závaznými právními předpisy.</w:t>
      </w:r>
    </w:p>
    <w:p w:rsidR="002A32B7" w:rsidRDefault="004F081C" w:rsidP="00BC3864">
      <w:pPr>
        <w:pStyle w:val="Odstavecseseznamem"/>
        <w:numPr>
          <w:ilvl w:val="0"/>
          <w:numId w:val="30"/>
        </w:numPr>
        <w:spacing w:before="0" w:line="240" w:lineRule="auto"/>
        <w:ind w:left="284" w:hanging="284"/>
      </w:pPr>
      <w:r>
        <w:t>V případě, že odběratel ve lhůtě 21 dnů od uveřejnění oznámení dod</w:t>
      </w:r>
      <w:r w:rsidR="00DB69F8">
        <w:t>a</w:t>
      </w:r>
      <w:r>
        <w:t>vatele o změně obchodních podmínek podle čl. 1</w:t>
      </w:r>
      <w:r w:rsidR="00E7069B">
        <w:t>3</w:t>
      </w:r>
      <w:r>
        <w:t xml:space="preserve"> odst. 2 nedoručí dodavateli písemnou výpověď z této smlouvy, má se za to, že tak projevil svůj souhlas s návrhem změny, tento návrh změny obchodních podmínek akceptoval a změna obchodních podmínek je pak pro obě strany závazná. Návrh se považuje za akceptovaný i v případě, že odběratel postupuje podle změněných obchodních podmínek, nebo pokud učiní vůči dodavateli jiná právní jednání představující akceptaci návrhu změny obchodních podmínek.</w:t>
      </w:r>
    </w:p>
    <w:p w:rsidR="004F081C" w:rsidRDefault="004F081C" w:rsidP="00BC3864">
      <w:pPr>
        <w:pStyle w:val="Odstavecseseznamem"/>
        <w:numPr>
          <w:ilvl w:val="0"/>
          <w:numId w:val="30"/>
        </w:numPr>
        <w:spacing w:before="0" w:line="240" w:lineRule="auto"/>
        <w:ind w:left="284" w:hanging="284"/>
      </w:pPr>
      <w:r>
        <w:t>Pravidla obsažená v tomto čl. 1</w:t>
      </w:r>
      <w:r w:rsidR="00E7069B">
        <w:t>3</w:t>
      </w:r>
      <w:r>
        <w:t xml:space="preserve"> obchodních podmínek platí obdobně i pro vyhlášení nových obchodních podmínek.</w:t>
      </w:r>
    </w:p>
    <w:tbl>
      <w:tblPr>
        <w:tblStyle w:val="Mkatabulky"/>
        <w:tblW w:w="10206" w:type="dxa"/>
        <w:tblCellMar>
          <w:left w:w="0" w:type="dxa"/>
          <w:right w:w="0" w:type="dxa"/>
        </w:tblCellMar>
        <w:tblLook w:val="04A0" w:firstRow="1" w:lastRow="0" w:firstColumn="1" w:lastColumn="0" w:noHBand="0" w:noVBand="1"/>
      </w:tblPr>
      <w:tblGrid>
        <w:gridCol w:w="10206"/>
      </w:tblGrid>
      <w:tr w:rsidR="0037291F" w:rsidTr="00F82966">
        <w:tc>
          <w:tcPr>
            <w:tcW w:w="10206" w:type="dxa"/>
            <w:tcBorders>
              <w:top w:val="nil"/>
              <w:left w:val="nil"/>
              <w:bottom w:val="single" w:sz="4" w:space="0" w:color="auto"/>
              <w:right w:val="nil"/>
            </w:tcBorders>
            <w:tcMar>
              <w:left w:w="0" w:type="dxa"/>
            </w:tcMar>
          </w:tcPr>
          <w:p w:rsidR="0037291F" w:rsidRDefault="000E3286" w:rsidP="0084534F">
            <w:pPr>
              <w:pStyle w:val="Podtitul"/>
              <w:keepNext/>
            </w:pPr>
            <w:r>
              <w:t>Článek 1</w:t>
            </w:r>
            <w:r w:rsidR="0084534F">
              <w:t>4</w:t>
            </w:r>
            <w:r w:rsidR="0037291F">
              <w:t>: Závěrečná ustanovení</w:t>
            </w:r>
          </w:p>
        </w:tc>
      </w:tr>
    </w:tbl>
    <w:p w:rsidR="00DB69F8" w:rsidRDefault="00347FAB" w:rsidP="00347FAB">
      <w:pPr>
        <w:pStyle w:val="Odstavecseseznamem"/>
        <w:numPr>
          <w:ilvl w:val="0"/>
          <w:numId w:val="21"/>
        </w:numPr>
        <w:spacing w:before="0" w:line="240" w:lineRule="auto"/>
        <w:ind w:left="284" w:hanging="283"/>
      </w:pPr>
      <w:r>
        <w:t xml:space="preserve">Smluvní strany se zavazují zachovávat mlčenlivost o všech důvěrných skutečnostech, které se dozvěděly v souvislosti se smlouvou, a chránit důvěrnost informací druhé strany před jejich neoprávněným užitím třetími stranami.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Za důvěrné informace se nepovažují </w:t>
      </w:r>
      <w:r>
        <w:lastRenderedPageBreak/>
        <w:t>informace o uzavření (vzniku) a o ukončení (zániku) smlouvy, jakož i údaje potřebné pro výpočet ceny dodávané tepelné energie (zejména velikosti podlahových ploch a odečty vodoměrů).</w:t>
      </w:r>
    </w:p>
    <w:p w:rsidR="00347FAB" w:rsidRDefault="00B26F8A" w:rsidP="00347FAB">
      <w:pPr>
        <w:pStyle w:val="Odstavecseseznamem"/>
        <w:numPr>
          <w:ilvl w:val="0"/>
          <w:numId w:val="21"/>
        </w:numPr>
        <w:spacing w:before="0" w:line="240" w:lineRule="auto"/>
        <w:ind w:left="284" w:hanging="283"/>
      </w:pPr>
      <w:r>
        <w:t>Odběratel souhlasí, aby dodavatel pro účely plnění závazků vyplývajících ze smlouvy a případně rovněž pro účely informování dodavatele o svých produktech shromažďoval, zpracovával a uchovával osobní údaje odběratele – fyzické osoby, a to zejména: jméno a příjmení, bydliště, rodné číslo či datum narození, číslo bankovního účtu (účtů) a kontaktní údaje. Ochrana osobních údajů bude technicky zabezpečena v souladu se zákonem č. 101/2000 Sb., o ochraně osobních údajů, v platném znění. Odběratel – fyzická osoba, má právo požadovat po dodavateli v případě, že se bude domnívat, že dodavatel zpracovává jeho osobní údaje v rozporu s ochranou jeho soukromého a osobního života nebo v rozporu se zákonem o ochraně osobních údajů, zejména zpracovává-li nepřesné údaje, vysvětlení a případně nápravu stavu.</w:t>
      </w:r>
    </w:p>
    <w:p w:rsidR="008447D3" w:rsidRDefault="008447D3" w:rsidP="00B26F8A">
      <w:pPr>
        <w:pStyle w:val="Odstavecseseznamem"/>
        <w:numPr>
          <w:ilvl w:val="0"/>
          <w:numId w:val="21"/>
        </w:numPr>
        <w:spacing w:before="0" w:line="240" w:lineRule="auto"/>
        <w:ind w:left="284" w:hanging="284"/>
      </w:pPr>
      <w:r>
        <w:t>Obě smluvní strany se zavazují podávat si včasné informace o změnách údajů uvedených ve smlouvě, které nemají vliv na obsah smlouvy, zejména změny identifikačních a kontaktních údajů (změny bankovního spojení, IČO, DIČ, změny v názvu odběratele, odběrného místa, adresy pro zasílání faktur), a to nejpozději 5 dnů před nabytím účinnosti této změny.</w:t>
      </w:r>
    </w:p>
    <w:p w:rsidR="00B26F8A" w:rsidRDefault="00690C56" w:rsidP="00B26F8A">
      <w:pPr>
        <w:pStyle w:val="Odstavecseseznamem"/>
        <w:numPr>
          <w:ilvl w:val="0"/>
          <w:numId w:val="21"/>
        </w:numPr>
        <w:spacing w:before="0" w:line="240" w:lineRule="auto"/>
        <w:ind w:left="284" w:hanging="284"/>
      </w:pPr>
      <w:r>
        <w:t>Odběratel bude veškeré písemnosti související s dodávkou tepelné energie zasílat na adresu sídla dodavatele.</w:t>
      </w:r>
    </w:p>
    <w:p w:rsidR="00690C56" w:rsidRDefault="00690C56" w:rsidP="00B26F8A">
      <w:pPr>
        <w:pStyle w:val="Odstavecseseznamem"/>
        <w:numPr>
          <w:ilvl w:val="0"/>
          <w:numId w:val="21"/>
        </w:numPr>
        <w:spacing w:before="0" w:line="240" w:lineRule="auto"/>
        <w:ind w:left="284" w:hanging="284"/>
      </w:pPr>
      <w:r>
        <w:t>Jakékoliv oznámení, které má dodavatel učinit písemně, není-li sjednáno jinak, učiní dodavatel formou obyčejného dopisu. Dodavatel nenese odpovědnost za včasné nevyzvednutí dopisu odběratelem a za jeho případné nedoručení, pokud byl řádně předán k poštovní přepravě.</w:t>
      </w:r>
    </w:p>
    <w:p w:rsidR="006B4639" w:rsidRDefault="006B4639" w:rsidP="00B26F8A">
      <w:pPr>
        <w:pStyle w:val="Odstavecseseznamem"/>
        <w:numPr>
          <w:ilvl w:val="0"/>
          <w:numId w:val="21"/>
        </w:numPr>
        <w:spacing w:before="0" w:line="240" w:lineRule="auto"/>
        <w:ind w:left="284" w:hanging="284"/>
      </w:pPr>
      <w:r>
        <w:t>Tyto obchodní podmínky nabývají účinnosti dne 1.1.201</w:t>
      </w:r>
      <w:r w:rsidR="00A527DE">
        <w:t>6</w:t>
      </w:r>
      <w:r w:rsidR="00116B40">
        <w:t xml:space="preserve"> a nahrazují obchodní podmínky ze dne 1.1.2015.</w:t>
      </w:r>
    </w:p>
    <w:tbl>
      <w:tblPr>
        <w:tblStyle w:val="Mkatabul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3"/>
        <w:gridCol w:w="4961"/>
      </w:tblGrid>
      <w:tr w:rsidR="007E0DB6" w:rsidTr="00F82966">
        <w:tc>
          <w:tcPr>
            <w:tcW w:w="5363" w:type="dxa"/>
          </w:tcPr>
          <w:p w:rsidR="00AA5829" w:rsidRDefault="00AA5829" w:rsidP="008902DB"/>
          <w:p w:rsidR="007E0DB6" w:rsidRDefault="007E0DB6" w:rsidP="008902DB"/>
          <w:p w:rsidR="009A3380" w:rsidRDefault="009A3380" w:rsidP="008902DB"/>
          <w:p w:rsidR="009A3380" w:rsidRDefault="009A3380" w:rsidP="008902DB"/>
          <w:p w:rsidR="009A3380" w:rsidRDefault="009A3380" w:rsidP="008902DB"/>
          <w:p w:rsidR="009A3380" w:rsidRDefault="009A3380" w:rsidP="008902DB"/>
          <w:p w:rsidR="009A3380" w:rsidRDefault="009A3380" w:rsidP="008902DB"/>
          <w:p w:rsidR="009A3380" w:rsidRDefault="009A3380" w:rsidP="009A3380">
            <w:pPr>
              <w:spacing w:before="0"/>
            </w:pPr>
            <w:r>
              <w:t>…………………………………………………</w:t>
            </w:r>
          </w:p>
          <w:p w:rsidR="009A3380" w:rsidRDefault="009A3380" w:rsidP="009A3380">
            <w:pPr>
              <w:spacing w:before="0"/>
            </w:pPr>
            <w:r>
              <w:t xml:space="preserve">      </w:t>
            </w:r>
            <w:r w:rsidR="000A1639">
              <w:t xml:space="preserve">       </w:t>
            </w:r>
            <w:r>
              <w:t xml:space="preserve">Ing. </w:t>
            </w:r>
            <w:r w:rsidR="000A1639">
              <w:t>Petr Horák</w:t>
            </w:r>
          </w:p>
          <w:p w:rsidR="009A3380" w:rsidRDefault="009A3380" w:rsidP="000A1639">
            <w:pPr>
              <w:spacing w:before="0"/>
            </w:pPr>
            <w:r>
              <w:t xml:space="preserve">          ředitel</w:t>
            </w:r>
            <w:r w:rsidR="000A1639">
              <w:t xml:space="preserve"> společnosti</w:t>
            </w:r>
          </w:p>
        </w:tc>
        <w:tc>
          <w:tcPr>
            <w:tcW w:w="4961" w:type="dxa"/>
          </w:tcPr>
          <w:p w:rsidR="007E0DB6" w:rsidRDefault="007E0DB6" w:rsidP="008902DB"/>
        </w:tc>
      </w:tr>
      <w:tr w:rsidR="007E0DB6" w:rsidTr="00AA5829">
        <w:trPr>
          <w:trHeight w:val="60"/>
        </w:trPr>
        <w:tc>
          <w:tcPr>
            <w:tcW w:w="5363" w:type="dxa"/>
          </w:tcPr>
          <w:p w:rsidR="007E0DB6" w:rsidRDefault="007E0DB6" w:rsidP="008902DB"/>
        </w:tc>
        <w:tc>
          <w:tcPr>
            <w:tcW w:w="4961" w:type="dxa"/>
          </w:tcPr>
          <w:p w:rsidR="007E0DB6" w:rsidRDefault="007E0DB6" w:rsidP="008902DB"/>
        </w:tc>
      </w:tr>
    </w:tbl>
    <w:p w:rsidR="000E57DB" w:rsidRDefault="000E57DB" w:rsidP="00D35F33">
      <w:pPr>
        <w:pStyle w:val="Nadpis"/>
        <w:sectPr w:rsidR="000E57DB" w:rsidSect="00D2071D">
          <w:headerReference w:type="default" r:id="rId10"/>
          <w:footerReference w:type="default" r:id="rId11"/>
          <w:pgSz w:w="11906" w:h="16838"/>
          <w:pgMar w:top="1134" w:right="851" w:bottom="680" w:left="851" w:header="709" w:footer="709" w:gutter="0"/>
          <w:cols w:space="708"/>
          <w:docGrid w:linePitch="360"/>
        </w:sectPr>
      </w:pPr>
      <w:bookmarkStart w:id="1" w:name="_Ref16391200"/>
      <w:bookmarkStart w:id="2" w:name="_Toc22692035"/>
      <w:bookmarkStart w:id="3" w:name="_Toc24956888"/>
    </w:p>
    <w:p w:rsidR="00007714" w:rsidRDefault="00007714" w:rsidP="00D35F33">
      <w:pPr>
        <w:pStyle w:val="Nadpis"/>
      </w:pPr>
    </w:p>
    <w:p w:rsidR="004B1251" w:rsidRPr="00D35F33" w:rsidRDefault="004B1251" w:rsidP="00D35F33">
      <w:pPr>
        <w:pStyle w:val="Nadpis"/>
      </w:pPr>
      <w:r w:rsidRPr="00D35F33">
        <w:t>PŘÍLOHA K</w:t>
      </w:r>
      <w:r w:rsidR="000E67B3">
        <w:t xml:space="preserve"> VŠEOBECNÝM </w:t>
      </w:r>
      <w:r w:rsidRPr="00D35F33">
        <w:t>OBCHODNÍM PODMÍNKÁM</w:t>
      </w:r>
    </w:p>
    <w:bookmarkEnd w:id="1"/>
    <w:bookmarkEnd w:id="2"/>
    <w:bookmarkEnd w:id="3"/>
    <w:p w:rsidR="00A4002B" w:rsidRPr="00D35F33" w:rsidRDefault="00A4002B" w:rsidP="00007714">
      <w:pPr>
        <w:jc w:val="center"/>
        <w:rPr>
          <w:b/>
          <w:sz w:val="36"/>
          <w:lang w:eastAsia="cs-CZ"/>
        </w:rPr>
      </w:pPr>
      <w:r w:rsidRPr="00D35F33">
        <w:rPr>
          <w:b/>
          <w:sz w:val="36"/>
          <w:lang w:eastAsia="cs-CZ"/>
        </w:rPr>
        <w:t>Hlášení o spotřebovaném množství TV</w:t>
      </w:r>
    </w:p>
    <w:p w:rsidR="00A4002B" w:rsidRPr="00A4002B" w:rsidRDefault="00A4002B" w:rsidP="008902DB">
      <w:pPr>
        <w:rPr>
          <w:lang w:eastAsia="cs-CZ"/>
        </w:rPr>
      </w:pPr>
      <w:r w:rsidRPr="00A4002B">
        <w:rPr>
          <w:lang w:eastAsia="cs-CZ"/>
        </w:rPr>
        <w:t xml:space="preserve">Odběratel pro splnění povinnosti dle čl. </w:t>
      </w:r>
      <w:r w:rsidR="000E67B3">
        <w:rPr>
          <w:lang w:eastAsia="cs-CZ"/>
        </w:rPr>
        <w:t>9</w:t>
      </w:r>
      <w:r w:rsidR="00D35F33" w:rsidRPr="00D35F33">
        <w:rPr>
          <w:lang w:eastAsia="cs-CZ"/>
        </w:rPr>
        <w:t xml:space="preserve">, odst. 2 písm. </w:t>
      </w:r>
      <w:r w:rsidR="000E67B3">
        <w:rPr>
          <w:lang w:eastAsia="cs-CZ"/>
        </w:rPr>
        <w:t>c</w:t>
      </w:r>
      <w:r w:rsidR="00D35F33" w:rsidRPr="00D35F33">
        <w:rPr>
          <w:lang w:eastAsia="cs-CZ"/>
        </w:rPr>
        <w:t>)</w:t>
      </w:r>
      <w:r w:rsidRPr="00D35F33">
        <w:rPr>
          <w:lang w:eastAsia="cs-CZ"/>
        </w:rPr>
        <w:t xml:space="preserve"> </w:t>
      </w:r>
      <w:r w:rsidR="00790E45">
        <w:rPr>
          <w:lang w:eastAsia="cs-CZ"/>
        </w:rPr>
        <w:t>V</w:t>
      </w:r>
      <w:r w:rsidR="00D35F33">
        <w:rPr>
          <w:lang w:eastAsia="cs-CZ"/>
        </w:rPr>
        <w:t>šeobecných</w:t>
      </w:r>
      <w:r w:rsidRPr="00A4002B">
        <w:rPr>
          <w:lang w:eastAsia="cs-CZ"/>
        </w:rPr>
        <w:t xml:space="preserve"> obchodních podmínek použije níže uvedený formulářový vzor. Hlášení je možné zaslat v obměněné podobě, ale pouze při dodržení všech požadovaných údajů a prohlášení.</w:t>
      </w:r>
    </w:p>
    <w:p w:rsidR="00A4002B" w:rsidRPr="00A4002B" w:rsidRDefault="00A4002B" w:rsidP="008902DB">
      <w:pPr>
        <w:rPr>
          <w:lang w:eastAsia="cs-CZ"/>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0"/>
        <w:gridCol w:w="575"/>
        <w:gridCol w:w="1417"/>
        <w:gridCol w:w="990"/>
        <w:gridCol w:w="995"/>
        <w:gridCol w:w="1275"/>
        <w:gridCol w:w="94"/>
        <w:gridCol w:w="332"/>
        <w:gridCol w:w="283"/>
        <w:gridCol w:w="2552"/>
        <w:gridCol w:w="437"/>
      </w:tblGrid>
      <w:tr w:rsidR="00A4002B" w:rsidRPr="004736E8" w:rsidTr="005731A5">
        <w:trPr>
          <w:trHeight w:val="369"/>
          <w:jc w:val="center"/>
        </w:trPr>
        <w:tc>
          <w:tcPr>
            <w:tcW w:w="10800" w:type="dxa"/>
            <w:gridSpan w:val="11"/>
            <w:tcBorders>
              <w:top w:val="nil"/>
              <w:left w:val="nil"/>
              <w:bottom w:val="single" w:sz="2" w:space="0" w:color="auto"/>
              <w:right w:val="nil"/>
            </w:tcBorders>
            <w:vAlign w:val="center"/>
          </w:tcPr>
          <w:p w:rsidR="00A4002B" w:rsidRPr="004736E8" w:rsidRDefault="00A4002B" w:rsidP="008902DB">
            <w:pPr>
              <w:rPr>
                <w:b/>
                <w:lang w:eastAsia="cs-CZ"/>
              </w:rPr>
            </w:pPr>
            <w:bookmarkStart w:id="4" w:name="_Toc24956889"/>
            <w:r w:rsidRPr="004736E8">
              <w:rPr>
                <w:b/>
                <w:lang w:eastAsia="cs-CZ"/>
              </w:rPr>
              <w:t>Údaje k odběrnému místu</w:t>
            </w:r>
            <w:bookmarkEnd w:id="4"/>
          </w:p>
        </w:tc>
      </w:tr>
      <w:tr w:rsidR="00A4002B" w:rsidRPr="00A4002B" w:rsidTr="00790E45">
        <w:trPr>
          <w:trHeight w:val="369"/>
          <w:jc w:val="center"/>
        </w:trPr>
        <w:tc>
          <w:tcPr>
            <w:tcW w:w="1850" w:type="dxa"/>
            <w:tcBorders>
              <w:top w:val="single" w:sz="6" w:space="0" w:color="auto"/>
              <w:left w:val="single" w:sz="6" w:space="0" w:color="auto"/>
              <w:bottom w:val="nil"/>
              <w:right w:val="single" w:sz="2" w:space="0" w:color="auto"/>
            </w:tcBorders>
            <w:shd w:val="clear" w:color="auto" w:fill="F2F2F2" w:themeFill="background1" w:themeFillShade="F2"/>
            <w:vAlign w:val="center"/>
          </w:tcPr>
          <w:p w:rsidR="00A4002B" w:rsidRPr="00A4002B" w:rsidRDefault="00A4002B" w:rsidP="008902DB">
            <w:pPr>
              <w:rPr>
                <w:lang w:eastAsia="cs-CZ"/>
              </w:rPr>
            </w:pPr>
            <w:r w:rsidRPr="00A4002B">
              <w:rPr>
                <w:lang w:eastAsia="cs-CZ"/>
              </w:rPr>
              <w:t>Číslo odběratele:</w:t>
            </w:r>
          </w:p>
        </w:tc>
        <w:tc>
          <w:tcPr>
            <w:tcW w:w="1992" w:type="dxa"/>
            <w:gridSpan w:val="2"/>
            <w:tcBorders>
              <w:top w:val="single" w:sz="6" w:space="0" w:color="auto"/>
              <w:left w:val="single" w:sz="2" w:space="0" w:color="auto"/>
              <w:bottom w:val="nil"/>
              <w:right w:val="single" w:sz="2" w:space="0" w:color="auto"/>
            </w:tcBorders>
            <w:vAlign w:val="center"/>
          </w:tcPr>
          <w:p w:rsidR="00A4002B" w:rsidRPr="00A4002B" w:rsidRDefault="00A4002B" w:rsidP="008902DB">
            <w:pPr>
              <w:rPr>
                <w:lang w:eastAsia="cs-CZ"/>
              </w:rPr>
            </w:pPr>
          </w:p>
        </w:tc>
        <w:tc>
          <w:tcPr>
            <w:tcW w:w="1985" w:type="dxa"/>
            <w:gridSpan w:val="2"/>
            <w:tcBorders>
              <w:top w:val="single" w:sz="6" w:space="0" w:color="auto"/>
              <w:left w:val="single" w:sz="2" w:space="0" w:color="auto"/>
              <w:bottom w:val="single" w:sz="4" w:space="0" w:color="auto"/>
              <w:right w:val="single" w:sz="4" w:space="0" w:color="auto"/>
            </w:tcBorders>
            <w:shd w:val="clear" w:color="auto" w:fill="F2F2F2" w:themeFill="background1" w:themeFillShade="F2"/>
            <w:vAlign w:val="center"/>
          </w:tcPr>
          <w:p w:rsidR="00A4002B" w:rsidRPr="00A4002B" w:rsidRDefault="00215BE9" w:rsidP="008902DB">
            <w:pPr>
              <w:rPr>
                <w:lang w:eastAsia="cs-CZ"/>
              </w:rPr>
            </w:pPr>
            <w:r>
              <w:rPr>
                <w:lang w:eastAsia="cs-CZ"/>
              </w:rPr>
              <w:t>Název odběratele</w:t>
            </w:r>
            <w:r w:rsidR="00A4002B" w:rsidRPr="00A4002B">
              <w:rPr>
                <w:lang w:eastAsia="cs-CZ"/>
              </w:rPr>
              <w:t>:</w:t>
            </w:r>
          </w:p>
        </w:tc>
        <w:tc>
          <w:tcPr>
            <w:tcW w:w="4973" w:type="dxa"/>
            <w:gridSpan w:val="6"/>
            <w:tcBorders>
              <w:top w:val="single" w:sz="6" w:space="0" w:color="auto"/>
              <w:left w:val="single" w:sz="4" w:space="0" w:color="auto"/>
              <w:bottom w:val="single" w:sz="2" w:space="0" w:color="auto"/>
              <w:right w:val="single" w:sz="6" w:space="0" w:color="auto"/>
            </w:tcBorders>
            <w:vAlign w:val="center"/>
          </w:tcPr>
          <w:p w:rsidR="00A4002B" w:rsidRPr="00A4002B" w:rsidRDefault="00A4002B" w:rsidP="008902DB">
            <w:pPr>
              <w:rPr>
                <w:lang w:eastAsia="cs-CZ"/>
              </w:rPr>
            </w:pPr>
          </w:p>
        </w:tc>
      </w:tr>
      <w:tr w:rsidR="00A4002B" w:rsidRPr="00A4002B" w:rsidTr="00790E45">
        <w:trPr>
          <w:trHeight w:val="369"/>
          <w:jc w:val="center"/>
        </w:trPr>
        <w:tc>
          <w:tcPr>
            <w:tcW w:w="1850" w:type="dxa"/>
            <w:tcBorders>
              <w:top w:val="single" w:sz="6" w:space="0" w:color="auto"/>
              <w:left w:val="single" w:sz="6" w:space="0" w:color="auto"/>
              <w:bottom w:val="single" w:sz="2" w:space="0" w:color="auto"/>
              <w:right w:val="single" w:sz="2" w:space="0" w:color="auto"/>
            </w:tcBorders>
            <w:shd w:val="clear" w:color="auto" w:fill="F2F2F2" w:themeFill="background1" w:themeFillShade="F2"/>
            <w:vAlign w:val="center"/>
          </w:tcPr>
          <w:p w:rsidR="00A4002B" w:rsidRPr="00A4002B" w:rsidRDefault="00215BE9" w:rsidP="008902DB">
            <w:pPr>
              <w:rPr>
                <w:b/>
                <w:bCs/>
                <w:u w:val="single"/>
                <w:lang w:eastAsia="cs-CZ"/>
              </w:rPr>
            </w:pPr>
            <w:r>
              <w:rPr>
                <w:lang w:eastAsia="cs-CZ"/>
              </w:rPr>
              <w:t>Číslo odběrného místa</w:t>
            </w:r>
          </w:p>
        </w:tc>
        <w:tc>
          <w:tcPr>
            <w:tcW w:w="1992" w:type="dxa"/>
            <w:gridSpan w:val="2"/>
            <w:tcBorders>
              <w:top w:val="single" w:sz="6" w:space="0" w:color="auto"/>
              <w:left w:val="single" w:sz="2" w:space="0" w:color="auto"/>
              <w:bottom w:val="single" w:sz="2" w:space="0" w:color="auto"/>
              <w:right w:val="single" w:sz="2" w:space="0" w:color="auto"/>
            </w:tcBorders>
            <w:vAlign w:val="center"/>
          </w:tcPr>
          <w:p w:rsidR="00A4002B" w:rsidRPr="00A4002B" w:rsidRDefault="00A4002B" w:rsidP="008902DB">
            <w:pPr>
              <w:rPr>
                <w:lang w:eastAsia="cs-CZ"/>
              </w:rPr>
            </w:pPr>
          </w:p>
        </w:tc>
        <w:tc>
          <w:tcPr>
            <w:tcW w:w="1985" w:type="dxa"/>
            <w:gridSpan w:val="2"/>
            <w:tcBorders>
              <w:top w:val="single" w:sz="6" w:space="0" w:color="auto"/>
              <w:left w:val="single" w:sz="2" w:space="0" w:color="auto"/>
              <w:bottom w:val="single" w:sz="2" w:space="0" w:color="auto"/>
              <w:right w:val="single" w:sz="2" w:space="0" w:color="auto"/>
            </w:tcBorders>
            <w:shd w:val="clear" w:color="auto" w:fill="F2F2F2" w:themeFill="background1" w:themeFillShade="F2"/>
            <w:vAlign w:val="center"/>
          </w:tcPr>
          <w:p w:rsidR="00A4002B" w:rsidRPr="00A4002B" w:rsidRDefault="00A4002B" w:rsidP="008902DB">
            <w:pPr>
              <w:rPr>
                <w:lang w:eastAsia="cs-CZ"/>
              </w:rPr>
            </w:pPr>
            <w:r w:rsidRPr="00A4002B">
              <w:rPr>
                <w:lang w:eastAsia="cs-CZ"/>
              </w:rPr>
              <w:t>Název odběrného místa:</w:t>
            </w:r>
          </w:p>
        </w:tc>
        <w:tc>
          <w:tcPr>
            <w:tcW w:w="4973" w:type="dxa"/>
            <w:gridSpan w:val="6"/>
            <w:tcBorders>
              <w:top w:val="single" w:sz="6" w:space="0" w:color="auto"/>
              <w:left w:val="single" w:sz="2" w:space="0" w:color="auto"/>
              <w:bottom w:val="single" w:sz="2" w:space="0" w:color="auto"/>
              <w:right w:val="single" w:sz="6" w:space="0" w:color="auto"/>
            </w:tcBorders>
            <w:vAlign w:val="center"/>
          </w:tcPr>
          <w:p w:rsidR="00A4002B" w:rsidRPr="00A4002B" w:rsidRDefault="00A4002B" w:rsidP="008902DB">
            <w:pPr>
              <w:rPr>
                <w:lang w:eastAsia="cs-CZ"/>
              </w:rPr>
            </w:pPr>
          </w:p>
        </w:tc>
      </w:tr>
      <w:tr w:rsidR="00215BE9" w:rsidRPr="00A4002B" w:rsidTr="00790E45">
        <w:trPr>
          <w:trHeight w:val="369"/>
          <w:jc w:val="center"/>
        </w:trPr>
        <w:tc>
          <w:tcPr>
            <w:tcW w:w="1850" w:type="dxa"/>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rsidR="00215BE9" w:rsidRPr="00A4002B" w:rsidRDefault="00215BE9" w:rsidP="008902DB">
            <w:pPr>
              <w:rPr>
                <w:lang w:eastAsia="cs-CZ"/>
              </w:rPr>
            </w:pPr>
            <w:r>
              <w:rPr>
                <w:lang w:eastAsia="cs-CZ"/>
              </w:rPr>
              <w:t>Blok</w:t>
            </w:r>
            <w:r w:rsidRPr="00A4002B">
              <w:rPr>
                <w:lang w:eastAsia="cs-CZ"/>
              </w:rPr>
              <w:t>:</w:t>
            </w:r>
          </w:p>
        </w:tc>
        <w:tc>
          <w:tcPr>
            <w:tcW w:w="1992" w:type="dxa"/>
            <w:gridSpan w:val="2"/>
            <w:tcBorders>
              <w:top w:val="single" w:sz="2" w:space="0" w:color="auto"/>
              <w:left w:val="single" w:sz="2" w:space="0" w:color="auto"/>
              <w:bottom w:val="single" w:sz="2" w:space="0" w:color="auto"/>
              <w:right w:val="single" w:sz="2" w:space="0" w:color="auto"/>
            </w:tcBorders>
            <w:vAlign w:val="center"/>
          </w:tcPr>
          <w:p w:rsidR="00215BE9" w:rsidRPr="00A4002B" w:rsidRDefault="00215BE9" w:rsidP="008902DB">
            <w:pPr>
              <w:rPr>
                <w:lang w:eastAsia="cs-CZ"/>
              </w:rPr>
            </w:pPr>
          </w:p>
        </w:tc>
        <w:tc>
          <w:tcPr>
            <w:tcW w:w="1985"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rsidR="00215BE9" w:rsidRPr="00A4002B" w:rsidRDefault="00215BE9" w:rsidP="008902DB">
            <w:pPr>
              <w:rPr>
                <w:lang w:eastAsia="cs-CZ"/>
              </w:rPr>
            </w:pPr>
            <w:r>
              <w:rPr>
                <w:lang w:eastAsia="cs-CZ"/>
              </w:rPr>
              <w:t>Ulice</w:t>
            </w:r>
            <w:r w:rsidRPr="00A4002B">
              <w:rPr>
                <w:lang w:eastAsia="cs-CZ"/>
              </w:rPr>
              <w:t>:</w:t>
            </w:r>
          </w:p>
        </w:tc>
        <w:tc>
          <w:tcPr>
            <w:tcW w:w="4973" w:type="dxa"/>
            <w:gridSpan w:val="6"/>
            <w:tcBorders>
              <w:top w:val="single" w:sz="2" w:space="0" w:color="auto"/>
              <w:left w:val="single" w:sz="2" w:space="0" w:color="auto"/>
              <w:bottom w:val="single" w:sz="2" w:space="0" w:color="auto"/>
              <w:right w:val="single" w:sz="6" w:space="0" w:color="auto"/>
            </w:tcBorders>
            <w:vAlign w:val="center"/>
          </w:tcPr>
          <w:p w:rsidR="00215BE9" w:rsidRPr="00A4002B" w:rsidRDefault="00215BE9" w:rsidP="008902DB">
            <w:pPr>
              <w:rPr>
                <w:lang w:eastAsia="cs-CZ"/>
              </w:rPr>
            </w:pPr>
          </w:p>
        </w:tc>
      </w:tr>
      <w:tr w:rsidR="00A4002B" w:rsidRPr="00A4002B" w:rsidTr="00145C84">
        <w:trPr>
          <w:cantSplit/>
          <w:trHeight w:val="369"/>
          <w:jc w:val="center"/>
        </w:trPr>
        <w:tc>
          <w:tcPr>
            <w:tcW w:w="1850" w:type="dxa"/>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rsidR="00A4002B" w:rsidRPr="00A4002B" w:rsidRDefault="00A4002B" w:rsidP="008902DB">
            <w:pPr>
              <w:rPr>
                <w:lang w:eastAsia="cs-CZ"/>
              </w:rPr>
            </w:pPr>
            <w:r w:rsidRPr="00A4002B">
              <w:rPr>
                <w:lang w:eastAsia="cs-CZ"/>
              </w:rPr>
              <w:t>Seznam č.p.:</w:t>
            </w:r>
          </w:p>
        </w:tc>
        <w:tc>
          <w:tcPr>
            <w:tcW w:w="8950" w:type="dxa"/>
            <w:gridSpan w:val="10"/>
            <w:tcBorders>
              <w:top w:val="single" w:sz="2" w:space="0" w:color="auto"/>
              <w:left w:val="single" w:sz="2" w:space="0" w:color="auto"/>
              <w:bottom w:val="single" w:sz="2" w:space="0" w:color="auto"/>
              <w:right w:val="single" w:sz="6" w:space="0" w:color="auto"/>
            </w:tcBorders>
            <w:vAlign w:val="center"/>
          </w:tcPr>
          <w:p w:rsidR="00A4002B" w:rsidRPr="00A4002B" w:rsidRDefault="00A4002B" w:rsidP="008902DB">
            <w:pPr>
              <w:rPr>
                <w:lang w:eastAsia="cs-CZ"/>
              </w:rPr>
            </w:pPr>
          </w:p>
        </w:tc>
      </w:tr>
      <w:tr w:rsidR="00215BE9" w:rsidRPr="00A4002B" w:rsidTr="00790E45">
        <w:trPr>
          <w:cantSplit/>
          <w:trHeight w:val="369"/>
          <w:jc w:val="center"/>
        </w:trPr>
        <w:tc>
          <w:tcPr>
            <w:tcW w:w="1850" w:type="dxa"/>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rsidR="00215BE9" w:rsidRPr="00A4002B" w:rsidRDefault="00215BE9" w:rsidP="008902DB">
            <w:pPr>
              <w:rPr>
                <w:lang w:eastAsia="cs-CZ"/>
              </w:rPr>
            </w:pPr>
            <w:r>
              <w:rPr>
                <w:lang w:eastAsia="cs-CZ"/>
              </w:rPr>
              <w:t>Zdroj/VS:</w:t>
            </w:r>
          </w:p>
        </w:tc>
        <w:tc>
          <w:tcPr>
            <w:tcW w:w="1992" w:type="dxa"/>
            <w:gridSpan w:val="2"/>
            <w:tcBorders>
              <w:top w:val="single" w:sz="2" w:space="0" w:color="auto"/>
              <w:left w:val="single" w:sz="2" w:space="0" w:color="auto"/>
              <w:bottom w:val="single" w:sz="2" w:space="0" w:color="auto"/>
              <w:right w:val="single" w:sz="6" w:space="0" w:color="auto"/>
            </w:tcBorders>
            <w:vAlign w:val="center"/>
          </w:tcPr>
          <w:p w:rsidR="00215BE9" w:rsidRPr="00A4002B" w:rsidRDefault="00215BE9" w:rsidP="008902DB">
            <w:pPr>
              <w:rPr>
                <w:lang w:eastAsia="cs-CZ"/>
              </w:rPr>
            </w:pPr>
          </w:p>
        </w:tc>
        <w:tc>
          <w:tcPr>
            <w:tcW w:w="1985" w:type="dxa"/>
            <w:gridSpan w:val="2"/>
            <w:tcBorders>
              <w:top w:val="single" w:sz="2" w:space="0" w:color="auto"/>
              <w:left w:val="single" w:sz="2" w:space="0" w:color="auto"/>
              <w:bottom w:val="single" w:sz="2" w:space="0" w:color="auto"/>
              <w:right w:val="single" w:sz="6" w:space="0" w:color="auto"/>
            </w:tcBorders>
            <w:shd w:val="clear" w:color="auto" w:fill="F2F2F2" w:themeFill="background1" w:themeFillShade="F2"/>
            <w:vAlign w:val="center"/>
          </w:tcPr>
          <w:p w:rsidR="00215BE9" w:rsidRPr="00A4002B" w:rsidRDefault="00215BE9" w:rsidP="008902DB">
            <w:pPr>
              <w:rPr>
                <w:lang w:eastAsia="cs-CZ"/>
              </w:rPr>
            </w:pPr>
            <w:r>
              <w:rPr>
                <w:lang w:eastAsia="cs-CZ"/>
              </w:rPr>
              <w:t>Číslo smlouvy:</w:t>
            </w:r>
          </w:p>
        </w:tc>
        <w:tc>
          <w:tcPr>
            <w:tcW w:w="4973" w:type="dxa"/>
            <w:gridSpan w:val="6"/>
            <w:tcBorders>
              <w:top w:val="single" w:sz="2" w:space="0" w:color="auto"/>
              <w:left w:val="single" w:sz="2" w:space="0" w:color="auto"/>
              <w:bottom w:val="single" w:sz="2" w:space="0" w:color="auto"/>
              <w:right w:val="single" w:sz="6" w:space="0" w:color="auto"/>
            </w:tcBorders>
            <w:vAlign w:val="center"/>
          </w:tcPr>
          <w:p w:rsidR="00215BE9" w:rsidRPr="00A4002B" w:rsidRDefault="00215BE9" w:rsidP="008902DB">
            <w:pPr>
              <w:rPr>
                <w:lang w:eastAsia="cs-CZ"/>
              </w:rPr>
            </w:pPr>
          </w:p>
        </w:tc>
      </w:tr>
      <w:tr w:rsidR="00A4002B" w:rsidRPr="00A4002B" w:rsidTr="00790E45">
        <w:trPr>
          <w:cantSplit/>
          <w:trHeight w:val="369"/>
          <w:jc w:val="center"/>
        </w:trPr>
        <w:tc>
          <w:tcPr>
            <w:tcW w:w="3842" w:type="dxa"/>
            <w:gridSpan w:val="3"/>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rsidR="00A4002B" w:rsidRPr="00A4002B" w:rsidRDefault="00A4002B" w:rsidP="00993C22">
            <w:pPr>
              <w:rPr>
                <w:b/>
                <w:bCs/>
                <w:u w:val="single"/>
                <w:lang w:eastAsia="cs-CZ"/>
              </w:rPr>
            </w:pPr>
            <w:r w:rsidRPr="00A4002B">
              <w:rPr>
                <w:lang w:eastAsia="cs-CZ"/>
              </w:rPr>
              <w:t>Počet jednotek s odběrem TV v odběrném místě:</w:t>
            </w:r>
          </w:p>
        </w:tc>
        <w:tc>
          <w:tcPr>
            <w:tcW w:w="3686" w:type="dxa"/>
            <w:gridSpan w:val="5"/>
            <w:tcBorders>
              <w:top w:val="single" w:sz="2" w:space="0" w:color="auto"/>
              <w:left w:val="single" w:sz="2" w:space="0" w:color="auto"/>
              <w:bottom w:val="single" w:sz="2" w:space="0" w:color="auto"/>
              <w:right w:val="nil"/>
            </w:tcBorders>
            <w:vAlign w:val="center"/>
          </w:tcPr>
          <w:p w:rsidR="00A4002B" w:rsidRPr="00A4002B" w:rsidRDefault="004736E8" w:rsidP="008902DB">
            <w:pPr>
              <w:rPr>
                <w:b/>
                <w:bCs/>
                <w:u w:val="single"/>
                <w:lang w:eastAsia="cs-CZ"/>
              </w:rPr>
            </w:pPr>
            <w:r>
              <w:rPr>
                <w:lang w:eastAsia="cs-CZ"/>
              </w:rPr>
              <w:t>Domácnosti</w:t>
            </w:r>
            <w:r w:rsidR="00A4002B" w:rsidRPr="00A4002B">
              <w:rPr>
                <w:lang w:eastAsia="cs-CZ"/>
              </w:rPr>
              <w:t>:</w:t>
            </w:r>
          </w:p>
        </w:tc>
        <w:tc>
          <w:tcPr>
            <w:tcW w:w="3272" w:type="dxa"/>
            <w:gridSpan w:val="3"/>
            <w:tcBorders>
              <w:top w:val="single" w:sz="2" w:space="0" w:color="auto"/>
              <w:left w:val="nil"/>
              <w:bottom w:val="single" w:sz="2" w:space="0" w:color="auto"/>
              <w:right w:val="single" w:sz="6" w:space="0" w:color="auto"/>
            </w:tcBorders>
            <w:vAlign w:val="center"/>
          </w:tcPr>
          <w:p w:rsidR="00A4002B" w:rsidRPr="00A4002B" w:rsidRDefault="00A4002B" w:rsidP="008902DB">
            <w:pPr>
              <w:rPr>
                <w:b/>
                <w:bCs/>
                <w:u w:val="single"/>
                <w:lang w:eastAsia="cs-CZ"/>
              </w:rPr>
            </w:pPr>
            <w:r w:rsidRPr="00A4002B">
              <w:rPr>
                <w:lang w:eastAsia="cs-CZ"/>
              </w:rPr>
              <w:t>Nebytové prostory:</w:t>
            </w:r>
          </w:p>
        </w:tc>
      </w:tr>
      <w:tr w:rsidR="002124B1" w:rsidRPr="00A4002B" w:rsidTr="00790E45">
        <w:trPr>
          <w:cantSplit/>
          <w:trHeight w:val="369"/>
          <w:jc w:val="center"/>
        </w:trPr>
        <w:tc>
          <w:tcPr>
            <w:tcW w:w="3842" w:type="dxa"/>
            <w:gridSpan w:val="3"/>
            <w:tcBorders>
              <w:top w:val="single" w:sz="2" w:space="0" w:color="auto"/>
              <w:left w:val="single" w:sz="6" w:space="0" w:color="auto"/>
              <w:bottom w:val="single" w:sz="2" w:space="0" w:color="auto"/>
              <w:right w:val="single" w:sz="2" w:space="0" w:color="auto"/>
            </w:tcBorders>
            <w:shd w:val="clear" w:color="auto" w:fill="F2F2F2" w:themeFill="background1" w:themeFillShade="F2"/>
            <w:vAlign w:val="center"/>
          </w:tcPr>
          <w:p w:rsidR="002124B1" w:rsidRPr="00A4002B" w:rsidRDefault="002124B1" w:rsidP="00993C22">
            <w:pPr>
              <w:rPr>
                <w:lang w:eastAsia="cs-CZ"/>
              </w:rPr>
            </w:pPr>
            <w:r>
              <w:rPr>
                <w:lang w:eastAsia="cs-CZ"/>
              </w:rPr>
              <w:t>Velikost podlahové plochy v odběrném místě:</w:t>
            </w:r>
          </w:p>
        </w:tc>
        <w:tc>
          <w:tcPr>
            <w:tcW w:w="3260" w:type="dxa"/>
            <w:gridSpan w:val="3"/>
            <w:tcBorders>
              <w:top w:val="single" w:sz="2" w:space="0" w:color="auto"/>
              <w:left w:val="single" w:sz="2" w:space="0" w:color="auto"/>
              <w:bottom w:val="single" w:sz="2" w:space="0" w:color="auto"/>
              <w:right w:val="nil"/>
            </w:tcBorders>
            <w:vAlign w:val="center"/>
          </w:tcPr>
          <w:p w:rsidR="002124B1" w:rsidRDefault="002124B1" w:rsidP="008902DB">
            <w:pPr>
              <w:rPr>
                <w:lang w:eastAsia="cs-CZ"/>
              </w:rPr>
            </w:pPr>
            <w:r>
              <w:rPr>
                <w:lang w:eastAsia="cs-CZ"/>
              </w:rPr>
              <w:t>Domácnosti:</w:t>
            </w:r>
          </w:p>
        </w:tc>
        <w:tc>
          <w:tcPr>
            <w:tcW w:w="426" w:type="dxa"/>
            <w:gridSpan w:val="2"/>
            <w:tcBorders>
              <w:top w:val="single" w:sz="2" w:space="0" w:color="auto"/>
              <w:left w:val="nil"/>
              <w:bottom w:val="single" w:sz="2" w:space="0" w:color="auto"/>
              <w:right w:val="nil"/>
            </w:tcBorders>
            <w:vAlign w:val="center"/>
          </w:tcPr>
          <w:p w:rsidR="002124B1" w:rsidRDefault="002124B1" w:rsidP="008902DB">
            <w:pPr>
              <w:rPr>
                <w:lang w:eastAsia="cs-CZ"/>
              </w:rPr>
            </w:pPr>
            <w:r>
              <w:rPr>
                <w:lang w:eastAsia="cs-CZ"/>
              </w:rPr>
              <w:t>m</w:t>
            </w:r>
            <w:r w:rsidRPr="002124B1">
              <w:rPr>
                <w:vertAlign w:val="superscript"/>
                <w:lang w:eastAsia="cs-CZ"/>
              </w:rPr>
              <w:t>2</w:t>
            </w:r>
          </w:p>
        </w:tc>
        <w:tc>
          <w:tcPr>
            <w:tcW w:w="2835" w:type="dxa"/>
            <w:gridSpan w:val="2"/>
            <w:tcBorders>
              <w:top w:val="single" w:sz="2" w:space="0" w:color="auto"/>
              <w:left w:val="nil"/>
              <w:bottom w:val="single" w:sz="2" w:space="0" w:color="auto"/>
              <w:right w:val="nil"/>
            </w:tcBorders>
            <w:vAlign w:val="center"/>
          </w:tcPr>
          <w:p w:rsidR="002124B1" w:rsidRPr="00A4002B" w:rsidRDefault="002124B1" w:rsidP="008902DB">
            <w:pPr>
              <w:rPr>
                <w:lang w:eastAsia="cs-CZ"/>
              </w:rPr>
            </w:pPr>
            <w:r>
              <w:rPr>
                <w:lang w:eastAsia="cs-CZ"/>
              </w:rPr>
              <w:t>Nebytové prostory:</w:t>
            </w:r>
          </w:p>
        </w:tc>
        <w:tc>
          <w:tcPr>
            <w:tcW w:w="437" w:type="dxa"/>
            <w:tcBorders>
              <w:top w:val="single" w:sz="2" w:space="0" w:color="auto"/>
              <w:left w:val="nil"/>
              <w:bottom w:val="single" w:sz="2" w:space="0" w:color="auto"/>
              <w:right w:val="single" w:sz="6" w:space="0" w:color="auto"/>
            </w:tcBorders>
            <w:vAlign w:val="center"/>
          </w:tcPr>
          <w:p w:rsidR="002124B1" w:rsidRPr="00A4002B" w:rsidRDefault="002124B1" w:rsidP="008902DB">
            <w:pPr>
              <w:rPr>
                <w:lang w:eastAsia="cs-CZ"/>
              </w:rPr>
            </w:pPr>
            <w:r>
              <w:rPr>
                <w:lang w:eastAsia="cs-CZ"/>
              </w:rPr>
              <w:t>m</w:t>
            </w:r>
            <w:r w:rsidRPr="002124B1">
              <w:rPr>
                <w:vertAlign w:val="superscript"/>
                <w:lang w:eastAsia="cs-CZ"/>
              </w:rPr>
              <w:t>2</w:t>
            </w:r>
          </w:p>
        </w:tc>
      </w:tr>
      <w:tr w:rsidR="00A4002B" w:rsidRPr="00007714" w:rsidTr="00007714">
        <w:trPr>
          <w:trHeight w:val="45"/>
          <w:jc w:val="center"/>
        </w:trPr>
        <w:tc>
          <w:tcPr>
            <w:tcW w:w="10800" w:type="dxa"/>
            <w:gridSpan w:val="11"/>
            <w:tcBorders>
              <w:top w:val="single" w:sz="6" w:space="0" w:color="auto"/>
              <w:left w:val="nil"/>
              <w:bottom w:val="nil"/>
              <w:right w:val="nil"/>
            </w:tcBorders>
            <w:vAlign w:val="center"/>
          </w:tcPr>
          <w:p w:rsidR="00A4002B" w:rsidRPr="00007714" w:rsidRDefault="00A4002B" w:rsidP="008902DB">
            <w:pPr>
              <w:rPr>
                <w:sz w:val="8"/>
                <w:lang w:eastAsia="cs-CZ"/>
              </w:rPr>
            </w:pPr>
          </w:p>
        </w:tc>
      </w:tr>
      <w:tr w:rsidR="00A4002B" w:rsidRPr="004736E8" w:rsidTr="004736E8">
        <w:trPr>
          <w:trHeight w:val="369"/>
          <w:jc w:val="center"/>
        </w:trPr>
        <w:tc>
          <w:tcPr>
            <w:tcW w:w="10800" w:type="dxa"/>
            <w:gridSpan w:val="11"/>
            <w:tcBorders>
              <w:top w:val="nil"/>
              <w:left w:val="nil"/>
              <w:bottom w:val="single" w:sz="6" w:space="0" w:color="auto"/>
              <w:right w:val="nil"/>
            </w:tcBorders>
            <w:vAlign w:val="center"/>
          </w:tcPr>
          <w:p w:rsidR="00A4002B" w:rsidRPr="004736E8" w:rsidRDefault="00A4002B" w:rsidP="004736E8">
            <w:pPr>
              <w:rPr>
                <w:b/>
                <w:lang w:eastAsia="cs-CZ"/>
              </w:rPr>
            </w:pPr>
            <w:bookmarkStart w:id="5" w:name="_Toc24956890"/>
            <w:r w:rsidRPr="004736E8">
              <w:rPr>
                <w:b/>
                <w:lang w:eastAsia="cs-CZ"/>
              </w:rPr>
              <w:t xml:space="preserve">Údaje </w:t>
            </w:r>
            <w:r w:rsidR="004736E8" w:rsidRPr="004736E8">
              <w:rPr>
                <w:b/>
                <w:lang w:eastAsia="cs-CZ"/>
              </w:rPr>
              <w:t>ke</w:t>
            </w:r>
            <w:r w:rsidRPr="004736E8">
              <w:rPr>
                <w:b/>
                <w:lang w:eastAsia="cs-CZ"/>
              </w:rPr>
              <w:t xml:space="preserve"> spotřebě TV</w:t>
            </w:r>
            <w:bookmarkEnd w:id="5"/>
          </w:p>
        </w:tc>
      </w:tr>
      <w:tr w:rsidR="004736E8" w:rsidRPr="00A4002B" w:rsidTr="004736E8">
        <w:trPr>
          <w:cantSplit/>
          <w:trHeight w:val="369"/>
          <w:jc w:val="center"/>
        </w:trPr>
        <w:tc>
          <w:tcPr>
            <w:tcW w:w="10800" w:type="dxa"/>
            <w:gridSpan w:val="11"/>
            <w:tcBorders>
              <w:top w:val="single" w:sz="6" w:space="0" w:color="auto"/>
              <w:left w:val="single" w:sz="6" w:space="0" w:color="auto"/>
              <w:bottom w:val="single" w:sz="2" w:space="0" w:color="auto"/>
              <w:right w:val="single" w:sz="6" w:space="0" w:color="auto"/>
            </w:tcBorders>
            <w:shd w:val="clear" w:color="auto" w:fill="F2F2F2" w:themeFill="background1" w:themeFillShade="F2"/>
            <w:vAlign w:val="center"/>
          </w:tcPr>
          <w:p w:rsidR="004736E8" w:rsidRPr="00A4002B" w:rsidRDefault="00145C84" w:rsidP="00145C84">
            <w:pPr>
              <w:rPr>
                <w:lang w:eastAsia="cs-CZ"/>
              </w:rPr>
            </w:pPr>
            <w:r>
              <w:rPr>
                <w:lang w:eastAsia="cs-CZ"/>
              </w:rPr>
              <w:t>Zúčtovací období: od 1.1.20xx</w:t>
            </w:r>
            <w:r w:rsidR="004736E8">
              <w:rPr>
                <w:lang w:eastAsia="cs-CZ"/>
              </w:rPr>
              <w:t xml:space="preserve"> do 31.12.20</w:t>
            </w:r>
            <w:r>
              <w:rPr>
                <w:lang w:eastAsia="cs-CZ"/>
              </w:rPr>
              <w:t>xx</w:t>
            </w:r>
          </w:p>
        </w:tc>
      </w:tr>
      <w:tr w:rsidR="00A4002B" w:rsidRPr="00A4002B" w:rsidTr="00145C84">
        <w:trPr>
          <w:cantSplit/>
          <w:trHeight w:val="369"/>
          <w:jc w:val="center"/>
        </w:trPr>
        <w:tc>
          <w:tcPr>
            <w:tcW w:w="4832" w:type="dxa"/>
            <w:gridSpan w:val="4"/>
            <w:tcBorders>
              <w:top w:val="single" w:sz="6" w:space="0" w:color="auto"/>
              <w:left w:val="single" w:sz="6" w:space="0" w:color="auto"/>
              <w:bottom w:val="single" w:sz="2" w:space="0" w:color="auto"/>
              <w:right w:val="single" w:sz="6" w:space="0" w:color="auto"/>
            </w:tcBorders>
            <w:shd w:val="clear" w:color="auto" w:fill="F2F2F2" w:themeFill="background1" w:themeFillShade="F2"/>
            <w:vAlign w:val="center"/>
          </w:tcPr>
          <w:p w:rsidR="00A4002B" w:rsidRPr="00A4002B" w:rsidRDefault="00A4002B" w:rsidP="008902DB">
            <w:pPr>
              <w:rPr>
                <w:b/>
                <w:bCs/>
                <w:u w:val="single"/>
                <w:lang w:eastAsia="cs-CZ"/>
              </w:rPr>
            </w:pPr>
            <w:r w:rsidRPr="00A4002B">
              <w:rPr>
                <w:lang w:eastAsia="cs-CZ"/>
              </w:rPr>
              <w:t>Datum odečtů:</w:t>
            </w:r>
          </w:p>
        </w:tc>
        <w:tc>
          <w:tcPr>
            <w:tcW w:w="5968" w:type="dxa"/>
            <w:gridSpan w:val="7"/>
            <w:tcBorders>
              <w:top w:val="single" w:sz="6" w:space="0" w:color="auto"/>
              <w:left w:val="single" w:sz="6" w:space="0" w:color="auto"/>
              <w:bottom w:val="single" w:sz="2" w:space="0" w:color="auto"/>
              <w:right w:val="single" w:sz="6" w:space="0" w:color="auto"/>
            </w:tcBorders>
            <w:shd w:val="clear" w:color="auto" w:fill="F2F2F2" w:themeFill="background1" w:themeFillShade="F2"/>
            <w:vAlign w:val="center"/>
          </w:tcPr>
          <w:p w:rsidR="00A4002B" w:rsidRPr="00993C22" w:rsidRDefault="00A4002B" w:rsidP="00993C22">
            <w:pPr>
              <w:rPr>
                <w:lang w:eastAsia="cs-CZ"/>
              </w:rPr>
            </w:pPr>
            <w:r w:rsidRPr="00A4002B">
              <w:rPr>
                <w:lang w:eastAsia="cs-CZ"/>
              </w:rPr>
              <w:t>Spotřeba vody za uvedené období (tj. součet všech spotřeb TV):</w:t>
            </w:r>
          </w:p>
        </w:tc>
      </w:tr>
      <w:tr w:rsidR="00145C84" w:rsidRPr="00A4002B" w:rsidTr="00145C84">
        <w:trPr>
          <w:trHeight w:val="397"/>
          <w:jc w:val="center"/>
        </w:trPr>
        <w:tc>
          <w:tcPr>
            <w:tcW w:w="24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5C84" w:rsidRPr="00A4002B" w:rsidRDefault="00145C84" w:rsidP="00145C84">
            <w:pPr>
              <w:jc w:val="center"/>
              <w:rPr>
                <w:lang w:eastAsia="cs-CZ"/>
              </w:rPr>
            </w:pPr>
            <w:r w:rsidRPr="00A4002B">
              <w:rPr>
                <w:lang w:eastAsia="cs-CZ"/>
              </w:rPr>
              <w:t>Počáteční:</w:t>
            </w:r>
            <w:r>
              <w:rPr>
                <w:lang w:eastAsia="cs-CZ"/>
              </w:rPr>
              <w:t xml:space="preserve"> </w:t>
            </w:r>
            <w:r w:rsidRPr="00A4002B">
              <w:rPr>
                <w:lang w:eastAsia="cs-CZ"/>
              </w:rPr>
              <w:t>(den/měsíc/rok)</w:t>
            </w:r>
          </w:p>
        </w:tc>
        <w:tc>
          <w:tcPr>
            <w:tcW w:w="240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5C84" w:rsidRPr="00A4002B" w:rsidRDefault="00145C84" w:rsidP="00145C84">
            <w:pPr>
              <w:jc w:val="center"/>
              <w:rPr>
                <w:lang w:eastAsia="cs-CZ"/>
              </w:rPr>
            </w:pPr>
            <w:r w:rsidRPr="00A4002B">
              <w:rPr>
                <w:lang w:eastAsia="cs-CZ"/>
              </w:rPr>
              <w:t>Koncový:</w:t>
            </w:r>
            <w:r>
              <w:rPr>
                <w:lang w:eastAsia="cs-CZ"/>
              </w:rPr>
              <w:t xml:space="preserve"> </w:t>
            </w:r>
            <w:r w:rsidRPr="00A4002B">
              <w:rPr>
                <w:lang w:eastAsia="cs-CZ"/>
              </w:rPr>
              <w:t>(den/měsíc/rok)</w:t>
            </w:r>
          </w:p>
        </w:tc>
        <w:tc>
          <w:tcPr>
            <w:tcW w:w="2979"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5C84" w:rsidRPr="00A4002B" w:rsidRDefault="00145C84" w:rsidP="00145C84">
            <w:pPr>
              <w:jc w:val="center"/>
              <w:rPr>
                <w:lang w:eastAsia="cs-CZ"/>
              </w:rPr>
            </w:pPr>
            <w:r w:rsidRPr="00A4002B">
              <w:rPr>
                <w:lang w:eastAsia="cs-CZ"/>
              </w:rPr>
              <w:t>Domácnosti</w:t>
            </w:r>
            <w:r>
              <w:rPr>
                <w:lang w:eastAsia="cs-CZ"/>
              </w:rPr>
              <w:t xml:space="preserve"> (byty)</w:t>
            </w:r>
          </w:p>
        </w:tc>
        <w:tc>
          <w:tcPr>
            <w:tcW w:w="2989"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45C84" w:rsidRPr="00A4002B" w:rsidRDefault="00145C84" w:rsidP="00145C84">
            <w:pPr>
              <w:jc w:val="center"/>
              <w:rPr>
                <w:lang w:eastAsia="cs-CZ"/>
              </w:rPr>
            </w:pPr>
            <w:r>
              <w:rPr>
                <w:lang w:eastAsia="cs-CZ"/>
              </w:rPr>
              <w:t>Nebytové prostory (ostatní)</w:t>
            </w:r>
          </w:p>
        </w:tc>
      </w:tr>
      <w:tr w:rsidR="00145C84" w:rsidRPr="00A4002B" w:rsidTr="00145C84">
        <w:trPr>
          <w:trHeight w:val="397"/>
          <w:jc w:val="center"/>
        </w:trPr>
        <w:tc>
          <w:tcPr>
            <w:tcW w:w="242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45C84" w:rsidRPr="00A4002B" w:rsidRDefault="00145C84" w:rsidP="008902DB">
            <w:pPr>
              <w:rPr>
                <w:lang w:eastAsia="cs-CZ"/>
              </w:rPr>
            </w:pPr>
          </w:p>
        </w:tc>
        <w:tc>
          <w:tcPr>
            <w:tcW w:w="240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45C84" w:rsidRPr="00A4002B" w:rsidRDefault="00145C84" w:rsidP="008902DB">
            <w:pPr>
              <w:rPr>
                <w:lang w:eastAsia="cs-CZ"/>
              </w:rPr>
            </w:pPr>
          </w:p>
        </w:tc>
        <w:tc>
          <w:tcPr>
            <w:tcW w:w="2979" w:type="dxa"/>
            <w:gridSpan w:val="5"/>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45C84" w:rsidRPr="00A4002B" w:rsidRDefault="00145C84" w:rsidP="004736E8">
            <w:pPr>
              <w:jc w:val="right"/>
              <w:rPr>
                <w:lang w:eastAsia="cs-CZ"/>
              </w:rPr>
            </w:pPr>
            <w:r w:rsidRPr="00A4002B">
              <w:rPr>
                <w:lang w:eastAsia="cs-CZ"/>
              </w:rPr>
              <w:t>m</w:t>
            </w:r>
            <w:r w:rsidRPr="00A4002B">
              <w:rPr>
                <w:vertAlign w:val="superscript"/>
                <w:lang w:eastAsia="cs-CZ"/>
              </w:rPr>
              <w:t>3</w:t>
            </w:r>
          </w:p>
        </w:tc>
        <w:tc>
          <w:tcPr>
            <w:tcW w:w="298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45C84" w:rsidRPr="00A4002B" w:rsidRDefault="00145C84" w:rsidP="004736E8">
            <w:pPr>
              <w:jc w:val="right"/>
              <w:rPr>
                <w:lang w:eastAsia="cs-CZ"/>
              </w:rPr>
            </w:pPr>
            <w:r w:rsidRPr="00A4002B">
              <w:rPr>
                <w:lang w:eastAsia="cs-CZ"/>
              </w:rPr>
              <w:t>m</w:t>
            </w:r>
            <w:r w:rsidRPr="00A4002B">
              <w:rPr>
                <w:vertAlign w:val="superscript"/>
                <w:lang w:eastAsia="cs-CZ"/>
              </w:rPr>
              <w:t>3</w:t>
            </w:r>
          </w:p>
        </w:tc>
      </w:tr>
      <w:tr w:rsidR="00A4002B" w:rsidRPr="00007714" w:rsidTr="00007714">
        <w:trPr>
          <w:trHeight w:val="57"/>
          <w:jc w:val="center"/>
        </w:trPr>
        <w:tc>
          <w:tcPr>
            <w:tcW w:w="10800" w:type="dxa"/>
            <w:gridSpan w:val="11"/>
            <w:tcBorders>
              <w:top w:val="single" w:sz="6" w:space="0" w:color="auto"/>
              <w:left w:val="nil"/>
              <w:bottom w:val="nil"/>
              <w:right w:val="nil"/>
            </w:tcBorders>
            <w:vAlign w:val="center"/>
          </w:tcPr>
          <w:p w:rsidR="00A4002B" w:rsidRPr="00007714" w:rsidRDefault="00A4002B" w:rsidP="008902DB">
            <w:pPr>
              <w:rPr>
                <w:sz w:val="8"/>
                <w:lang w:eastAsia="cs-CZ"/>
              </w:rPr>
            </w:pPr>
          </w:p>
        </w:tc>
      </w:tr>
      <w:tr w:rsidR="002124B1" w:rsidRPr="00A4002B" w:rsidTr="002124B1">
        <w:trPr>
          <w:trHeight w:val="369"/>
          <w:jc w:val="center"/>
        </w:trPr>
        <w:tc>
          <w:tcPr>
            <w:tcW w:w="10800" w:type="dxa"/>
            <w:gridSpan w:val="11"/>
            <w:tcBorders>
              <w:top w:val="nil"/>
              <w:left w:val="nil"/>
              <w:bottom w:val="single" w:sz="6" w:space="0" w:color="auto"/>
              <w:right w:val="nil"/>
            </w:tcBorders>
            <w:vAlign w:val="center"/>
          </w:tcPr>
          <w:p w:rsidR="002124B1" w:rsidRPr="00A4002B" w:rsidRDefault="002124B1" w:rsidP="008902DB">
            <w:pPr>
              <w:rPr>
                <w:lang w:eastAsia="cs-CZ"/>
              </w:rPr>
            </w:pPr>
            <w:r>
              <w:rPr>
                <w:lang w:eastAsia="cs-CZ"/>
              </w:rPr>
              <w:t>Poučení</w:t>
            </w:r>
          </w:p>
        </w:tc>
      </w:tr>
      <w:tr w:rsidR="002124B1" w:rsidRPr="00A4002B" w:rsidTr="002124B1">
        <w:trPr>
          <w:trHeight w:val="369"/>
          <w:jc w:val="center"/>
        </w:trPr>
        <w:tc>
          <w:tcPr>
            <w:tcW w:w="10800" w:type="dxa"/>
            <w:gridSpan w:val="11"/>
            <w:tcBorders>
              <w:top w:val="single" w:sz="6" w:space="0" w:color="auto"/>
              <w:left w:val="single" w:sz="6" w:space="0" w:color="auto"/>
              <w:bottom w:val="nil"/>
              <w:right w:val="single" w:sz="6" w:space="0" w:color="auto"/>
            </w:tcBorders>
            <w:vAlign w:val="center"/>
          </w:tcPr>
          <w:p w:rsidR="002124B1" w:rsidRPr="00A4002B" w:rsidRDefault="002124B1" w:rsidP="00145C84">
            <w:pPr>
              <w:spacing w:before="0" w:line="240" w:lineRule="auto"/>
              <w:rPr>
                <w:lang w:eastAsia="cs-CZ"/>
              </w:rPr>
            </w:pPr>
            <w:r>
              <w:rPr>
                <w:lang w:eastAsia="cs-CZ"/>
              </w:rPr>
              <w:t>Odběratel je povinen v termínu od 15.</w:t>
            </w:r>
            <w:r w:rsidR="003E58BE">
              <w:rPr>
                <w:lang w:eastAsia="cs-CZ"/>
              </w:rPr>
              <w:t xml:space="preserve"> </w:t>
            </w:r>
            <w:r>
              <w:rPr>
                <w:lang w:eastAsia="cs-CZ"/>
              </w:rPr>
              <w:t>12. do 31.</w:t>
            </w:r>
            <w:r w:rsidR="003E58BE">
              <w:rPr>
                <w:lang w:eastAsia="cs-CZ"/>
              </w:rPr>
              <w:t xml:space="preserve"> </w:t>
            </w:r>
            <w:r>
              <w:rPr>
                <w:lang w:eastAsia="cs-CZ"/>
              </w:rPr>
              <w:t xml:space="preserve">12. příslušného roku provést odečty stavů měřičů množství teplé vody na jednotlivých výtocích a vyhodnotit spotřeby množství teplé vody vůči předchozí </w:t>
            </w:r>
            <w:r w:rsidR="00145C84" w:rsidRPr="003E58BE">
              <w:rPr>
                <w:lang w:eastAsia="cs-CZ"/>
              </w:rPr>
              <w:t>spotřebě</w:t>
            </w:r>
            <w:r>
              <w:rPr>
                <w:lang w:eastAsia="cs-CZ"/>
              </w:rPr>
              <w:t xml:space="preserve">, včetně </w:t>
            </w:r>
            <w:r w:rsidR="009A7138">
              <w:rPr>
                <w:lang w:eastAsia="cs-CZ"/>
              </w:rPr>
              <w:t>náhradního způsobu výpočtu u neměřených odběrů. Výsledné spotřeby za celé odběrné místo je povinen vyplnit do tohoto formuláře a zaslat dodavateli nejpozději do 15.</w:t>
            </w:r>
            <w:r w:rsidR="003E58BE">
              <w:rPr>
                <w:lang w:eastAsia="cs-CZ"/>
              </w:rPr>
              <w:t xml:space="preserve"> </w:t>
            </w:r>
            <w:r w:rsidR="009A7138">
              <w:rPr>
                <w:lang w:eastAsia="cs-CZ"/>
              </w:rPr>
              <w:t>1. roku následujícího po zúčtovacím období.</w:t>
            </w:r>
          </w:p>
        </w:tc>
      </w:tr>
      <w:tr w:rsidR="002124B1" w:rsidRPr="00A4002B" w:rsidTr="002124B1">
        <w:trPr>
          <w:trHeight w:val="369"/>
          <w:jc w:val="center"/>
        </w:trPr>
        <w:tc>
          <w:tcPr>
            <w:tcW w:w="10800" w:type="dxa"/>
            <w:gridSpan w:val="11"/>
            <w:tcBorders>
              <w:top w:val="nil"/>
              <w:left w:val="single" w:sz="6" w:space="0" w:color="auto"/>
              <w:bottom w:val="single" w:sz="6" w:space="0" w:color="auto"/>
              <w:right w:val="single" w:sz="6" w:space="0" w:color="auto"/>
            </w:tcBorders>
            <w:vAlign w:val="center"/>
          </w:tcPr>
          <w:p w:rsidR="002124B1" w:rsidRPr="00A4002B" w:rsidRDefault="009A7138" w:rsidP="00790E45">
            <w:pPr>
              <w:spacing w:before="0" w:line="240" w:lineRule="auto"/>
              <w:rPr>
                <w:lang w:eastAsia="cs-CZ"/>
              </w:rPr>
            </w:pPr>
            <w:r>
              <w:rPr>
                <w:lang w:eastAsia="cs-CZ"/>
              </w:rPr>
              <w:t xml:space="preserve">V případě nesplnění uvedené povinnosti </w:t>
            </w:r>
            <w:r w:rsidR="00293428">
              <w:rPr>
                <w:lang w:eastAsia="cs-CZ"/>
              </w:rPr>
              <w:t xml:space="preserve">nebo uvedení jiných údajů než jsou požadované (např. stavy měřičů, podlahové plochy apod.) </w:t>
            </w:r>
            <w:r>
              <w:rPr>
                <w:lang w:eastAsia="cs-CZ"/>
              </w:rPr>
              <w:t>provede dodavatel odborný odhad spotřeby množství teplé vody pro dané odběrné místo pomocí statistických údajů předchozích zúčtovacích období či srovnatelných objektů a zároveň se odběratel vystavuje postihu smluvní pokuty dle čl. 7, bodu 1.4</w:t>
            </w:r>
            <w:r w:rsidR="00790E45">
              <w:rPr>
                <w:lang w:eastAsia="cs-CZ"/>
              </w:rPr>
              <w:t xml:space="preserve">  </w:t>
            </w:r>
            <w:r w:rsidR="00790E45" w:rsidRPr="003E58BE">
              <w:rPr>
                <w:lang w:eastAsia="cs-CZ"/>
              </w:rPr>
              <w:t>smlouvy o dodávce tepelné energie</w:t>
            </w:r>
            <w:r w:rsidR="00790E45">
              <w:rPr>
                <w:lang w:eastAsia="cs-CZ"/>
              </w:rPr>
              <w:t>.</w:t>
            </w:r>
          </w:p>
        </w:tc>
      </w:tr>
      <w:tr w:rsidR="00A4002B" w:rsidRPr="00A4002B" w:rsidTr="005731A5">
        <w:trPr>
          <w:trHeight w:val="369"/>
          <w:jc w:val="center"/>
        </w:trPr>
        <w:tc>
          <w:tcPr>
            <w:tcW w:w="10800" w:type="dxa"/>
            <w:gridSpan w:val="11"/>
            <w:tcBorders>
              <w:top w:val="nil"/>
              <w:left w:val="nil"/>
              <w:bottom w:val="single" w:sz="6" w:space="0" w:color="auto"/>
              <w:right w:val="nil"/>
            </w:tcBorders>
            <w:vAlign w:val="center"/>
          </w:tcPr>
          <w:p w:rsidR="00A4002B" w:rsidRPr="00A4002B" w:rsidRDefault="00A4002B" w:rsidP="008902DB">
            <w:pPr>
              <w:rPr>
                <w:lang w:eastAsia="cs-CZ"/>
              </w:rPr>
            </w:pPr>
            <w:bookmarkStart w:id="6" w:name="_Toc24956891"/>
            <w:r w:rsidRPr="00A4002B">
              <w:rPr>
                <w:lang w:eastAsia="cs-CZ"/>
              </w:rPr>
              <w:t>Prohlášení</w:t>
            </w:r>
            <w:bookmarkEnd w:id="6"/>
          </w:p>
        </w:tc>
      </w:tr>
      <w:tr w:rsidR="00A4002B" w:rsidRPr="00A4002B" w:rsidTr="009A7138">
        <w:trPr>
          <w:trHeight w:val="226"/>
          <w:jc w:val="center"/>
        </w:trPr>
        <w:tc>
          <w:tcPr>
            <w:tcW w:w="10800" w:type="dxa"/>
            <w:gridSpan w:val="11"/>
            <w:tcBorders>
              <w:top w:val="single" w:sz="6" w:space="0" w:color="auto"/>
              <w:left w:val="single" w:sz="6" w:space="0" w:color="auto"/>
              <w:bottom w:val="nil"/>
              <w:right w:val="single" w:sz="6" w:space="0" w:color="auto"/>
            </w:tcBorders>
            <w:vAlign w:val="center"/>
          </w:tcPr>
          <w:p w:rsidR="00A4002B" w:rsidRPr="00A4002B" w:rsidRDefault="00A4002B" w:rsidP="009A7138">
            <w:pPr>
              <w:spacing w:before="0" w:line="240" w:lineRule="auto"/>
              <w:rPr>
                <w:lang w:eastAsia="cs-CZ"/>
              </w:rPr>
            </w:pPr>
            <w:r w:rsidRPr="00A4002B">
              <w:rPr>
                <w:lang w:eastAsia="cs-CZ"/>
              </w:rPr>
              <w:t xml:space="preserve">Odběratel prohlašuje, že všechny shora uvedené údaje odpovídají skutečnosti a že jsou uvedeny za celé </w:t>
            </w:r>
            <w:r w:rsidR="004736E8">
              <w:rPr>
                <w:lang w:eastAsia="cs-CZ"/>
              </w:rPr>
              <w:t>zúčtovací</w:t>
            </w:r>
            <w:r w:rsidRPr="00A4002B">
              <w:rPr>
                <w:lang w:eastAsia="cs-CZ"/>
              </w:rPr>
              <w:t xml:space="preserve"> období.</w:t>
            </w:r>
          </w:p>
        </w:tc>
      </w:tr>
      <w:tr w:rsidR="00A4002B" w:rsidRPr="00A4002B" w:rsidTr="009A7138">
        <w:trPr>
          <w:trHeight w:val="148"/>
          <w:jc w:val="center"/>
        </w:trPr>
        <w:tc>
          <w:tcPr>
            <w:tcW w:w="10800" w:type="dxa"/>
            <w:gridSpan w:val="11"/>
            <w:tcBorders>
              <w:top w:val="nil"/>
              <w:left w:val="single" w:sz="6" w:space="0" w:color="auto"/>
              <w:bottom w:val="single" w:sz="6" w:space="0" w:color="auto"/>
              <w:right w:val="single" w:sz="6" w:space="0" w:color="auto"/>
            </w:tcBorders>
            <w:vAlign w:val="center"/>
          </w:tcPr>
          <w:p w:rsidR="00A4002B" w:rsidRPr="00A4002B" w:rsidRDefault="00A4002B" w:rsidP="009A7138">
            <w:pPr>
              <w:spacing w:before="0" w:line="240" w:lineRule="auto"/>
              <w:rPr>
                <w:lang w:eastAsia="cs-CZ"/>
              </w:rPr>
            </w:pPr>
            <w:r w:rsidRPr="00A4002B">
              <w:rPr>
                <w:lang w:eastAsia="cs-CZ"/>
              </w:rPr>
              <w:t>Odběratel si je vědom následků, které by nesprávným nebo neúplným uvedením údajů mohly vzniknout (např. povinnost k náhradě škody).</w:t>
            </w:r>
          </w:p>
        </w:tc>
      </w:tr>
      <w:tr w:rsidR="00A4002B" w:rsidRPr="00007714" w:rsidTr="00007714">
        <w:trPr>
          <w:trHeight w:val="121"/>
          <w:jc w:val="center"/>
        </w:trPr>
        <w:tc>
          <w:tcPr>
            <w:tcW w:w="10800" w:type="dxa"/>
            <w:gridSpan w:val="11"/>
            <w:tcBorders>
              <w:top w:val="single" w:sz="6" w:space="0" w:color="auto"/>
              <w:left w:val="nil"/>
              <w:bottom w:val="nil"/>
              <w:right w:val="nil"/>
            </w:tcBorders>
            <w:vAlign w:val="center"/>
          </w:tcPr>
          <w:p w:rsidR="00A4002B" w:rsidRPr="00007714" w:rsidRDefault="00A4002B" w:rsidP="008902DB">
            <w:pPr>
              <w:rPr>
                <w:sz w:val="10"/>
                <w:lang w:eastAsia="cs-CZ"/>
              </w:rPr>
            </w:pPr>
          </w:p>
        </w:tc>
      </w:tr>
      <w:tr w:rsidR="00BD4565" w:rsidRPr="00A4002B" w:rsidTr="00263CCC">
        <w:trPr>
          <w:cantSplit/>
          <w:trHeight w:val="369"/>
          <w:jc w:val="center"/>
        </w:trPr>
        <w:tc>
          <w:tcPr>
            <w:tcW w:w="10800" w:type="dxa"/>
            <w:gridSpan w:val="11"/>
            <w:tcBorders>
              <w:top w:val="nil"/>
              <w:left w:val="nil"/>
              <w:bottom w:val="nil"/>
              <w:right w:val="nil"/>
            </w:tcBorders>
            <w:vAlign w:val="center"/>
          </w:tcPr>
          <w:p w:rsidR="00BD4565" w:rsidRPr="00A4002B" w:rsidRDefault="00BD4565" w:rsidP="008902DB">
            <w:pPr>
              <w:rPr>
                <w:lang w:eastAsia="cs-CZ"/>
              </w:rPr>
            </w:pPr>
            <w:r w:rsidRPr="00A4002B">
              <w:rPr>
                <w:lang w:eastAsia="cs-CZ"/>
              </w:rPr>
              <w:t>Datum :</w:t>
            </w:r>
          </w:p>
        </w:tc>
      </w:tr>
      <w:tr w:rsidR="00BD4565" w:rsidRPr="00A4002B" w:rsidTr="00BD4565">
        <w:trPr>
          <w:cantSplit/>
          <w:trHeight w:val="369"/>
          <w:jc w:val="center"/>
        </w:trPr>
        <w:tc>
          <w:tcPr>
            <w:tcW w:w="7196" w:type="dxa"/>
            <w:gridSpan w:val="7"/>
            <w:tcBorders>
              <w:top w:val="nil"/>
              <w:left w:val="nil"/>
              <w:bottom w:val="nil"/>
              <w:right w:val="nil"/>
            </w:tcBorders>
            <w:vAlign w:val="center"/>
          </w:tcPr>
          <w:p w:rsidR="00BD4565" w:rsidRPr="00A4002B" w:rsidRDefault="00BD4565" w:rsidP="00BD4565">
            <w:pPr>
              <w:spacing w:before="0" w:line="240" w:lineRule="auto"/>
              <w:rPr>
                <w:lang w:eastAsia="cs-CZ"/>
              </w:rPr>
            </w:pPr>
            <w:r w:rsidRPr="00A4002B">
              <w:rPr>
                <w:lang w:eastAsia="cs-CZ"/>
              </w:rPr>
              <w:t>Zpracoval :</w:t>
            </w:r>
          </w:p>
        </w:tc>
        <w:tc>
          <w:tcPr>
            <w:tcW w:w="3604" w:type="dxa"/>
            <w:gridSpan w:val="4"/>
            <w:tcBorders>
              <w:top w:val="nil"/>
              <w:left w:val="nil"/>
              <w:bottom w:val="nil"/>
              <w:right w:val="nil"/>
            </w:tcBorders>
            <w:vAlign w:val="center"/>
          </w:tcPr>
          <w:p w:rsidR="00BD4565" w:rsidRPr="00A4002B" w:rsidRDefault="00BD4565" w:rsidP="00BD4565">
            <w:pPr>
              <w:spacing w:before="0" w:line="240" w:lineRule="auto"/>
              <w:rPr>
                <w:b/>
                <w:bCs/>
                <w:u w:val="single"/>
                <w:lang w:eastAsia="cs-CZ"/>
              </w:rPr>
            </w:pPr>
            <w:r w:rsidRPr="00A4002B">
              <w:rPr>
                <w:lang w:eastAsia="cs-CZ"/>
              </w:rPr>
              <w:t>Odběratel :</w:t>
            </w:r>
          </w:p>
        </w:tc>
      </w:tr>
      <w:tr w:rsidR="00BD4565" w:rsidRPr="00A4002B" w:rsidTr="00EE6ABF">
        <w:trPr>
          <w:cantSplit/>
          <w:trHeight w:val="2082"/>
          <w:jc w:val="center"/>
        </w:trPr>
        <w:tc>
          <w:tcPr>
            <w:tcW w:w="7196" w:type="dxa"/>
            <w:gridSpan w:val="7"/>
            <w:tcBorders>
              <w:top w:val="nil"/>
              <w:left w:val="nil"/>
              <w:bottom w:val="dotted" w:sz="2" w:space="0" w:color="auto"/>
              <w:right w:val="nil"/>
            </w:tcBorders>
            <w:vAlign w:val="center"/>
          </w:tcPr>
          <w:p w:rsidR="00BD4565" w:rsidRPr="00A4002B" w:rsidRDefault="00BD4565" w:rsidP="008902DB">
            <w:pPr>
              <w:rPr>
                <w:lang w:eastAsia="cs-CZ"/>
              </w:rPr>
            </w:pPr>
          </w:p>
        </w:tc>
        <w:tc>
          <w:tcPr>
            <w:tcW w:w="3604" w:type="dxa"/>
            <w:gridSpan w:val="4"/>
            <w:tcBorders>
              <w:top w:val="nil"/>
              <w:left w:val="nil"/>
              <w:bottom w:val="dotted" w:sz="2" w:space="0" w:color="auto"/>
              <w:right w:val="nil"/>
            </w:tcBorders>
            <w:vAlign w:val="center"/>
          </w:tcPr>
          <w:p w:rsidR="00BD4565" w:rsidRPr="00A4002B" w:rsidRDefault="00BD4565" w:rsidP="008902DB">
            <w:pPr>
              <w:rPr>
                <w:lang w:eastAsia="cs-CZ"/>
              </w:rPr>
            </w:pPr>
          </w:p>
        </w:tc>
      </w:tr>
      <w:tr w:rsidR="00BD4565" w:rsidRPr="00A4002B" w:rsidTr="00660A00">
        <w:trPr>
          <w:cantSplit/>
          <w:trHeight w:val="380"/>
          <w:jc w:val="center"/>
        </w:trPr>
        <w:tc>
          <w:tcPr>
            <w:tcW w:w="7196" w:type="dxa"/>
            <w:gridSpan w:val="7"/>
            <w:tcBorders>
              <w:top w:val="dotted" w:sz="2" w:space="0" w:color="auto"/>
              <w:left w:val="nil"/>
              <w:bottom w:val="nil"/>
              <w:right w:val="nil"/>
            </w:tcBorders>
            <w:vAlign w:val="center"/>
          </w:tcPr>
          <w:p w:rsidR="00BD4565" w:rsidRPr="00A4002B" w:rsidRDefault="00BD4565" w:rsidP="008902DB">
            <w:pPr>
              <w:rPr>
                <w:lang w:eastAsia="cs-CZ"/>
              </w:rPr>
            </w:pPr>
            <w:r w:rsidRPr="00A4002B">
              <w:rPr>
                <w:lang w:eastAsia="cs-CZ"/>
              </w:rPr>
              <w:t>osoba, firma, razítko</w:t>
            </w:r>
          </w:p>
        </w:tc>
        <w:tc>
          <w:tcPr>
            <w:tcW w:w="3604" w:type="dxa"/>
            <w:gridSpan w:val="4"/>
            <w:tcBorders>
              <w:top w:val="dotted" w:sz="2" w:space="0" w:color="auto"/>
              <w:left w:val="nil"/>
              <w:bottom w:val="nil"/>
              <w:right w:val="nil"/>
            </w:tcBorders>
            <w:vAlign w:val="center"/>
          </w:tcPr>
          <w:p w:rsidR="00BD4565" w:rsidRPr="00A4002B" w:rsidRDefault="00BD4565" w:rsidP="008902DB">
            <w:pPr>
              <w:rPr>
                <w:b/>
                <w:bCs/>
                <w:u w:val="single"/>
                <w:lang w:eastAsia="cs-CZ"/>
              </w:rPr>
            </w:pPr>
            <w:r w:rsidRPr="00A4002B">
              <w:rPr>
                <w:lang w:eastAsia="cs-CZ"/>
              </w:rPr>
              <w:t>osoba, firma, razítko</w:t>
            </w:r>
          </w:p>
        </w:tc>
      </w:tr>
    </w:tbl>
    <w:p w:rsidR="00EA4148" w:rsidRPr="00293428" w:rsidRDefault="00EA4148" w:rsidP="003D16AB">
      <w:pPr>
        <w:rPr>
          <w:sz w:val="4"/>
        </w:rPr>
      </w:pPr>
    </w:p>
    <w:sectPr w:rsidR="00EA4148" w:rsidRPr="00293428" w:rsidSect="00D2071D">
      <w:pgSz w:w="11906" w:h="16838"/>
      <w:pgMar w:top="1134" w:right="851" w:bottom="68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D2" w:rsidRDefault="000571D2" w:rsidP="008902DB">
      <w:r>
        <w:separator/>
      </w:r>
    </w:p>
    <w:p w:rsidR="000571D2" w:rsidRDefault="000571D2" w:rsidP="008902DB"/>
    <w:p w:rsidR="000571D2" w:rsidRDefault="000571D2" w:rsidP="008902DB"/>
    <w:p w:rsidR="000571D2" w:rsidRDefault="000571D2" w:rsidP="00B608B4"/>
  </w:endnote>
  <w:endnote w:type="continuationSeparator" w:id="0">
    <w:p w:rsidR="000571D2" w:rsidRDefault="000571D2" w:rsidP="008902DB">
      <w:r>
        <w:continuationSeparator/>
      </w:r>
    </w:p>
    <w:p w:rsidR="000571D2" w:rsidRDefault="000571D2" w:rsidP="008902DB"/>
    <w:p w:rsidR="000571D2" w:rsidRDefault="000571D2" w:rsidP="008902DB"/>
    <w:p w:rsidR="000571D2" w:rsidRDefault="000571D2" w:rsidP="00B60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730751"/>
      <w:docPartObj>
        <w:docPartGallery w:val="Page Numbers (Top of Page)"/>
        <w:docPartUnique/>
      </w:docPartObj>
    </w:sdtPr>
    <w:sdtEndPr/>
    <w:sdtContent>
      <w:p w:rsidR="005731A5" w:rsidRDefault="005731A5" w:rsidP="008902DB">
        <w:pPr>
          <w:pStyle w:val="Zhlav"/>
        </w:pPr>
        <w:r>
          <w:rPr>
            <w:noProof/>
            <w:lang w:eastAsia="cs-CZ"/>
          </w:rPr>
          <mc:AlternateContent>
            <mc:Choice Requires="wps">
              <w:drawing>
                <wp:anchor distT="0" distB="0" distL="114300" distR="114300" simplePos="0" relativeHeight="251662336" behindDoc="0" locked="0" layoutInCell="1" allowOverlap="1" wp14:anchorId="4B03BA27" wp14:editId="69094ECB">
                  <wp:simplePos x="0" y="0"/>
                  <wp:positionH relativeFrom="column">
                    <wp:posOffset>-48895</wp:posOffset>
                  </wp:positionH>
                  <wp:positionV relativeFrom="paragraph">
                    <wp:posOffset>165928</wp:posOffset>
                  </wp:positionV>
                  <wp:extent cx="6496334" cy="0"/>
                  <wp:effectExtent l="0" t="0" r="19050" b="19050"/>
                  <wp:wrapNone/>
                  <wp:docPr id="5" name="Přímá spojnice 5"/>
                  <wp:cNvGraphicFramePr/>
                  <a:graphic xmlns:a="http://schemas.openxmlformats.org/drawingml/2006/main">
                    <a:graphicData uri="http://schemas.microsoft.com/office/word/2010/wordprocessingShape">
                      <wps:wsp>
                        <wps:cNvCnPr/>
                        <wps:spPr>
                          <a:xfrm>
                            <a:off x="0" y="0"/>
                            <a:ext cx="64963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8B865" id="Přímá spojnic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13.05pt" to="507.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" strokecolor="black [3213]"/>
              </w:pict>
            </mc:Fallback>
          </mc:AlternateContent>
        </w:r>
      </w:p>
      <w:p w:rsidR="005731A5" w:rsidRDefault="005731A5" w:rsidP="005E1F1E">
        <w:pPr>
          <w:pStyle w:val="Zhlav"/>
          <w:jc w:val="center"/>
        </w:pPr>
        <w:r>
          <w:t xml:space="preserve">Strana </w:t>
        </w:r>
        <w:r>
          <w:rPr>
            <w:sz w:val="24"/>
            <w:szCs w:val="24"/>
          </w:rPr>
          <w:fldChar w:fldCharType="begin"/>
        </w:r>
        <w:r>
          <w:instrText>PAGE</w:instrText>
        </w:r>
        <w:r>
          <w:rPr>
            <w:sz w:val="24"/>
            <w:szCs w:val="24"/>
          </w:rPr>
          <w:fldChar w:fldCharType="separate"/>
        </w:r>
        <w:r w:rsidR="00E619A6">
          <w:rPr>
            <w:noProof/>
          </w:rPr>
          <w:t>1</w:t>
        </w:r>
        <w:r>
          <w:rPr>
            <w:sz w:val="24"/>
            <w:szCs w:val="24"/>
          </w:rPr>
          <w:fldChar w:fldCharType="end"/>
        </w:r>
        <w:r>
          <w:t xml:space="preserve"> z </w:t>
        </w:r>
        <w:r>
          <w:rPr>
            <w:sz w:val="24"/>
            <w:szCs w:val="24"/>
          </w:rPr>
          <w:fldChar w:fldCharType="begin"/>
        </w:r>
        <w:r>
          <w:instrText>NUMPAGES</w:instrText>
        </w:r>
        <w:r>
          <w:rPr>
            <w:sz w:val="24"/>
            <w:szCs w:val="24"/>
          </w:rPr>
          <w:fldChar w:fldCharType="separate"/>
        </w:r>
        <w:r w:rsidR="00E619A6">
          <w:rPr>
            <w:noProof/>
          </w:rPr>
          <w:t>8</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D2" w:rsidRDefault="000571D2" w:rsidP="008902DB">
      <w:r>
        <w:separator/>
      </w:r>
    </w:p>
    <w:p w:rsidR="000571D2" w:rsidRDefault="000571D2" w:rsidP="008902DB"/>
    <w:p w:rsidR="000571D2" w:rsidRDefault="000571D2" w:rsidP="008902DB"/>
    <w:p w:rsidR="000571D2" w:rsidRDefault="000571D2" w:rsidP="00B608B4"/>
  </w:footnote>
  <w:footnote w:type="continuationSeparator" w:id="0">
    <w:p w:rsidR="000571D2" w:rsidRDefault="000571D2" w:rsidP="008902DB">
      <w:r>
        <w:continuationSeparator/>
      </w:r>
    </w:p>
    <w:p w:rsidR="000571D2" w:rsidRDefault="000571D2" w:rsidP="008902DB"/>
    <w:p w:rsidR="000571D2" w:rsidRDefault="000571D2" w:rsidP="008902DB"/>
    <w:p w:rsidR="000571D2" w:rsidRDefault="000571D2" w:rsidP="00B608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1A5" w:rsidRDefault="00FB1BCB" w:rsidP="008902DB">
    <w:pPr>
      <w:pStyle w:val="Zhlav"/>
    </w:pPr>
    <w:r>
      <w:rPr>
        <w:noProof/>
        <w:lang w:eastAsia="cs-CZ"/>
      </w:rPr>
      <w:drawing>
        <wp:anchor distT="0" distB="0" distL="114300" distR="114300" simplePos="0" relativeHeight="251665408" behindDoc="0" locked="0" layoutInCell="1" allowOverlap="1" wp14:anchorId="13A6626D" wp14:editId="711AA82A">
          <wp:simplePos x="0" y="0"/>
          <wp:positionH relativeFrom="column">
            <wp:posOffset>5962015</wp:posOffset>
          </wp:positionH>
          <wp:positionV relativeFrom="paragraph">
            <wp:posOffset>-12700</wp:posOffset>
          </wp:positionV>
          <wp:extent cx="482600" cy="4826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generator.cz_1448540367.png"/>
                  <pic:cNvPicPr/>
                </pic:nvPicPr>
                <pic:blipFill>
                  <a:blip r:embed="rId1">
                    <a:extLst>
                      <a:ext uri="{28A0092B-C50C-407E-A947-70E740481C1C}">
                        <a14:useLocalDpi xmlns:a14="http://schemas.microsoft.com/office/drawing/2010/main" val="0"/>
                      </a:ext>
                    </a:extLst>
                  </a:blip>
                  <a:stretch>
                    <a:fillRect/>
                  </a:stretch>
                </pic:blipFill>
                <pic:spPr>
                  <a:xfrm>
                    <a:off x="0" y="0"/>
                    <a:ext cx="482600" cy="482600"/>
                  </a:xfrm>
                  <a:prstGeom prst="rect">
                    <a:avLst/>
                  </a:prstGeom>
                </pic:spPr>
              </pic:pic>
            </a:graphicData>
          </a:graphic>
          <wp14:sizeRelH relativeFrom="page">
            <wp14:pctWidth>0</wp14:pctWidth>
          </wp14:sizeRelH>
          <wp14:sizeRelV relativeFrom="page">
            <wp14:pctHeight>0</wp14:pctHeight>
          </wp14:sizeRelV>
        </wp:anchor>
      </w:drawing>
    </w:r>
    <w:r w:rsidR="00372ACB">
      <w:rPr>
        <w:noProof/>
        <w:lang w:eastAsia="cs-CZ"/>
      </w:rPr>
      <mc:AlternateContent>
        <mc:Choice Requires="wps">
          <w:drawing>
            <wp:anchor distT="0" distB="0" distL="114300" distR="114300" simplePos="0" relativeHeight="251664384" behindDoc="0" locked="0" layoutInCell="1" allowOverlap="1" wp14:anchorId="26B258C8" wp14:editId="2304BE5C">
              <wp:simplePos x="0" y="0"/>
              <wp:positionH relativeFrom="column">
                <wp:posOffset>4249420</wp:posOffset>
              </wp:positionH>
              <wp:positionV relativeFrom="paragraph">
                <wp:posOffset>-46355</wp:posOffset>
              </wp:positionV>
              <wp:extent cx="1651000" cy="279400"/>
              <wp:effectExtent l="0" t="0" r="0" b="6350"/>
              <wp:wrapNone/>
              <wp:docPr id="3" name="Textové pole 3"/>
              <wp:cNvGraphicFramePr/>
              <a:graphic xmlns:a="http://schemas.openxmlformats.org/drawingml/2006/main">
                <a:graphicData uri="http://schemas.microsoft.com/office/word/2010/wordprocessingShape">
                  <wps:wsp>
                    <wps:cNvSpPr txBox="1"/>
                    <wps:spPr>
                      <a:xfrm>
                        <a:off x="0" y="0"/>
                        <a:ext cx="1651000"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31A5" w:rsidRDefault="00372ACB" w:rsidP="00372ACB">
                          <w:pPr>
                            <w:jc w:val="right"/>
                          </w:pPr>
                          <w:r>
                            <w:t>Všeobecné obchodní podmínky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258C8" id="_x0000_t202" coordsize="21600,21600" o:spt="202" path="m,l,21600r21600,l21600,xe">
              <v:stroke joinstyle="miter"/>
              <v:path gradientshapeok="t" o:connecttype="rect"/>
            </v:shapetype>
            <v:shape id="Textové pole 3" o:spid="_x0000_s1026" type="#_x0000_t202" style="position:absolute;left:0;text-align:left;margin-left:334.6pt;margin-top:-3.65pt;width:130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" filled="f" stroked="f" strokeweight=".5pt">
              <v:textbox>
                <w:txbxContent>
                  <w:p w:rsidR="005731A5" w:rsidRDefault="00372ACB" w:rsidP="00372ACB">
                    <w:pPr>
                      <w:jc w:val="right"/>
                    </w:pPr>
                    <w:r>
                      <w:t>Všeobecné obchodní podmínky</w:t>
                    </w:r>
                  </w:p>
                </w:txbxContent>
              </v:textbox>
            </v:shape>
          </w:pict>
        </mc:Fallback>
      </mc:AlternateContent>
    </w:r>
    <w:r w:rsidR="00372ACB">
      <w:rPr>
        <w:noProof/>
        <w:lang w:eastAsia="cs-CZ"/>
      </w:rPr>
      <mc:AlternateContent>
        <mc:Choice Requires="wps">
          <w:drawing>
            <wp:anchor distT="0" distB="0" distL="114300" distR="114300" simplePos="0" relativeHeight="251663360" behindDoc="0" locked="0" layoutInCell="1" allowOverlap="1" wp14:anchorId="080790C3" wp14:editId="25494B4E">
              <wp:simplePos x="0" y="0"/>
              <wp:positionH relativeFrom="column">
                <wp:posOffset>4918075</wp:posOffset>
              </wp:positionH>
              <wp:positionV relativeFrom="paragraph">
                <wp:posOffset>83185</wp:posOffset>
              </wp:positionV>
              <wp:extent cx="980440" cy="38735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980440" cy="38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31A5" w:rsidRPr="0028739B" w:rsidRDefault="005731A5" w:rsidP="005E1F1E">
                          <w:pPr>
                            <w:pStyle w:val="Nadpis1"/>
                            <w:jc w:val="right"/>
                            <w:rPr>
                              <w:color w:val="7F7F7F" w:themeColor="text1" w:themeTint="80"/>
                            </w:rPr>
                          </w:pPr>
                          <w:r w:rsidRPr="0028739B">
                            <w:rPr>
                              <w:color w:val="7F7F7F" w:themeColor="text1" w:themeTint="80"/>
                            </w:rPr>
                            <w:t>Část D</w:t>
                          </w:r>
                        </w:p>
                        <w:p w:rsidR="00231E90" w:rsidRDefault="00231E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790C3" id="Textové pole 4" o:spid="_x0000_s1027" type="#_x0000_t202" style="position:absolute;left:0;text-align:left;margin-left:387.25pt;margin-top:6.55pt;width:77.2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" fillcolor="white [3201]" stroked="f" strokeweight=".5pt">
              <v:textbox>
                <w:txbxContent>
                  <w:p w:rsidR="005731A5" w:rsidRPr="0028739B" w:rsidRDefault="005731A5" w:rsidP="005E1F1E">
                    <w:pPr>
                      <w:pStyle w:val="Nadpis1"/>
                      <w:jc w:val="right"/>
                      <w:rPr>
                        <w:color w:val="7F7F7F" w:themeColor="text1" w:themeTint="80"/>
                      </w:rPr>
                    </w:pPr>
                    <w:r w:rsidRPr="0028739B">
                      <w:rPr>
                        <w:color w:val="7F7F7F" w:themeColor="text1" w:themeTint="80"/>
                      </w:rPr>
                      <w:t>Část D</w:t>
                    </w:r>
                  </w:p>
                  <w:p w:rsidR="00231E90" w:rsidRDefault="00231E90"/>
                </w:txbxContent>
              </v:textbox>
            </v:shape>
          </w:pict>
        </mc:Fallback>
      </mc:AlternateContent>
    </w:r>
    <w:r w:rsidR="005731A5">
      <w:rPr>
        <w:noProof/>
        <w:lang w:eastAsia="cs-CZ"/>
      </w:rPr>
      <w:drawing>
        <wp:inline distT="0" distB="0" distL="0" distR="0" wp14:anchorId="07DAA73C" wp14:editId="6A4E6F9A">
          <wp:extent cx="1535687" cy="353786"/>
          <wp:effectExtent l="0" t="0" r="0" b="0"/>
          <wp:docPr id="9" name="Obrázek 9" descr="ST_logo_doplnkov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_logo_doplnkov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687" cy="353786"/>
                  </a:xfrm>
                  <a:prstGeom prst="rect">
                    <a:avLst/>
                  </a:prstGeom>
                  <a:noFill/>
                  <a:ln>
                    <a:noFill/>
                  </a:ln>
                </pic:spPr>
              </pic:pic>
            </a:graphicData>
          </a:graphic>
        </wp:inline>
      </w:drawing>
    </w:r>
    <w:r w:rsidR="00372ACB" w:rsidRPr="00372AC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5731A5" w:rsidRDefault="005731A5" w:rsidP="008902DB">
    <w:pPr>
      <w:pStyle w:val="Zhlav"/>
    </w:pPr>
    <w:r>
      <w:rPr>
        <w:noProof/>
        <w:lang w:eastAsia="cs-CZ"/>
      </w:rPr>
      <mc:AlternateContent>
        <mc:Choice Requires="wps">
          <w:drawing>
            <wp:anchor distT="0" distB="0" distL="114300" distR="114300" simplePos="0" relativeHeight="251659264" behindDoc="0" locked="0" layoutInCell="1" allowOverlap="1" wp14:anchorId="5E1C59BC" wp14:editId="00AB65A1">
              <wp:simplePos x="0" y="0"/>
              <wp:positionH relativeFrom="column">
                <wp:posOffset>-1270</wp:posOffset>
              </wp:positionH>
              <wp:positionV relativeFrom="paragraph">
                <wp:posOffset>186055</wp:posOffset>
              </wp:positionV>
              <wp:extent cx="6448567" cy="0"/>
              <wp:effectExtent l="0" t="0" r="9525" b="19050"/>
              <wp:wrapNone/>
              <wp:docPr id="2" name="Přímá spojnice 2"/>
              <wp:cNvGraphicFramePr/>
              <a:graphic xmlns:a="http://schemas.openxmlformats.org/drawingml/2006/main">
                <a:graphicData uri="http://schemas.microsoft.com/office/word/2010/wordprocessingShape">
                  <wps:wsp>
                    <wps:cNvCnPr/>
                    <wps:spPr>
                      <a:xfrm>
                        <a:off x="0" y="0"/>
                        <a:ext cx="64485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F2E311" id="Přímá spojnic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4.65pt" to="507.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" strokecolor="black [3213]"/>
          </w:pict>
        </mc:Fallback>
      </mc:AlternateContent>
    </w:r>
    <w:r>
      <w:t>Severočeská teplárenská, a.s., Teplárenská 2, Most – Komořany, PSČ 434 03</w:t>
    </w:r>
    <w:r w:rsidR="001B724F">
      <w:tab/>
      <w:t>www.setep.cz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628"/>
    <w:multiLevelType w:val="hybridMultilevel"/>
    <w:tmpl w:val="DB6A285E"/>
    <w:lvl w:ilvl="0" w:tplc="A09CF9FC">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297DB2"/>
    <w:multiLevelType w:val="hybridMultilevel"/>
    <w:tmpl w:val="0CB82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DBD"/>
    <w:multiLevelType w:val="hybridMultilevel"/>
    <w:tmpl w:val="44BC5B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32512F"/>
    <w:multiLevelType w:val="multilevel"/>
    <w:tmpl w:val="B4943B08"/>
    <w:lvl w:ilvl="0">
      <w:start w:val="1"/>
      <w:numFmt w:val="decimal"/>
      <w:lvlText w:val="%1."/>
      <w:lvlJc w:val="left"/>
      <w:pPr>
        <w:ind w:left="710" w:hanging="360"/>
      </w:pPr>
    </w:lvl>
    <w:lvl w:ilvl="1" w:tentative="1">
      <w:start w:val="1"/>
      <w:numFmt w:val="lowerLetter"/>
      <w:lvlText w:val="%2."/>
      <w:lvlJc w:val="left"/>
      <w:pPr>
        <w:ind w:left="1430" w:hanging="360"/>
      </w:pPr>
    </w:lvl>
    <w:lvl w:ilvl="2" w:tentative="1">
      <w:start w:val="1"/>
      <w:numFmt w:val="lowerRoman"/>
      <w:lvlText w:val="%3."/>
      <w:lvlJc w:val="right"/>
      <w:pPr>
        <w:ind w:left="2150" w:hanging="180"/>
      </w:pPr>
    </w:lvl>
    <w:lvl w:ilvl="3" w:tentative="1">
      <w:start w:val="1"/>
      <w:numFmt w:val="decimal"/>
      <w:lvlText w:val="%4."/>
      <w:lvlJc w:val="left"/>
      <w:pPr>
        <w:ind w:left="2870" w:hanging="360"/>
      </w:pPr>
    </w:lvl>
    <w:lvl w:ilvl="4" w:tentative="1">
      <w:start w:val="1"/>
      <w:numFmt w:val="lowerLetter"/>
      <w:lvlText w:val="%5."/>
      <w:lvlJc w:val="left"/>
      <w:pPr>
        <w:ind w:left="3590" w:hanging="360"/>
      </w:pPr>
    </w:lvl>
    <w:lvl w:ilvl="5" w:tentative="1">
      <w:start w:val="1"/>
      <w:numFmt w:val="lowerRoman"/>
      <w:lvlText w:val="%6."/>
      <w:lvlJc w:val="right"/>
      <w:pPr>
        <w:ind w:left="4310" w:hanging="180"/>
      </w:pPr>
    </w:lvl>
    <w:lvl w:ilvl="6" w:tentative="1">
      <w:start w:val="1"/>
      <w:numFmt w:val="decimal"/>
      <w:lvlText w:val="%7."/>
      <w:lvlJc w:val="left"/>
      <w:pPr>
        <w:ind w:left="5030" w:hanging="360"/>
      </w:pPr>
    </w:lvl>
    <w:lvl w:ilvl="7" w:tentative="1">
      <w:start w:val="1"/>
      <w:numFmt w:val="lowerLetter"/>
      <w:lvlText w:val="%8."/>
      <w:lvlJc w:val="left"/>
      <w:pPr>
        <w:ind w:left="5750" w:hanging="360"/>
      </w:pPr>
    </w:lvl>
    <w:lvl w:ilvl="8" w:tentative="1">
      <w:start w:val="1"/>
      <w:numFmt w:val="lowerRoman"/>
      <w:lvlText w:val="%9."/>
      <w:lvlJc w:val="right"/>
      <w:pPr>
        <w:ind w:left="6470" w:hanging="180"/>
      </w:pPr>
    </w:lvl>
  </w:abstractNum>
  <w:abstractNum w:abstractNumId="4" w15:restartNumberingAfterBreak="0">
    <w:nsid w:val="0EAA412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63B8E"/>
    <w:multiLevelType w:val="hybridMultilevel"/>
    <w:tmpl w:val="DD6275F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0F641DDC"/>
    <w:multiLevelType w:val="hybridMultilevel"/>
    <w:tmpl w:val="988E1D5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A866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05486E"/>
    <w:multiLevelType w:val="hybridMultilevel"/>
    <w:tmpl w:val="83421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B7BA7"/>
    <w:multiLevelType w:val="hybridMultilevel"/>
    <w:tmpl w:val="B4943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E778AC"/>
    <w:multiLevelType w:val="hybridMultilevel"/>
    <w:tmpl w:val="85FEDF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2E62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85725F"/>
    <w:multiLevelType w:val="hybridMultilevel"/>
    <w:tmpl w:val="2894339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25364F"/>
    <w:multiLevelType w:val="hybridMultilevel"/>
    <w:tmpl w:val="B4943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E80987"/>
    <w:multiLevelType w:val="hybridMultilevel"/>
    <w:tmpl w:val="5A2EE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026AE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423E8B"/>
    <w:multiLevelType w:val="hybridMultilevel"/>
    <w:tmpl w:val="44BC5BD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1879F6"/>
    <w:multiLevelType w:val="hybridMultilevel"/>
    <w:tmpl w:val="DD6275F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398B4C3D"/>
    <w:multiLevelType w:val="hybridMultilevel"/>
    <w:tmpl w:val="787E03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760AC1"/>
    <w:multiLevelType w:val="hybridMultilevel"/>
    <w:tmpl w:val="9336F57E"/>
    <w:lvl w:ilvl="0" w:tplc="0405000F">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20" w15:restartNumberingAfterBreak="0">
    <w:nsid w:val="3EE214A5"/>
    <w:multiLevelType w:val="hybridMultilevel"/>
    <w:tmpl w:val="80523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CE79BC"/>
    <w:multiLevelType w:val="hybridMultilevel"/>
    <w:tmpl w:val="9336F57E"/>
    <w:lvl w:ilvl="0" w:tplc="0405000F">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22" w15:restartNumberingAfterBreak="0">
    <w:nsid w:val="49FF0C1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6D063C"/>
    <w:multiLevelType w:val="hybridMultilevel"/>
    <w:tmpl w:val="ECEE2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D37ACB"/>
    <w:multiLevelType w:val="hybridMultilevel"/>
    <w:tmpl w:val="DD6275F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554A5062"/>
    <w:multiLevelType w:val="hybridMultilevel"/>
    <w:tmpl w:val="DD6275F6"/>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36B590A"/>
    <w:multiLevelType w:val="multilevel"/>
    <w:tmpl w:val="DF08C0B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52372C"/>
    <w:multiLevelType w:val="hybridMultilevel"/>
    <w:tmpl w:val="B4943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B159ED"/>
    <w:multiLevelType w:val="hybridMultilevel"/>
    <w:tmpl w:val="4D7E5132"/>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6A5623F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281C07"/>
    <w:multiLevelType w:val="hybridMultilevel"/>
    <w:tmpl w:val="FCC810EE"/>
    <w:lvl w:ilvl="0" w:tplc="6F4E740E">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4F1DC6"/>
    <w:multiLevelType w:val="hybridMultilevel"/>
    <w:tmpl w:val="B4943B08"/>
    <w:lvl w:ilvl="0" w:tplc="0405000F">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2" w15:restartNumberingAfterBreak="0">
    <w:nsid w:val="7BB76A1A"/>
    <w:multiLevelType w:val="hybridMultilevel"/>
    <w:tmpl w:val="728622C4"/>
    <w:lvl w:ilvl="0" w:tplc="2242B78C">
      <w:start w:val="6"/>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9A69D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
  </w:num>
  <w:num w:numId="3">
    <w:abstractNumId w:val="0"/>
  </w:num>
  <w:num w:numId="4">
    <w:abstractNumId w:val="1"/>
  </w:num>
  <w:num w:numId="5">
    <w:abstractNumId w:val="8"/>
  </w:num>
  <w:num w:numId="6">
    <w:abstractNumId w:val="9"/>
  </w:num>
  <w:num w:numId="7">
    <w:abstractNumId w:val="18"/>
  </w:num>
  <w:num w:numId="8">
    <w:abstractNumId w:val="27"/>
  </w:num>
  <w:num w:numId="9">
    <w:abstractNumId w:val="13"/>
  </w:num>
  <w:num w:numId="10">
    <w:abstractNumId w:val="16"/>
  </w:num>
  <w:num w:numId="11">
    <w:abstractNumId w:val="33"/>
  </w:num>
  <w:num w:numId="12">
    <w:abstractNumId w:val="10"/>
  </w:num>
  <w:num w:numId="13">
    <w:abstractNumId w:val="14"/>
  </w:num>
  <w:num w:numId="14">
    <w:abstractNumId w:val="4"/>
  </w:num>
  <w:num w:numId="15">
    <w:abstractNumId w:val="31"/>
  </w:num>
  <w:num w:numId="16">
    <w:abstractNumId w:val="19"/>
  </w:num>
  <w:num w:numId="17">
    <w:abstractNumId w:val="21"/>
  </w:num>
  <w:num w:numId="18">
    <w:abstractNumId w:val="5"/>
  </w:num>
  <w:num w:numId="19">
    <w:abstractNumId w:val="24"/>
  </w:num>
  <w:num w:numId="20">
    <w:abstractNumId w:val="17"/>
  </w:num>
  <w:num w:numId="21">
    <w:abstractNumId w:val="25"/>
  </w:num>
  <w:num w:numId="22">
    <w:abstractNumId w:val="20"/>
  </w:num>
  <w:num w:numId="23">
    <w:abstractNumId w:val="28"/>
  </w:num>
  <w:num w:numId="24">
    <w:abstractNumId w:val="30"/>
  </w:num>
  <w:num w:numId="25">
    <w:abstractNumId w:val="32"/>
  </w:num>
  <w:num w:numId="26">
    <w:abstractNumId w:val="29"/>
  </w:num>
  <w:num w:numId="27">
    <w:abstractNumId w:val="22"/>
  </w:num>
  <w:num w:numId="28">
    <w:abstractNumId w:val="11"/>
  </w:num>
  <w:num w:numId="29">
    <w:abstractNumId w:val="7"/>
  </w:num>
  <w:num w:numId="30">
    <w:abstractNumId w:val="3"/>
  </w:num>
  <w:num w:numId="31">
    <w:abstractNumId w:val="15"/>
  </w:num>
  <w:num w:numId="32">
    <w:abstractNumId w:val="26"/>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A3"/>
    <w:rsid w:val="00000F5D"/>
    <w:rsid w:val="00002FA3"/>
    <w:rsid w:val="0000345A"/>
    <w:rsid w:val="00005148"/>
    <w:rsid w:val="00007714"/>
    <w:rsid w:val="00012327"/>
    <w:rsid w:val="00013D3C"/>
    <w:rsid w:val="00014230"/>
    <w:rsid w:val="00017960"/>
    <w:rsid w:val="000201E0"/>
    <w:rsid w:val="00024497"/>
    <w:rsid w:val="000315C5"/>
    <w:rsid w:val="00031B34"/>
    <w:rsid w:val="00033241"/>
    <w:rsid w:val="00051B92"/>
    <w:rsid w:val="000571D2"/>
    <w:rsid w:val="0006651C"/>
    <w:rsid w:val="00071A49"/>
    <w:rsid w:val="000773BE"/>
    <w:rsid w:val="0008156C"/>
    <w:rsid w:val="00081CC4"/>
    <w:rsid w:val="00083642"/>
    <w:rsid w:val="00093603"/>
    <w:rsid w:val="00096692"/>
    <w:rsid w:val="000A00FC"/>
    <w:rsid w:val="000A1639"/>
    <w:rsid w:val="000A5D1A"/>
    <w:rsid w:val="000B3908"/>
    <w:rsid w:val="000B5672"/>
    <w:rsid w:val="000C2CB1"/>
    <w:rsid w:val="000D17AA"/>
    <w:rsid w:val="000D1FC8"/>
    <w:rsid w:val="000D67F0"/>
    <w:rsid w:val="000E3286"/>
    <w:rsid w:val="000E57DB"/>
    <w:rsid w:val="000E60CA"/>
    <w:rsid w:val="000E67B3"/>
    <w:rsid w:val="000E6F7A"/>
    <w:rsid w:val="000F7A90"/>
    <w:rsid w:val="001028A5"/>
    <w:rsid w:val="00102E05"/>
    <w:rsid w:val="001058F6"/>
    <w:rsid w:val="00106EB6"/>
    <w:rsid w:val="00116B40"/>
    <w:rsid w:val="00116EC6"/>
    <w:rsid w:val="0011770A"/>
    <w:rsid w:val="001204E2"/>
    <w:rsid w:val="00121934"/>
    <w:rsid w:val="00122D4E"/>
    <w:rsid w:val="00127720"/>
    <w:rsid w:val="0013060B"/>
    <w:rsid w:val="00145C84"/>
    <w:rsid w:val="001473EE"/>
    <w:rsid w:val="00152D92"/>
    <w:rsid w:val="001561C5"/>
    <w:rsid w:val="00160B83"/>
    <w:rsid w:val="00160EF7"/>
    <w:rsid w:val="001610F1"/>
    <w:rsid w:val="001622B1"/>
    <w:rsid w:val="00162C68"/>
    <w:rsid w:val="00172C40"/>
    <w:rsid w:val="00177841"/>
    <w:rsid w:val="00186F0D"/>
    <w:rsid w:val="001948B3"/>
    <w:rsid w:val="001A050C"/>
    <w:rsid w:val="001B366D"/>
    <w:rsid w:val="001B5C46"/>
    <w:rsid w:val="001B724F"/>
    <w:rsid w:val="001C0D14"/>
    <w:rsid w:val="001D18E5"/>
    <w:rsid w:val="001D4AFF"/>
    <w:rsid w:val="001D5558"/>
    <w:rsid w:val="001D71E3"/>
    <w:rsid w:val="001D790E"/>
    <w:rsid w:val="001E06DE"/>
    <w:rsid w:val="001E5A74"/>
    <w:rsid w:val="001F36C4"/>
    <w:rsid w:val="001F43FD"/>
    <w:rsid w:val="001F7B28"/>
    <w:rsid w:val="0020098C"/>
    <w:rsid w:val="002102B6"/>
    <w:rsid w:val="0021052D"/>
    <w:rsid w:val="002124B1"/>
    <w:rsid w:val="0021468D"/>
    <w:rsid w:val="0021512F"/>
    <w:rsid w:val="00215BE9"/>
    <w:rsid w:val="00217568"/>
    <w:rsid w:val="00224F84"/>
    <w:rsid w:val="002258E3"/>
    <w:rsid w:val="00227363"/>
    <w:rsid w:val="00231E90"/>
    <w:rsid w:val="00232172"/>
    <w:rsid w:val="002341C9"/>
    <w:rsid w:val="0024237F"/>
    <w:rsid w:val="00250654"/>
    <w:rsid w:val="00254298"/>
    <w:rsid w:val="00254EEC"/>
    <w:rsid w:val="0025619C"/>
    <w:rsid w:val="00257C3F"/>
    <w:rsid w:val="00257C70"/>
    <w:rsid w:val="00282658"/>
    <w:rsid w:val="00285F01"/>
    <w:rsid w:val="0028739B"/>
    <w:rsid w:val="00291D94"/>
    <w:rsid w:val="00293428"/>
    <w:rsid w:val="00293B8D"/>
    <w:rsid w:val="002A0DB0"/>
    <w:rsid w:val="002A12AA"/>
    <w:rsid w:val="002A1431"/>
    <w:rsid w:val="002A18CC"/>
    <w:rsid w:val="002A32B7"/>
    <w:rsid w:val="002B0BA3"/>
    <w:rsid w:val="002B0F11"/>
    <w:rsid w:val="002B121B"/>
    <w:rsid w:val="002B2BBC"/>
    <w:rsid w:val="002B2BDD"/>
    <w:rsid w:val="002B6039"/>
    <w:rsid w:val="002C2D45"/>
    <w:rsid w:val="002C7C3F"/>
    <w:rsid w:val="002E7700"/>
    <w:rsid w:val="002F48FD"/>
    <w:rsid w:val="00301423"/>
    <w:rsid w:val="003023BE"/>
    <w:rsid w:val="00313C44"/>
    <w:rsid w:val="0031762E"/>
    <w:rsid w:val="00330D5F"/>
    <w:rsid w:val="00336CFD"/>
    <w:rsid w:val="00337963"/>
    <w:rsid w:val="0034182D"/>
    <w:rsid w:val="0034320A"/>
    <w:rsid w:val="00345ED7"/>
    <w:rsid w:val="00346F19"/>
    <w:rsid w:val="00347FAB"/>
    <w:rsid w:val="00352A90"/>
    <w:rsid w:val="00353A57"/>
    <w:rsid w:val="00355515"/>
    <w:rsid w:val="00357004"/>
    <w:rsid w:val="003575B4"/>
    <w:rsid w:val="0037291F"/>
    <w:rsid w:val="00372ACB"/>
    <w:rsid w:val="00374FD0"/>
    <w:rsid w:val="00375F31"/>
    <w:rsid w:val="00387C5D"/>
    <w:rsid w:val="003907FE"/>
    <w:rsid w:val="0039615B"/>
    <w:rsid w:val="003A169D"/>
    <w:rsid w:val="003A3FE4"/>
    <w:rsid w:val="003A419D"/>
    <w:rsid w:val="003B0922"/>
    <w:rsid w:val="003B6379"/>
    <w:rsid w:val="003C4182"/>
    <w:rsid w:val="003C7203"/>
    <w:rsid w:val="003D16AB"/>
    <w:rsid w:val="003D583D"/>
    <w:rsid w:val="003D7B8A"/>
    <w:rsid w:val="003E58BE"/>
    <w:rsid w:val="003E5AEE"/>
    <w:rsid w:val="003F0112"/>
    <w:rsid w:val="003F46CD"/>
    <w:rsid w:val="003F5DE2"/>
    <w:rsid w:val="0040058C"/>
    <w:rsid w:val="00400E90"/>
    <w:rsid w:val="0040139D"/>
    <w:rsid w:val="00414DBB"/>
    <w:rsid w:val="00417271"/>
    <w:rsid w:val="00420E5B"/>
    <w:rsid w:val="00427394"/>
    <w:rsid w:val="0043260B"/>
    <w:rsid w:val="00432C51"/>
    <w:rsid w:val="00434231"/>
    <w:rsid w:val="00440563"/>
    <w:rsid w:val="00440698"/>
    <w:rsid w:val="0044609B"/>
    <w:rsid w:val="004464A7"/>
    <w:rsid w:val="00455232"/>
    <w:rsid w:val="004554B1"/>
    <w:rsid w:val="00462497"/>
    <w:rsid w:val="0046577A"/>
    <w:rsid w:val="0046709B"/>
    <w:rsid w:val="00470C15"/>
    <w:rsid w:val="004736E8"/>
    <w:rsid w:val="004743B6"/>
    <w:rsid w:val="00482F72"/>
    <w:rsid w:val="00494EB2"/>
    <w:rsid w:val="004A510C"/>
    <w:rsid w:val="004A762B"/>
    <w:rsid w:val="004A7FA1"/>
    <w:rsid w:val="004B1251"/>
    <w:rsid w:val="004B265F"/>
    <w:rsid w:val="004B2FEA"/>
    <w:rsid w:val="004B3B24"/>
    <w:rsid w:val="004B4FF1"/>
    <w:rsid w:val="004B5879"/>
    <w:rsid w:val="004C025C"/>
    <w:rsid w:val="004D1366"/>
    <w:rsid w:val="004D73B2"/>
    <w:rsid w:val="004D7667"/>
    <w:rsid w:val="004E2ACE"/>
    <w:rsid w:val="004E3574"/>
    <w:rsid w:val="004E35D9"/>
    <w:rsid w:val="004E7EB4"/>
    <w:rsid w:val="004F081C"/>
    <w:rsid w:val="004F798B"/>
    <w:rsid w:val="00500052"/>
    <w:rsid w:val="00500061"/>
    <w:rsid w:val="00500A2D"/>
    <w:rsid w:val="00505DC8"/>
    <w:rsid w:val="005100D8"/>
    <w:rsid w:val="00524848"/>
    <w:rsid w:val="00543DB4"/>
    <w:rsid w:val="00547053"/>
    <w:rsid w:val="00552FF0"/>
    <w:rsid w:val="00555227"/>
    <w:rsid w:val="005635C0"/>
    <w:rsid w:val="00564612"/>
    <w:rsid w:val="0057093F"/>
    <w:rsid w:val="005731A5"/>
    <w:rsid w:val="00573424"/>
    <w:rsid w:val="00583DC4"/>
    <w:rsid w:val="005855DC"/>
    <w:rsid w:val="00591C1A"/>
    <w:rsid w:val="005963C7"/>
    <w:rsid w:val="005967ED"/>
    <w:rsid w:val="005A3DBB"/>
    <w:rsid w:val="005A6FB3"/>
    <w:rsid w:val="005A750D"/>
    <w:rsid w:val="005A7944"/>
    <w:rsid w:val="005B00A8"/>
    <w:rsid w:val="005B0CE2"/>
    <w:rsid w:val="005B7761"/>
    <w:rsid w:val="005B79AE"/>
    <w:rsid w:val="005E1F1E"/>
    <w:rsid w:val="005E2D0D"/>
    <w:rsid w:val="005E5CDA"/>
    <w:rsid w:val="005F04CD"/>
    <w:rsid w:val="005F6854"/>
    <w:rsid w:val="00604254"/>
    <w:rsid w:val="00607E56"/>
    <w:rsid w:val="00617161"/>
    <w:rsid w:val="00631735"/>
    <w:rsid w:val="00636B97"/>
    <w:rsid w:val="0064053A"/>
    <w:rsid w:val="006406AA"/>
    <w:rsid w:val="00645E79"/>
    <w:rsid w:val="00653B55"/>
    <w:rsid w:val="00653FDE"/>
    <w:rsid w:val="00655D8C"/>
    <w:rsid w:val="00670950"/>
    <w:rsid w:val="00690C56"/>
    <w:rsid w:val="006913F6"/>
    <w:rsid w:val="006949F5"/>
    <w:rsid w:val="006B08C6"/>
    <w:rsid w:val="006B0A92"/>
    <w:rsid w:val="006B4639"/>
    <w:rsid w:val="006B727A"/>
    <w:rsid w:val="006C1D00"/>
    <w:rsid w:val="006D1839"/>
    <w:rsid w:val="006D3631"/>
    <w:rsid w:val="006D3A91"/>
    <w:rsid w:val="006E5516"/>
    <w:rsid w:val="006E60C2"/>
    <w:rsid w:val="006E6656"/>
    <w:rsid w:val="006E734C"/>
    <w:rsid w:val="006F4E8D"/>
    <w:rsid w:val="006F6183"/>
    <w:rsid w:val="00700A2F"/>
    <w:rsid w:val="00712EFC"/>
    <w:rsid w:val="00712FF0"/>
    <w:rsid w:val="00714C5C"/>
    <w:rsid w:val="0071684C"/>
    <w:rsid w:val="007233C6"/>
    <w:rsid w:val="00725BDE"/>
    <w:rsid w:val="00733922"/>
    <w:rsid w:val="007352F4"/>
    <w:rsid w:val="00736A15"/>
    <w:rsid w:val="007428D2"/>
    <w:rsid w:val="00752AFC"/>
    <w:rsid w:val="00761B42"/>
    <w:rsid w:val="00766AF3"/>
    <w:rsid w:val="00772651"/>
    <w:rsid w:val="007757E4"/>
    <w:rsid w:val="00786488"/>
    <w:rsid w:val="00790E45"/>
    <w:rsid w:val="007A5334"/>
    <w:rsid w:val="007A75E8"/>
    <w:rsid w:val="007B718F"/>
    <w:rsid w:val="007C24E3"/>
    <w:rsid w:val="007C3D5A"/>
    <w:rsid w:val="007C3F46"/>
    <w:rsid w:val="007C7204"/>
    <w:rsid w:val="007D5C12"/>
    <w:rsid w:val="007D747A"/>
    <w:rsid w:val="007E01BB"/>
    <w:rsid w:val="007E0DB6"/>
    <w:rsid w:val="00804FCA"/>
    <w:rsid w:val="00806F71"/>
    <w:rsid w:val="008107B2"/>
    <w:rsid w:val="0081376B"/>
    <w:rsid w:val="0081733A"/>
    <w:rsid w:val="00821281"/>
    <w:rsid w:val="0082195F"/>
    <w:rsid w:val="00827577"/>
    <w:rsid w:val="0083187F"/>
    <w:rsid w:val="00833D74"/>
    <w:rsid w:val="0083435B"/>
    <w:rsid w:val="008447D3"/>
    <w:rsid w:val="0084534F"/>
    <w:rsid w:val="00860EF3"/>
    <w:rsid w:val="00867DB1"/>
    <w:rsid w:val="008773E0"/>
    <w:rsid w:val="00887FFA"/>
    <w:rsid w:val="008902DB"/>
    <w:rsid w:val="00890D85"/>
    <w:rsid w:val="008954DD"/>
    <w:rsid w:val="00895E46"/>
    <w:rsid w:val="00896558"/>
    <w:rsid w:val="008966C1"/>
    <w:rsid w:val="008A4807"/>
    <w:rsid w:val="008B5C23"/>
    <w:rsid w:val="008C4CFF"/>
    <w:rsid w:val="008D2156"/>
    <w:rsid w:val="008D2A2C"/>
    <w:rsid w:val="008E045E"/>
    <w:rsid w:val="008F0064"/>
    <w:rsid w:val="008F11E1"/>
    <w:rsid w:val="009029FD"/>
    <w:rsid w:val="009044F4"/>
    <w:rsid w:val="009143BF"/>
    <w:rsid w:val="0091736D"/>
    <w:rsid w:val="00934D9D"/>
    <w:rsid w:val="00941634"/>
    <w:rsid w:val="009441B3"/>
    <w:rsid w:val="00951EC0"/>
    <w:rsid w:val="00952F6D"/>
    <w:rsid w:val="0095584C"/>
    <w:rsid w:val="009763F9"/>
    <w:rsid w:val="00980E71"/>
    <w:rsid w:val="009837CE"/>
    <w:rsid w:val="009846F3"/>
    <w:rsid w:val="00985242"/>
    <w:rsid w:val="00993305"/>
    <w:rsid w:val="00993C22"/>
    <w:rsid w:val="00994A93"/>
    <w:rsid w:val="00995365"/>
    <w:rsid w:val="009A3380"/>
    <w:rsid w:val="009A7138"/>
    <w:rsid w:val="009B067A"/>
    <w:rsid w:val="009C37F6"/>
    <w:rsid w:val="009D0856"/>
    <w:rsid w:val="009D2CFC"/>
    <w:rsid w:val="009D56DB"/>
    <w:rsid w:val="009F6777"/>
    <w:rsid w:val="00A1732C"/>
    <w:rsid w:val="00A17EEF"/>
    <w:rsid w:val="00A22112"/>
    <w:rsid w:val="00A24B7B"/>
    <w:rsid w:val="00A33359"/>
    <w:rsid w:val="00A4002B"/>
    <w:rsid w:val="00A43203"/>
    <w:rsid w:val="00A527DE"/>
    <w:rsid w:val="00A664F8"/>
    <w:rsid w:val="00A74381"/>
    <w:rsid w:val="00A774CA"/>
    <w:rsid w:val="00A84C7E"/>
    <w:rsid w:val="00A9164C"/>
    <w:rsid w:val="00A92746"/>
    <w:rsid w:val="00A9369A"/>
    <w:rsid w:val="00AA06D4"/>
    <w:rsid w:val="00AA0712"/>
    <w:rsid w:val="00AA310C"/>
    <w:rsid w:val="00AA5350"/>
    <w:rsid w:val="00AA5829"/>
    <w:rsid w:val="00AB0EB7"/>
    <w:rsid w:val="00AB4551"/>
    <w:rsid w:val="00AB4DA7"/>
    <w:rsid w:val="00AC2535"/>
    <w:rsid w:val="00AC6AD6"/>
    <w:rsid w:val="00AC6D7A"/>
    <w:rsid w:val="00AD015E"/>
    <w:rsid w:val="00AD02F0"/>
    <w:rsid w:val="00AE0CD2"/>
    <w:rsid w:val="00AE2021"/>
    <w:rsid w:val="00AE76E8"/>
    <w:rsid w:val="00AF13DB"/>
    <w:rsid w:val="00AF2B48"/>
    <w:rsid w:val="00AF381C"/>
    <w:rsid w:val="00AF4206"/>
    <w:rsid w:val="00B07F1E"/>
    <w:rsid w:val="00B174D3"/>
    <w:rsid w:val="00B24823"/>
    <w:rsid w:val="00B26F8A"/>
    <w:rsid w:val="00B36929"/>
    <w:rsid w:val="00B51753"/>
    <w:rsid w:val="00B5652C"/>
    <w:rsid w:val="00B56ABE"/>
    <w:rsid w:val="00B608B4"/>
    <w:rsid w:val="00B614F2"/>
    <w:rsid w:val="00BA1890"/>
    <w:rsid w:val="00BA4A30"/>
    <w:rsid w:val="00BB19C6"/>
    <w:rsid w:val="00BB2C26"/>
    <w:rsid w:val="00BB5A2B"/>
    <w:rsid w:val="00BB77F8"/>
    <w:rsid w:val="00BC3864"/>
    <w:rsid w:val="00BD4565"/>
    <w:rsid w:val="00BE0633"/>
    <w:rsid w:val="00BE0D3E"/>
    <w:rsid w:val="00BE0F72"/>
    <w:rsid w:val="00BE17A6"/>
    <w:rsid w:val="00BE1DEB"/>
    <w:rsid w:val="00BE3BC2"/>
    <w:rsid w:val="00C03B71"/>
    <w:rsid w:val="00C063C7"/>
    <w:rsid w:val="00C0687C"/>
    <w:rsid w:val="00C11A1B"/>
    <w:rsid w:val="00C16A97"/>
    <w:rsid w:val="00C3765C"/>
    <w:rsid w:val="00C429DA"/>
    <w:rsid w:val="00C47046"/>
    <w:rsid w:val="00C47E8A"/>
    <w:rsid w:val="00C52C6D"/>
    <w:rsid w:val="00C6035C"/>
    <w:rsid w:val="00C609EA"/>
    <w:rsid w:val="00C67F4A"/>
    <w:rsid w:val="00C72654"/>
    <w:rsid w:val="00C73B02"/>
    <w:rsid w:val="00C87CB5"/>
    <w:rsid w:val="00CB32B3"/>
    <w:rsid w:val="00CC0473"/>
    <w:rsid w:val="00CC0827"/>
    <w:rsid w:val="00CC0967"/>
    <w:rsid w:val="00CC3D82"/>
    <w:rsid w:val="00CD3101"/>
    <w:rsid w:val="00CD54A5"/>
    <w:rsid w:val="00CE29AD"/>
    <w:rsid w:val="00CE3479"/>
    <w:rsid w:val="00CE7BAC"/>
    <w:rsid w:val="00CE7E8A"/>
    <w:rsid w:val="00CF06F4"/>
    <w:rsid w:val="00D0066A"/>
    <w:rsid w:val="00D043AF"/>
    <w:rsid w:val="00D0528C"/>
    <w:rsid w:val="00D2071D"/>
    <w:rsid w:val="00D21758"/>
    <w:rsid w:val="00D23007"/>
    <w:rsid w:val="00D27E1E"/>
    <w:rsid w:val="00D333EA"/>
    <w:rsid w:val="00D34F0C"/>
    <w:rsid w:val="00D35F33"/>
    <w:rsid w:val="00D44736"/>
    <w:rsid w:val="00D459E4"/>
    <w:rsid w:val="00D51A5A"/>
    <w:rsid w:val="00D71120"/>
    <w:rsid w:val="00D771C7"/>
    <w:rsid w:val="00D80BE9"/>
    <w:rsid w:val="00D84CAB"/>
    <w:rsid w:val="00D861AD"/>
    <w:rsid w:val="00DB2AA1"/>
    <w:rsid w:val="00DB4160"/>
    <w:rsid w:val="00DB69F8"/>
    <w:rsid w:val="00DC5534"/>
    <w:rsid w:val="00DD0EB5"/>
    <w:rsid w:val="00DD49D8"/>
    <w:rsid w:val="00DE4D8A"/>
    <w:rsid w:val="00DF5811"/>
    <w:rsid w:val="00E007FE"/>
    <w:rsid w:val="00E101FF"/>
    <w:rsid w:val="00E110C1"/>
    <w:rsid w:val="00E144ED"/>
    <w:rsid w:val="00E24C85"/>
    <w:rsid w:val="00E25EAC"/>
    <w:rsid w:val="00E3038B"/>
    <w:rsid w:val="00E34035"/>
    <w:rsid w:val="00E359A9"/>
    <w:rsid w:val="00E372BD"/>
    <w:rsid w:val="00E464FF"/>
    <w:rsid w:val="00E46500"/>
    <w:rsid w:val="00E47A60"/>
    <w:rsid w:val="00E5307D"/>
    <w:rsid w:val="00E53B55"/>
    <w:rsid w:val="00E619A6"/>
    <w:rsid w:val="00E636F3"/>
    <w:rsid w:val="00E6455F"/>
    <w:rsid w:val="00E7069B"/>
    <w:rsid w:val="00E70A58"/>
    <w:rsid w:val="00E84F4E"/>
    <w:rsid w:val="00E922C7"/>
    <w:rsid w:val="00EA4148"/>
    <w:rsid w:val="00EA5BFA"/>
    <w:rsid w:val="00EA69A9"/>
    <w:rsid w:val="00EB522E"/>
    <w:rsid w:val="00EB5B1F"/>
    <w:rsid w:val="00EB5FE5"/>
    <w:rsid w:val="00EC098C"/>
    <w:rsid w:val="00EC260E"/>
    <w:rsid w:val="00EF0303"/>
    <w:rsid w:val="00EF07FD"/>
    <w:rsid w:val="00F0608A"/>
    <w:rsid w:val="00F07EF5"/>
    <w:rsid w:val="00F24043"/>
    <w:rsid w:val="00F26C8F"/>
    <w:rsid w:val="00F3466F"/>
    <w:rsid w:val="00F44841"/>
    <w:rsid w:val="00F478EB"/>
    <w:rsid w:val="00F47913"/>
    <w:rsid w:val="00F5516F"/>
    <w:rsid w:val="00F614AC"/>
    <w:rsid w:val="00F64B9B"/>
    <w:rsid w:val="00F76B34"/>
    <w:rsid w:val="00F81DBE"/>
    <w:rsid w:val="00F82966"/>
    <w:rsid w:val="00F9178B"/>
    <w:rsid w:val="00FA527D"/>
    <w:rsid w:val="00FB1BCB"/>
    <w:rsid w:val="00FB4A35"/>
    <w:rsid w:val="00FC6906"/>
    <w:rsid w:val="00FC7652"/>
    <w:rsid w:val="00FD0712"/>
    <w:rsid w:val="00FE542C"/>
    <w:rsid w:val="00FF5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A5AC0E-26F1-4BF2-84E3-E01C14AB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02DB"/>
    <w:pPr>
      <w:spacing w:before="60" w:after="0"/>
      <w:jc w:val="both"/>
    </w:pPr>
    <w:rPr>
      <w:sz w:val="18"/>
      <w:szCs w:val="18"/>
    </w:rPr>
  </w:style>
  <w:style w:type="paragraph" w:styleId="Nadpis1">
    <w:name w:val="heading 1"/>
    <w:basedOn w:val="Normln"/>
    <w:next w:val="Nadpis2"/>
    <w:link w:val="Nadpis1Char"/>
    <w:uiPriority w:val="9"/>
    <w:qFormat/>
    <w:rsid w:val="00427394"/>
    <w:pPr>
      <w:spacing w:after="120"/>
      <w:outlineLvl w:val="0"/>
    </w:pPr>
    <w:rPr>
      <w:b/>
      <w:sz w:val="40"/>
    </w:rPr>
  </w:style>
  <w:style w:type="paragraph" w:styleId="Nadpis2">
    <w:name w:val="heading 2"/>
    <w:basedOn w:val="Normln"/>
    <w:next w:val="Podtitul"/>
    <w:link w:val="Nadpis2Char"/>
    <w:uiPriority w:val="9"/>
    <w:unhideWhenUsed/>
    <w:qFormat/>
    <w:rsid w:val="00427394"/>
    <w:pPr>
      <w:keepNext/>
      <w:keepLines/>
      <w:spacing w:before="120"/>
      <w:outlineLvl w:val="1"/>
    </w:pPr>
    <w:rPr>
      <w:rFonts w:eastAsiaTheme="majorEastAsia"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7394"/>
    <w:rPr>
      <w:rFonts w:ascii="Arial" w:hAnsi="Arial"/>
      <w:b/>
      <w:sz w:val="40"/>
    </w:rPr>
  </w:style>
  <w:style w:type="paragraph" w:styleId="Zhlav">
    <w:name w:val="header"/>
    <w:basedOn w:val="Normln"/>
    <w:link w:val="ZhlavChar"/>
    <w:uiPriority w:val="99"/>
    <w:unhideWhenUsed/>
    <w:rsid w:val="001610F1"/>
    <w:pPr>
      <w:tabs>
        <w:tab w:val="center" w:pos="4536"/>
        <w:tab w:val="right" w:pos="9072"/>
      </w:tabs>
      <w:spacing w:line="240" w:lineRule="auto"/>
    </w:pPr>
  </w:style>
  <w:style w:type="character" w:customStyle="1" w:styleId="Nadpis2Char">
    <w:name w:val="Nadpis 2 Char"/>
    <w:basedOn w:val="Standardnpsmoodstavce"/>
    <w:link w:val="Nadpis2"/>
    <w:uiPriority w:val="9"/>
    <w:rsid w:val="00427394"/>
    <w:rPr>
      <w:rFonts w:ascii="Arial" w:eastAsiaTheme="majorEastAsia" w:hAnsi="Arial" w:cstheme="majorBidi"/>
      <w:b/>
      <w:bCs/>
      <w:sz w:val="24"/>
      <w:szCs w:val="26"/>
    </w:rPr>
  </w:style>
  <w:style w:type="character" w:customStyle="1" w:styleId="ZhlavChar">
    <w:name w:val="Záhlaví Char"/>
    <w:basedOn w:val="Standardnpsmoodstavce"/>
    <w:link w:val="Zhlav"/>
    <w:uiPriority w:val="99"/>
    <w:rsid w:val="001610F1"/>
    <w:rPr>
      <w:rFonts w:ascii="Arial" w:hAnsi="Arial"/>
    </w:rPr>
  </w:style>
  <w:style w:type="paragraph" w:styleId="Zpat">
    <w:name w:val="footer"/>
    <w:basedOn w:val="Normln"/>
    <w:link w:val="ZpatChar"/>
    <w:uiPriority w:val="99"/>
    <w:unhideWhenUsed/>
    <w:rsid w:val="001610F1"/>
    <w:pPr>
      <w:tabs>
        <w:tab w:val="center" w:pos="4536"/>
        <w:tab w:val="right" w:pos="9072"/>
      </w:tabs>
      <w:spacing w:line="240" w:lineRule="auto"/>
    </w:pPr>
  </w:style>
  <w:style w:type="character" w:customStyle="1" w:styleId="ZpatChar">
    <w:name w:val="Zápatí Char"/>
    <w:basedOn w:val="Standardnpsmoodstavce"/>
    <w:link w:val="Zpat"/>
    <w:uiPriority w:val="99"/>
    <w:rsid w:val="001610F1"/>
    <w:rPr>
      <w:rFonts w:ascii="Arial" w:hAnsi="Arial"/>
    </w:rPr>
  </w:style>
  <w:style w:type="paragraph" w:styleId="Textbubliny">
    <w:name w:val="Balloon Text"/>
    <w:basedOn w:val="Normln"/>
    <w:link w:val="TextbublinyChar"/>
    <w:uiPriority w:val="99"/>
    <w:semiHidden/>
    <w:unhideWhenUsed/>
    <w:rsid w:val="001610F1"/>
    <w:pPr>
      <w:spacing w:line="240" w:lineRule="auto"/>
    </w:pPr>
    <w:rPr>
      <w:rFonts w:ascii="Tahoma" w:hAnsi="Tahoma" w:cs="Tahoma"/>
      <w:szCs w:val="16"/>
    </w:rPr>
  </w:style>
  <w:style w:type="character" w:customStyle="1" w:styleId="TextbublinyChar">
    <w:name w:val="Text bubliny Char"/>
    <w:basedOn w:val="Standardnpsmoodstavce"/>
    <w:link w:val="Textbubliny"/>
    <w:uiPriority w:val="99"/>
    <w:semiHidden/>
    <w:rsid w:val="001610F1"/>
    <w:rPr>
      <w:rFonts w:ascii="Tahoma" w:hAnsi="Tahoma" w:cs="Tahoma"/>
      <w:sz w:val="16"/>
      <w:szCs w:val="16"/>
    </w:rPr>
  </w:style>
  <w:style w:type="table" w:styleId="Mkatabulky">
    <w:name w:val="Table Grid"/>
    <w:basedOn w:val="Normlntabulka"/>
    <w:uiPriority w:val="59"/>
    <w:rsid w:val="00917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next w:val="Normln"/>
    <w:link w:val="PodtitulChar"/>
    <w:uiPriority w:val="11"/>
    <w:qFormat/>
    <w:rsid w:val="006E5516"/>
    <w:pPr>
      <w:numPr>
        <w:ilvl w:val="1"/>
      </w:numPr>
      <w:spacing w:before="120"/>
    </w:pPr>
    <w:rPr>
      <w:rFonts w:eastAsiaTheme="majorEastAsia" w:cstheme="majorBidi"/>
      <w:b/>
      <w:iCs/>
      <w:szCs w:val="24"/>
    </w:rPr>
  </w:style>
  <w:style w:type="character" w:customStyle="1" w:styleId="PodtitulChar">
    <w:name w:val="Podtitul Char"/>
    <w:basedOn w:val="Standardnpsmoodstavce"/>
    <w:link w:val="Podtitul"/>
    <w:uiPriority w:val="11"/>
    <w:rsid w:val="006E5516"/>
    <w:rPr>
      <w:rFonts w:ascii="Arial" w:eastAsiaTheme="majorEastAsia" w:hAnsi="Arial" w:cstheme="majorBidi"/>
      <w:b/>
      <w:iCs/>
      <w:sz w:val="18"/>
      <w:szCs w:val="24"/>
    </w:rPr>
  </w:style>
  <w:style w:type="paragraph" w:styleId="Odstavecseseznamem">
    <w:name w:val="List Paragraph"/>
    <w:basedOn w:val="Normln"/>
    <w:uiPriority w:val="34"/>
    <w:qFormat/>
    <w:rsid w:val="0091736D"/>
    <w:pPr>
      <w:ind w:left="720"/>
      <w:contextualSpacing/>
    </w:pPr>
  </w:style>
  <w:style w:type="character" w:styleId="Zstupntext">
    <w:name w:val="Placeholder Text"/>
    <w:basedOn w:val="Standardnpsmoodstavce"/>
    <w:uiPriority w:val="99"/>
    <w:semiHidden/>
    <w:rsid w:val="0057093F"/>
    <w:rPr>
      <w:color w:val="808080"/>
    </w:rPr>
  </w:style>
  <w:style w:type="paragraph" w:customStyle="1" w:styleId="Text">
    <w:name w:val="Text"/>
    <w:basedOn w:val="Normln"/>
    <w:autoRedefine/>
    <w:rsid w:val="004B1251"/>
    <w:pPr>
      <w:spacing w:before="0" w:line="240" w:lineRule="auto"/>
    </w:pPr>
    <w:rPr>
      <w:rFonts w:ascii="Tahoma" w:eastAsia="Times New Roman" w:hAnsi="Tahoma" w:cs="Arial"/>
      <w:szCs w:val="20"/>
      <w:lang w:eastAsia="cs-CZ"/>
    </w:rPr>
  </w:style>
  <w:style w:type="paragraph" w:customStyle="1" w:styleId="Nadpis">
    <w:name w:val="Nadpis"/>
    <w:basedOn w:val="Nzev"/>
    <w:autoRedefine/>
    <w:rsid w:val="00D35F33"/>
    <w:pPr>
      <w:pBdr>
        <w:bottom w:val="none" w:sz="0" w:space="0" w:color="auto"/>
      </w:pBdr>
      <w:tabs>
        <w:tab w:val="center" w:pos="5220"/>
        <w:tab w:val="right" w:pos="10440"/>
      </w:tabs>
      <w:spacing w:after="0" w:line="360" w:lineRule="auto"/>
      <w:contextualSpacing w:val="0"/>
      <w:jc w:val="center"/>
    </w:pPr>
    <w:rPr>
      <w:rFonts w:ascii="Tahoma" w:eastAsia="Times New Roman" w:hAnsi="Tahoma" w:cs="Times New Roman"/>
      <w:b/>
      <w:color w:val="auto"/>
      <w:spacing w:val="0"/>
      <w:kern w:val="0"/>
      <w:sz w:val="20"/>
      <w:szCs w:val="24"/>
      <w:lang w:eastAsia="cs-CZ"/>
    </w:rPr>
  </w:style>
  <w:style w:type="paragraph" w:styleId="Nzev">
    <w:name w:val="Title"/>
    <w:basedOn w:val="Normln"/>
    <w:next w:val="Normln"/>
    <w:link w:val="NzevChar"/>
    <w:uiPriority w:val="10"/>
    <w:qFormat/>
    <w:rsid w:val="004B1251"/>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B1251"/>
    <w:rPr>
      <w:rFonts w:asciiTheme="majorHAnsi" w:eastAsiaTheme="majorEastAsia" w:hAnsiTheme="majorHAnsi" w:cstheme="majorBidi"/>
      <w:color w:val="17365D" w:themeColor="text2" w:themeShade="BF"/>
      <w:spacing w:val="5"/>
      <w:kern w:val="28"/>
      <w:sz w:val="52"/>
      <w:szCs w:val="52"/>
    </w:rPr>
  </w:style>
  <w:style w:type="character" w:styleId="Hypertextovodkaz">
    <w:name w:val="Hyperlink"/>
    <w:basedOn w:val="Standardnpsmoodstavce"/>
    <w:uiPriority w:val="99"/>
    <w:unhideWhenUsed/>
    <w:rsid w:val="00C47E8A"/>
    <w:rPr>
      <w:color w:val="0000FF" w:themeColor="hyperlink"/>
      <w:u w:val="single"/>
    </w:rPr>
  </w:style>
  <w:style w:type="character" w:styleId="Odkaznakoment">
    <w:name w:val="annotation reference"/>
    <w:basedOn w:val="Standardnpsmoodstavce"/>
    <w:uiPriority w:val="99"/>
    <w:semiHidden/>
    <w:unhideWhenUsed/>
    <w:rsid w:val="001058F6"/>
    <w:rPr>
      <w:sz w:val="16"/>
      <w:szCs w:val="16"/>
    </w:rPr>
  </w:style>
  <w:style w:type="paragraph" w:styleId="Textkomente">
    <w:name w:val="annotation text"/>
    <w:basedOn w:val="Normln"/>
    <w:link w:val="TextkomenteChar"/>
    <w:uiPriority w:val="99"/>
    <w:semiHidden/>
    <w:unhideWhenUsed/>
    <w:rsid w:val="001058F6"/>
    <w:pPr>
      <w:spacing w:line="240" w:lineRule="auto"/>
    </w:pPr>
    <w:rPr>
      <w:sz w:val="20"/>
      <w:szCs w:val="20"/>
    </w:rPr>
  </w:style>
  <w:style w:type="character" w:customStyle="1" w:styleId="TextkomenteChar">
    <w:name w:val="Text komentáře Char"/>
    <w:basedOn w:val="Standardnpsmoodstavce"/>
    <w:link w:val="Textkomente"/>
    <w:uiPriority w:val="99"/>
    <w:semiHidden/>
    <w:rsid w:val="001058F6"/>
    <w:rPr>
      <w:sz w:val="20"/>
      <w:szCs w:val="20"/>
    </w:rPr>
  </w:style>
  <w:style w:type="paragraph" w:styleId="Pedmtkomente">
    <w:name w:val="annotation subject"/>
    <w:basedOn w:val="Textkomente"/>
    <w:next w:val="Textkomente"/>
    <w:link w:val="PedmtkomenteChar"/>
    <w:uiPriority w:val="99"/>
    <w:semiHidden/>
    <w:unhideWhenUsed/>
    <w:rsid w:val="001058F6"/>
    <w:rPr>
      <w:b/>
      <w:bCs/>
    </w:rPr>
  </w:style>
  <w:style w:type="character" w:customStyle="1" w:styleId="PedmtkomenteChar">
    <w:name w:val="Předmět komentáře Char"/>
    <w:basedOn w:val="TextkomenteChar"/>
    <w:link w:val="Pedmtkomente"/>
    <w:uiPriority w:val="99"/>
    <w:semiHidden/>
    <w:rsid w:val="001058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7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ep.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ue.cz\ue\sprava\orfo\obchod\NewSml_2015\www.setep.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61DC5B9F524BC1A95CB184559189C3"/>
        <w:category>
          <w:name w:val="Obecné"/>
          <w:gallery w:val="placeholder"/>
        </w:category>
        <w:types>
          <w:type w:val="bbPlcHdr"/>
        </w:types>
        <w:behaviors>
          <w:behavior w:val="content"/>
        </w:behaviors>
        <w:guid w:val="{7E595402-7C85-4A95-AE37-4D9925F336EC}"/>
      </w:docPartPr>
      <w:docPartBody>
        <w:p w:rsidR="00081636" w:rsidRDefault="009F41C6" w:rsidP="009F41C6">
          <w:pPr>
            <w:pStyle w:val="5961DC5B9F524BC1A95CB184559189C3"/>
          </w:pPr>
          <w:r w:rsidRPr="003C4182">
            <w:rPr>
              <w:rStyle w:val="Zstupntext"/>
              <w:b/>
            </w:rPr>
            <w:t>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85"/>
    <w:rsid w:val="00030385"/>
    <w:rsid w:val="00030962"/>
    <w:rsid w:val="000579B7"/>
    <w:rsid w:val="00072EC2"/>
    <w:rsid w:val="00081636"/>
    <w:rsid w:val="0008338A"/>
    <w:rsid w:val="000F5E65"/>
    <w:rsid w:val="001123E1"/>
    <w:rsid w:val="001E7985"/>
    <w:rsid w:val="001F2884"/>
    <w:rsid w:val="002248B9"/>
    <w:rsid w:val="002633E5"/>
    <w:rsid w:val="00283ACC"/>
    <w:rsid w:val="00354575"/>
    <w:rsid w:val="003C6807"/>
    <w:rsid w:val="003F7EB1"/>
    <w:rsid w:val="00462FEA"/>
    <w:rsid w:val="00463561"/>
    <w:rsid w:val="00577BC9"/>
    <w:rsid w:val="0058516B"/>
    <w:rsid w:val="00593D1F"/>
    <w:rsid w:val="0065639F"/>
    <w:rsid w:val="00745258"/>
    <w:rsid w:val="0075507E"/>
    <w:rsid w:val="00776FEF"/>
    <w:rsid w:val="007D4F5A"/>
    <w:rsid w:val="00866BE2"/>
    <w:rsid w:val="008C11BA"/>
    <w:rsid w:val="008F3B31"/>
    <w:rsid w:val="00937A97"/>
    <w:rsid w:val="009679EA"/>
    <w:rsid w:val="00987229"/>
    <w:rsid w:val="009D1BB0"/>
    <w:rsid w:val="009F41C6"/>
    <w:rsid w:val="00A54F92"/>
    <w:rsid w:val="00AC7E66"/>
    <w:rsid w:val="00B902D6"/>
    <w:rsid w:val="00BC5BF4"/>
    <w:rsid w:val="00C15DDB"/>
    <w:rsid w:val="00C32A05"/>
    <w:rsid w:val="00C506AA"/>
    <w:rsid w:val="00D15277"/>
    <w:rsid w:val="00D25D51"/>
    <w:rsid w:val="00D60FF3"/>
    <w:rsid w:val="00D929CB"/>
    <w:rsid w:val="00F44CF0"/>
    <w:rsid w:val="00FD49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C5BF4"/>
    <w:rPr>
      <w:color w:val="808080"/>
    </w:rPr>
  </w:style>
  <w:style w:type="paragraph" w:customStyle="1" w:styleId="3FFE58D5653C4DFCA66053902EF04BF8">
    <w:name w:val="3FFE58D5653C4DFCA66053902EF04BF8"/>
    <w:rsid w:val="00030385"/>
  </w:style>
  <w:style w:type="paragraph" w:customStyle="1" w:styleId="170BA87ACB1D4F718650CEA869F5A615">
    <w:name w:val="170BA87ACB1D4F718650CEA869F5A615"/>
    <w:rsid w:val="00030385"/>
  </w:style>
  <w:style w:type="paragraph" w:customStyle="1" w:styleId="919CB3263EC5453580FE79824C0380B8">
    <w:name w:val="919CB3263EC5453580FE79824C0380B8"/>
    <w:rsid w:val="00030385"/>
    <w:pPr>
      <w:spacing w:after="60"/>
      <w:jc w:val="both"/>
    </w:pPr>
    <w:rPr>
      <w:rFonts w:ascii="Arial" w:eastAsiaTheme="minorHAnsi" w:hAnsi="Arial"/>
      <w:sz w:val="18"/>
      <w:lang w:eastAsia="en-US"/>
    </w:rPr>
  </w:style>
  <w:style w:type="paragraph" w:customStyle="1" w:styleId="4A46DF798F6D4E189D103733E2412303">
    <w:name w:val="4A46DF798F6D4E189D103733E2412303"/>
    <w:rsid w:val="00030385"/>
    <w:pPr>
      <w:spacing w:after="60"/>
      <w:jc w:val="both"/>
    </w:pPr>
    <w:rPr>
      <w:rFonts w:ascii="Arial" w:eastAsiaTheme="minorHAnsi" w:hAnsi="Arial"/>
      <w:sz w:val="18"/>
      <w:lang w:eastAsia="en-US"/>
    </w:rPr>
  </w:style>
  <w:style w:type="paragraph" w:customStyle="1" w:styleId="FB4872A17D3E46BE8FB11A0FBD8E4218">
    <w:name w:val="FB4872A17D3E46BE8FB11A0FBD8E4218"/>
    <w:rsid w:val="00030385"/>
    <w:pPr>
      <w:spacing w:after="60"/>
      <w:jc w:val="both"/>
    </w:pPr>
    <w:rPr>
      <w:rFonts w:ascii="Arial" w:eastAsiaTheme="minorHAnsi" w:hAnsi="Arial"/>
      <w:sz w:val="18"/>
      <w:lang w:eastAsia="en-US"/>
    </w:rPr>
  </w:style>
  <w:style w:type="paragraph" w:customStyle="1" w:styleId="3F40720882734E96AF1CD042A6069B87">
    <w:name w:val="3F40720882734E96AF1CD042A6069B87"/>
    <w:rsid w:val="00030385"/>
    <w:pPr>
      <w:spacing w:after="60"/>
      <w:jc w:val="both"/>
    </w:pPr>
    <w:rPr>
      <w:rFonts w:ascii="Arial" w:eastAsiaTheme="minorHAnsi" w:hAnsi="Arial"/>
      <w:sz w:val="18"/>
      <w:lang w:eastAsia="en-US"/>
    </w:rPr>
  </w:style>
  <w:style w:type="paragraph" w:customStyle="1" w:styleId="F463BBAF1E2A46BFAD514D43297D836C">
    <w:name w:val="F463BBAF1E2A46BFAD514D43297D836C"/>
    <w:rsid w:val="00030385"/>
    <w:pPr>
      <w:spacing w:after="60"/>
      <w:jc w:val="both"/>
    </w:pPr>
    <w:rPr>
      <w:rFonts w:ascii="Arial" w:eastAsiaTheme="minorHAnsi" w:hAnsi="Arial"/>
      <w:sz w:val="18"/>
      <w:lang w:eastAsia="en-US"/>
    </w:rPr>
  </w:style>
  <w:style w:type="paragraph" w:customStyle="1" w:styleId="DF566C6A17BD4CFDBA27243AB4C580F6">
    <w:name w:val="DF566C6A17BD4CFDBA27243AB4C580F6"/>
    <w:rsid w:val="00030385"/>
    <w:pPr>
      <w:spacing w:after="60"/>
      <w:jc w:val="both"/>
    </w:pPr>
    <w:rPr>
      <w:rFonts w:ascii="Arial" w:eastAsiaTheme="minorHAnsi" w:hAnsi="Arial"/>
      <w:sz w:val="18"/>
      <w:lang w:eastAsia="en-US"/>
    </w:rPr>
  </w:style>
  <w:style w:type="paragraph" w:customStyle="1" w:styleId="4357CD8A06EC4B529D194B6D5AD2B79D">
    <w:name w:val="4357CD8A06EC4B529D194B6D5AD2B79D"/>
    <w:rsid w:val="00030385"/>
    <w:pPr>
      <w:spacing w:after="60"/>
      <w:jc w:val="both"/>
    </w:pPr>
    <w:rPr>
      <w:rFonts w:ascii="Arial" w:eastAsiaTheme="minorHAnsi" w:hAnsi="Arial"/>
      <w:sz w:val="18"/>
      <w:lang w:eastAsia="en-US"/>
    </w:rPr>
  </w:style>
  <w:style w:type="paragraph" w:customStyle="1" w:styleId="ECAE25FE88D3412CA3A71B8FB1299670">
    <w:name w:val="ECAE25FE88D3412CA3A71B8FB1299670"/>
    <w:rsid w:val="00030385"/>
    <w:pPr>
      <w:spacing w:after="60"/>
      <w:jc w:val="both"/>
    </w:pPr>
    <w:rPr>
      <w:rFonts w:ascii="Arial" w:eastAsiaTheme="minorHAnsi" w:hAnsi="Arial"/>
      <w:sz w:val="18"/>
      <w:lang w:eastAsia="en-US"/>
    </w:rPr>
  </w:style>
  <w:style w:type="paragraph" w:customStyle="1" w:styleId="9DE515DC50CE4756A9CDB04B2417D644">
    <w:name w:val="9DE515DC50CE4756A9CDB04B2417D644"/>
    <w:rsid w:val="00030385"/>
    <w:pPr>
      <w:spacing w:after="60"/>
      <w:jc w:val="both"/>
    </w:pPr>
    <w:rPr>
      <w:rFonts w:ascii="Arial" w:eastAsiaTheme="minorHAnsi" w:hAnsi="Arial"/>
      <w:sz w:val="18"/>
      <w:lang w:eastAsia="en-US"/>
    </w:rPr>
  </w:style>
  <w:style w:type="paragraph" w:customStyle="1" w:styleId="58518594C7E64BCD80AFE02D41902CFE">
    <w:name w:val="58518594C7E64BCD80AFE02D41902CFE"/>
    <w:rsid w:val="00030385"/>
    <w:pPr>
      <w:spacing w:after="60"/>
      <w:jc w:val="both"/>
    </w:pPr>
    <w:rPr>
      <w:rFonts w:ascii="Arial" w:eastAsiaTheme="minorHAnsi" w:hAnsi="Arial"/>
      <w:sz w:val="18"/>
      <w:lang w:eastAsia="en-US"/>
    </w:rPr>
  </w:style>
  <w:style w:type="paragraph" w:customStyle="1" w:styleId="90FA8808BECE47DCB84716D53E8B0208">
    <w:name w:val="90FA8808BECE47DCB84716D53E8B0208"/>
    <w:rsid w:val="00030385"/>
    <w:pPr>
      <w:spacing w:after="60"/>
      <w:jc w:val="both"/>
    </w:pPr>
    <w:rPr>
      <w:rFonts w:ascii="Arial" w:eastAsiaTheme="minorHAnsi" w:hAnsi="Arial"/>
      <w:sz w:val="18"/>
      <w:lang w:eastAsia="en-US"/>
    </w:rPr>
  </w:style>
  <w:style w:type="paragraph" w:customStyle="1" w:styleId="C7282C19943E4DF2B136E34C8FC263C2">
    <w:name w:val="C7282C19943E4DF2B136E34C8FC263C2"/>
    <w:rsid w:val="00030385"/>
    <w:pPr>
      <w:spacing w:after="60"/>
      <w:jc w:val="both"/>
    </w:pPr>
    <w:rPr>
      <w:rFonts w:ascii="Arial" w:eastAsiaTheme="minorHAnsi" w:hAnsi="Arial"/>
      <w:sz w:val="18"/>
      <w:lang w:eastAsia="en-US"/>
    </w:rPr>
  </w:style>
  <w:style w:type="paragraph" w:customStyle="1" w:styleId="20AAB099E3A444A097DB451044C3BDE5">
    <w:name w:val="20AAB099E3A444A097DB451044C3BDE5"/>
    <w:rsid w:val="00030385"/>
    <w:pPr>
      <w:spacing w:after="60"/>
      <w:jc w:val="both"/>
    </w:pPr>
    <w:rPr>
      <w:rFonts w:ascii="Arial" w:eastAsiaTheme="minorHAnsi" w:hAnsi="Arial"/>
      <w:sz w:val="18"/>
      <w:lang w:eastAsia="en-US"/>
    </w:rPr>
  </w:style>
  <w:style w:type="paragraph" w:customStyle="1" w:styleId="FD32745DC0B247F8894B0AEF50B288F3">
    <w:name w:val="FD32745DC0B247F8894B0AEF50B288F3"/>
    <w:rsid w:val="00030385"/>
    <w:pPr>
      <w:spacing w:after="60"/>
      <w:jc w:val="both"/>
    </w:pPr>
    <w:rPr>
      <w:rFonts w:ascii="Arial" w:eastAsiaTheme="minorHAnsi" w:hAnsi="Arial"/>
      <w:sz w:val="18"/>
      <w:lang w:eastAsia="en-US"/>
    </w:rPr>
  </w:style>
  <w:style w:type="paragraph" w:customStyle="1" w:styleId="6BD3BA5A03EF4AB5BAB59D7598ADE2E4">
    <w:name w:val="6BD3BA5A03EF4AB5BAB59D7598ADE2E4"/>
    <w:rsid w:val="00030385"/>
    <w:pPr>
      <w:spacing w:after="60"/>
      <w:jc w:val="both"/>
    </w:pPr>
    <w:rPr>
      <w:rFonts w:ascii="Arial" w:eastAsiaTheme="minorHAnsi" w:hAnsi="Arial"/>
      <w:sz w:val="18"/>
      <w:lang w:eastAsia="en-US"/>
    </w:rPr>
  </w:style>
  <w:style w:type="paragraph" w:customStyle="1" w:styleId="F6489DDF37BA40A48963314D26402B41">
    <w:name w:val="F6489DDF37BA40A48963314D26402B41"/>
    <w:rsid w:val="009F41C6"/>
  </w:style>
  <w:style w:type="paragraph" w:customStyle="1" w:styleId="4E2F6D43F3704964B16887BA6531A025">
    <w:name w:val="4E2F6D43F3704964B16887BA6531A025"/>
    <w:rsid w:val="009F41C6"/>
  </w:style>
  <w:style w:type="paragraph" w:customStyle="1" w:styleId="FEDE7C397A9E44D6BCB3285F01EAC729">
    <w:name w:val="FEDE7C397A9E44D6BCB3285F01EAC729"/>
    <w:rsid w:val="009F41C6"/>
  </w:style>
  <w:style w:type="paragraph" w:customStyle="1" w:styleId="5A9496C233554B36998E8CAE536583BA">
    <w:name w:val="5A9496C233554B36998E8CAE536583BA"/>
    <w:rsid w:val="009F41C6"/>
  </w:style>
  <w:style w:type="paragraph" w:customStyle="1" w:styleId="1DA42F2103B743168D0104B930A8A074">
    <w:name w:val="1DA42F2103B743168D0104B930A8A074"/>
    <w:rsid w:val="009F41C6"/>
  </w:style>
  <w:style w:type="paragraph" w:customStyle="1" w:styleId="7FEF31E65AD843709B1195166F6182EE">
    <w:name w:val="7FEF31E65AD843709B1195166F6182EE"/>
    <w:rsid w:val="009F41C6"/>
  </w:style>
  <w:style w:type="paragraph" w:customStyle="1" w:styleId="2F0539EA356C4E7496512DA634678251">
    <w:name w:val="2F0539EA356C4E7496512DA634678251"/>
    <w:rsid w:val="009F41C6"/>
  </w:style>
  <w:style w:type="paragraph" w:customStyle="1" w:styleId="731619DA5468432AB0AC3E538245958D">
    <w:name w:val="731619DA5468432AB0AC3E538245958D"/>
    <w:rsid w:val="009F41C6"/>
  </w:style>
  <w:style w:type="paragraph" w:customStyle="1" w:styleId="FB1AE6D5907E4551A297689C586B4A34">
    <w:name w:val="FB1AE6D5907E4551A297689C586B4A34"/>
    <w:rsid w:val="009F41C6"/>
  </w:style>
  <w:style w:type="paragraph" w:customStyle="1" w:styleId="CDC4D4571668414180FC705D6C76CF6B">
    <w:name w:val="CDC4D4571668414180FC705D6C76CF6B"/>
    <w:rsid w:val="009F41C6"/>
  </w:style>
  <w:style w:type="paragraph" w:customStyle="1" w:styleId="980F9AFDABED4CF997A1A9082279EA6D">
    <w:name w:val="980F9AFDABED4CF997A1A9082279EA6D"/>
    <w:rsid w:val="009F41C6"/>
  </w:style>
  <w:style w:type="paragraph" w:customStyle="1" w:styleId="820E4D5A7B3646208E385A03A71B0AAD">
    <w:name w:val="820E4D5A7B3646208E385A03A71B0AAD"/>
    <w:rsid w:val="009F41C6"/>
  </w:style>
  <w:style w:type="paragraph" w:customStyle="1" w:styleId="0BA040F6228F43BA86C588C8B3DAC232">
    <w:name w:val="0BA040F6228F43BA86C588C8B3DAC232"/>
    <w:rsid w:val="009F41C6"/>
    <w:pPr>
      <w:spacing w:before="60" w:after="0"/>
      <w:jc w:val="both"/>
    </w:pPr>
    <w:rPr>
      <w:rFonts w:ascii="Arial" w:eastAsiaTheme="minorHAnsi" w:hAnsi="Arial"/>
      <w:sz w:val="16"/>
      <w:lang w:eastAsia="en-US"/>
    </w:rPr>
  </w:style>
  <w:style w:type="paragraph" w:customStyle="1" w:styleId="4095A12AF27C42229847960EE5A2A213">
    <w:name w:val="4095A12AF27C42229847960EE5A2A213"/>
    <w:rsid w:val="009F41C6"/>
    <w:pPr>
      <w:spacing w:before="60" w:after="0"/>
      <w:jc w:val="both"/>
    </w:pPr>
    <w:rPr>
      <w:rFonts w:ascii="Arial" w:eastAsiaTheme="minorHAnsi" w:hAnsi="Arial"/>
      <w:sz w:val="16"/>
      <w:lang w:eastAsia="en-US"/>
    </w:rPr>
  </w:style>
  <w:style w:type="paragraph" w:customStyle="1" w:styleId="50CE96959F2D4A74ABBB33F4B6FC7F54">
    <w:name w:val="50CE96959F2D4A74ABBB33F4B6FC7F54"/>
    <w:rsid w:val="009F41C6"/>
    <w:pPr>
      <w:spacing w:before="60" w:after="0"/>
      <w:jc w:val="both"/>
    </w:pPr>
    <w:rPr>
      <w:rFonts w:ascii="Arial" w:eastAsiaTheme="minorHAnsi" w:hAnsi="Arial"/>
      <w:sz w:val="16"/>
      <w:lang w:eastAsia="en-US"/>
    </w:rPr>
  </w:style>
  <w:style w:type="paragraph" w:customStyle="1" w:styleId="232E25715CFD40A8A410A6523931F447">
    <w:name w:val="232E25715CFD40A8A410A6523931F447"/>
    <w:rsid w:val="009F41C6"/>
    <w:pPr>
      <w:spacing w:before="60" w:after="0"/>
      <w:jc w:val="both"/>
    </w:pPr>
    <w:rPr>
      <w:rFonts w:ascii="Arial" w:eastAsiaTheme="minorHAnsi" w:hAnsi="Arial"/>
      <w:sz w:val="16"/>
      <w:lang w:eastAsia="en-US"/>
    </w:rPr>
  </w:style>
  <w:style w:type="paragraph" w:customStyle="1" w:styleId="4B3854D9DA4D4FFA8201963E314220C8">
    <w:name w:val="4B3854D9DA4D4FFA8201963E314220C8"/>
    <w:rsid w:val="009F41C6"/>
    <w:pPr>
      <w:spacing w:before="60" w:after="0"/>
      <w:jc w:val="both"/>
    </w:pPr>
    <w:rPr>
      <w:rFonts w:ascii="Arial" w:eastAsiaTheme="minorHAnsi" w:hAnsi="Arial"/>
      <w:sz w:val="16"/>
      <w:lang w:eastAsia="en-US"/>
    </w:rPr>
  </w:style>
  <w:style w:type="paragraph" w:customStyle="1" w:styleId="4E2F6D43F3704964B16887BA6531A0251">
    <w:name w:val="4E2F6D43F3704964B16887BA6531A0251"/>
    <w:rsid w:val="009F41C6"/>
    <w:pPr>
      <w:spacing w:before="60" w:after="0"/>
      <w:jc w:val="both"/>
    </w:pPr>
    <w:rPr>
      <w:rFonts w:ascii="Arial" w:eastAsiaTheme="minorHAnsi" w:hAnsi="Arial"/>
      <w:sz w:val="16"/>
      <w:lang w:eastAsia="en-US"/>
    </w:rPr>
  </w:style>
  <w:style w:type="paragraph" w:customStyle="1" w:styleId="44070F0C88C34363A08374074F62F11F">
    <w:name w:val="44070F0C88C34363A08374074F62F11F"/>
    <w:rsid w:val="009F41C6"/>
    <w:pPr>
      <w:spacing w:before="60" w:after="0"/>
      <w:jc w:val="both"/>
    </w:pPr>
    <w:rPr>
      <w:rFonts w:ascii="Arial" w:eastAsiaTheme="minorHAnsi" w:hAnsi="Arial"/>
      <w:sz w:val="16"/>
      <w:lang w:eastAsia="en-US"/>
    </w:rPr>
  </w:style>
  <w:style w:type="paragraph" w:customStyle="1" w:styleId="9DDA078095314D5198A601A4A0D567DA">
    <w:name w:val="9DDA078095314D5198A601A4A0D567DA"/>
    <w:rsid w:val="009F41C6"/>
    <w:pPr>
      <w:spacing w:before="60" w:after="0"/>
      <w:jc w:val="both"/>
    </w:pPr>
    <w:rPr>
      <w:rFonts w:ascii="Arial" w:eastAsiaTheme="minorHAnsi" w:hAnsi="Arial"/>
      <w:sz w:val="16"/>
      <w:lang w:eastAsia="en-US"/>
    </w:rPr>
  </w:style>
  <w:style w:type="paragraph" w:customStyle="1" w:styleId="65E7A73A9F6749219C4B27F06A6FB78F">
    <w:name w:val="65E7A73A9F6749219C4B27F06A6FB78F"/>
    <w:rsid w:val="009F41C6"/>
    <w:pPr>
      <w:spacing w:before="60" w:after="0"/>
      <w:jc w:val="both"/>
    </w:pPr>
    <w:rPr>
      <w:rFonts w:ascii="Arial" w:eastAsiaTheme="minorHAnsi" w:hAnsi="Arial"/>
      <w:sz w:val="16"/>
      <w:lang w:eastAsia="en-US"/>
    </w:rPr>
  </w:style>
  <w:style w:type="paragraph" w:customStyle="1" w:styleId="6ADD8318AC284CBA84C162B83578EADD">
    <w:name w:val="6ADD8318AC284CBA84C162B83578EADD"/>
    <w:rsid w:val="009F41C6"/>
    <w:pPr>
      <w:spacing w:before="60" w:after="0"/>
      <w:jc w:val="both"/>
    </w:pPr>
    <w:rPr>
      <w:rFonts w:ascii="Arial" w:eastAsiaTheme="minorHAnsi" w:hAnsi="Arial"/>
      <w:sz w:val="16"/>
      <w:lang w:eastAsia="en-US"/>
    </w:rPr>
  </w:style>
  <w:style w:type="paragraph" w:customStyle="1" w:styleId="2CAE3FBC92BD42BA82DD8BB010ACADDC">
    <w:name w:val="2CAE3FBC92BD42BA82DD8BB010ACADDC"/>
    <w:rsid w:val="009F41C6"/>
    <w:pPr>
      <w:spacing w:before="60" w:after="0"/>
      <w:jc w:val="both"/>
    </w:pPr>
    <w:rPr>
      <w:rFonts w:ascii="Arial" w:eastAsiaTheme="minorHAnsi" w:hAnsi="Arial"/>
      <w:sz w:val="16"/>
      <w:lang w:eastAsia="en-US"/>
    </w:rPr>
  </w:style>
  <w:style w:type="paragraph" w:customStyle="1" w:styleId="207A93E04BDF4DAEB828E16599F8CC26">
    <w:name w:val="207A93E04BDF4DAEB828E16599F8CC26"/>
    <w:rsid w:val="009F41C6"/>
    <w:pPr>
      <w:spacing w:before="60" w:after="0"/>
      <w:jc w:val="both"/>
    </w:pPr>
    <w:rPr>
      <w:rFonts w:ascii="Arial" w:eastAsiaTheme="minorHAnsi" w:hAnsi="Arial"/>
      <w:sz w:val="16"/>
      <w:lang w:eastAsia="en-US"/>
    </w:rPr>
  </w:style>
  <w:style w:type="paragraph" w:customStyle="1" w:styleId="863A2BDC30A841A59E1B15FDFC4EDBB1">
    <w:name w:val="863A2BDC30A841A59E1B15FDFC4EDBB1"/>
    <w:rsid w:val="009F41C6"/>
    <w:pPr>
      <w:spacing w:before="60" w:after="0"/>
      <w:jc w:val="both"/>
    </w:pPr>
    <w:rPr>
      <w:rFonts w:ascii="Arial" w:eastAsiaTheme="minorHAnsi" w:hAnsi="Arial"/>
      <w:sz w:val="16"/>
      <w:lang w:eastAsia="en-US"/>
    </w:rPr>
  </w:style>
  <w:style w:type="paragraph" w:customStyle="1" w:styleId="F6489DDF37BA40A48963314D26402B411">
    <w:name w:val="F6489DDF37BA40A48963314D26402B411"/>
    <w:rsid w:val="009F41C6"/>
    <w:pPr>
      <w:spacing w:before="60" w:after="0"/>
      <w:jc w:val="both"/>
    </w:pPr>
    <w:rPr>
      <w:rFonts w:ascii="Arial" w:eastAsiaTheme="minorHAnsi" w:hAnsi="Arial"/>
      <w:sz w:val="16"/>
      <w:lang w:eastAsia="en-US"/>
    </w:rPr>
  </w:style>
  <w:style w:type="paragraph" w:customStyle="1" w:styleId="FEDE7C397A9E44D6BCB3285F01EAC7291">
    <w:name w:val="FEDE7C397A9E44D6BCB3285F01EAC7291"/>
    <w:rsid w:val="009F41C6"/>
    <w:pPr>
      <w:spacing w:before="60" w:after="0"/>
      <w:jc w:val="both"/>
    </w:pPr>
    <w:rPr>
      <w:rFonts w:ascii="Arial" w:eastAsiaTheme="minorHAnsi" w:hAnsi="Arial"/>
      <w:sz w:val="16"/>
      <w:lang w:eastAsia="en-US"/>
    </w:rPr>
  </w:style>
  <w:style w:type="paragraph" w:customStyle="1" w:styleId="2661B2130945421EAC62D85C078C4971">
    <w:name w:val="2661B2130945421EAC62D85C078C4971"/>
    <w:rsid w:val="009F41C6"/>
    <w:pPr>
      <w:spacing w:before="60" w:after="0"/>
      <w:jc w:val="both"/>
    </w:pPr>
    <w:rPr>
      <w:rFonts w:ascii="Arial" w:eastAsiaTheme="minorHAnsi" w:hAnsi="Arial"/>
      <w:sz w:val="16"/>
      <w:lang w:eastAsia="en-US"/>
    </w:rPr>
  </w:style>
  <w:style w:type="paragraph" w:customStyle="1" w:styleId="5A9496C233554B36998E8CAE536583BA1">
    <w:name w:val="5A9496C233554B36998E8CAE536583BA1"/>
    <w:rsid w:val="009F41C6"/>
    <w:pPr>
      <w:spacing w:before="60" w:after="0"/>
      <w:jc w:val="both"/>
    </w:pPr>
    <w:rPr>
      <w:rFonts w:ascii="Arial" w:eastAsiaTheme="minorHAnsi" w:hAnsi="Arial"/>
      <w:sz w:val="16"/>
      <w:lang w:eastAsia="en-US"/>
    </w:rPr>
  </w:style>
  <w:style w:type="paragraph" w:customStyle="1" w:styleId="1DA42F2103B743168D0104B930A8A0741">
    <w:name w:val="1DA42F2103B743168D0104B930A8A0741"/>
    <w:rsid w:val="009F41C6"/>
    <w:pPr>
      <w:spacing w:before="60" w:after="0"/>
      <w:jc w:val="both"/>
    </w:pPr>
    <w:rPr>
      <w:rFonts w:ascii="Arial" w:eastAsiaTheme="minorHAnsi" w:hAnsi="Arial"/>
      <w:sz w:val="16"/>
      <w:lang w:eastAsia="en-US"/>
    </w:rPr>
  </w:style>
  <w:style w:type="paragraph" w:customStyle="1" w:styleId="7FEF31E65AD843709B1195166F6182EE1">
    <w:name w:val="7FEF31E65AD843709B1195166F6182EE1"/>
    <w:rsid w:val="009F41C6"/>
    <w:pPr>
      <w:spacing w:before="60" w:after="0"/>
      <w:jc w:val="both"/>
    </w:pPr>
    <w:rPr>
      <w:rFonts w:ascii="Arial" w:eastAsiaTheme="minorHAnsi" w:hAnsi="Arial"/>
      <w:sz w:val="16"/>
      <w:lang w:eastAsia="en-US"/>
    </w:rPr>
  </w:style>
  <w:style w:type="paragraph" w:customStyle="1" w:styleId="CFFE0AB3E2154B4BB284DAD32EBCAF23">
    <w:name w:val="CFFE0AB3E2154B4BB284DAD32EBCAF23"/>
    <w:rsid w:val="009F41C6"/>
    <w:pPr>
      <w:spacing w:before="60" w:after="0"/>
      <w:jc w:val="both"/>
    </w:pPr>
    <w:rPr>
      <w:rFonts w:ascii="Arial" w:eastAsiaTheme="minorHAnsi" w:hAnsi="Arial"/>
      <w:sz w:val="16"/>
      <w:lang w:eastAsia="en-US"/>
    </w:rPr>
  </w:style>
  <w:style w:type="paragraph" w:customStyle="1" w:styleId="AFA0EF6FB4AF44DCBCAE410FB46A23DC">
    <w:name w:val="AFA0EF6FB4AF44DCBCAE410FB46A23DC"/>
    <w:rsid w:val="009F41C6"/>
    <w:pPr>
      <w:spacing w:before="60" w:after="0"/>
      <w:jc w:val="both"/>
    </w:pPr>
    <w:rPr>
      <w:rFonts w:ascii="Arial" w:eastAsiaTheme="minorHAnsi" w:hAnsi="Arial"/>
      <w:sz w:val="16"/>
      <w:lang w:eastAsia="en-US"/>
    </w:rPr>
  </w:style>
  <w:style w:type="paragraph" w:customStyle="1" w:styleId="CDC4D4571668414180FC705D6C76CF6B1">
    <w:name w:val="CDC4D4571668414180FC705D6C76CF6B1"/>
    <w:rsid w:val="009F41C6"/>
    <w:pPr>
      <w:spacing w:before="60" w:after="0"/>
      <w:jc w:val="both"/>
    </w:pPr>
    <w:rPr>
      <w:rFonts w:ascii="Arial" w:eastAsiaTheme="minorHAnsi" w:hAnsi="Arial"/>
      <w:sz w:val="16"/>
      <w:lang w:eastAsia="en-US"/>
    </w:rPr>
  </w:style>
  <w:style w:type="paragraph" w:customStyle="1" w:styleId="980F9AFDABED4CF997A1A9082279EA6D1">
    <w:name w:val="980F9AFDABED4CF997A1A9082279EA6D1"/>
    <w:rsid w:val="009F41C6"/>
    <w:pPr>
      <w:spacing w:before="60" w:after="0"/>
      <w:jc w:val="both"/>
    </w:pPr>
    <w:rPr>
      <w:rFonts w:ascii="Arial" w:eastAsiaTheme="minorHAnsi" w:hAnsi="Arial"/>
      <w:sz w:val="16"/>
      <w:lang w:eastAsia="en-US"/>
    </w:rPr>
  </w:style>
  <w:style w:type="paragraph" w:customStyle="1" w:styleId="A78D30D254BC482A9DA9B348CC95316A">
    <w:name w:val="A78D30D254BC482A9DA9B348CC95316A"/>
    <w:rsid w:val="009F41C6"/>
    <w:pPr>
      <w:spacing w:before="60" w:after="0"/>
      <w:jc w:val="both"/>
    </w:pPr>
    <w:rPr>
      <w:rFonts w:ascii="Arial" w:eastAsiaTheme="minorHAnsi" w:hAnsi="Arial"/>
      <w:sz w:val="16"/>
      <w:lang w:eastAsia="en-US"/>
    </w:rPr>
  </w:style>
  <w:style w:type="paragraph" w:customStyle="1" w:styleId="ED32972857B64921AEC352C95E01FDD9">
    <w:name w:val="ED32972857B64921AEC352C95E01FDD9"/>
    <w:rsid w:val="009F41C6"/>
    <w:pPr>
      <w:spacing w:before="60" w:after="0"/>
      <w:jc w:val="both"/>
    </w:pPr>
    <w:rPr>
      <w:rFonts w:ascii="Arial" w:eastAsiaTheme="minorHAnsi" w:hAnsi="Arial"/>
      <w:sz w:val="16"/>
      <w:lang w:eastAsia="en-US"/>
    </w:rPr>
  </w:style>
  <w:style w:type="paragraph" w:customStyle="1" w:styleId="17738985025E4C08B4BEE32495BA0D8F">
    <w:name w:val="17738985025E4C08B4BEE32495BA0D8F"/>
    <w:rsid w:val="009F41C6"/>
    <w:pPr>
      <w:spacing w:before="60" w:after="0"/>
      <w:jc w:val="both"/>
    </w:pPr>
    <w:rPr>
      <w:rFonts w:ascii="Arial" w:eastAsiaTheme="minorHAnsi" w:hAnsi="Arial"/>
      <w:sz w:val="16"/>
      <w:lang w:eastAsia="en-US"/>
    </w:rPr>
  </w:style>
  <w:style w:type="paragraph" w:customStyle="1" w:styleId="909E9EF91608494981424A8665180031">
    <w:name w:val="909E9EF91608494981424A8665180031"/>
    <w:rsid w:val="009F41C6"/>
    <w:pPr>
      <w:spacing w:before="60" w:after="0"/>
      <w:jc w:val="both"/>
    </w:pPr>
    <w:rPr>
      <w:rFonts w:ascii="Arial" w:eastAsiaTheme="minorHAnsi" w:hAnsi="Arial"/>
      <w:sz w:val="16"/>
      <w:lang w:eastAsia="en-US"/>
    </w:rPr>
  </w:style>
  <w:style w:type="paragraph" w:customStyle="1" w:styleId="11CAA347815C45EC876C33676923E291">
    <w:name w:val="11CAA347815C45EC876C33676923E291"/>
    <w:rsid w:val="009F41C6"/>
    <w:pPr>
      <w:spacing w:before="60" w:after="0"/>
      <w:jc w:val="both"/>
    </w:pPr>
    <w:rPr>
      <w:rFonts w:ascii="Arial" w:eastAsiaTheme="minorHAnsi" w:hAnsi="Arial"/>
      <w:sz w:val="16"/>
      <w:lang w:eastAsia="en-US"/>
    </w:rPr>
  </w:style>
  <w:style w:type="paragraph" w:customStyle="1" w:styleId="BBD1DEBA59E04C828FF6885E11F69F14">
    <w:name w:val="BBD1DEBA59E04C828FF6885E11F69F14"/>
    <w:rsid w:val="009F41C6"/>
    <w:pPr>
      <w:spacing w:before="60" w:after="0"/>
      <w:jc w:val="both"/>
    </w:pPr>
    <w:rPr>
      <w:rFonts w:ascii="Arial" w:eastAsiaTheme="minorHAnsi" w:hAnsi="Arial"/>
      <w:sz w:val="16"/>
      <w:lang w:eastAsia="en-US"/>
    </w:rPr>
  </w:style>
  <w:style w:type="paragraph" w:customStyle="1" w:styleId="9DCEA044844549ED8FBF8A6F0BA82AA3">
    <w:name w:val="9DCEA044844549ED8FBF8A6F0BA82AA3"/>
    <w:rsid w:val="009F41C6"/>
  </w:style>
  <w:style w:type="paragraph" w:customStyle="1" w:styleId="31D9884B053A46C091AE2F7DD55D839D">
    <w:name w:val="31D9884B053A46C091AE2F7DD55D839D"/>
    <w:rsid w:val="009F41C6"/>
  </w:style>
  <w:style w:type="paragraph" w:customStyle="1" w:styleId="AFE75156BF8043BD8308942F5C206126">
    <w:name w:val="AFE75156BF8043BD8308942F5C206126"/>
    <w:rsid w:val="009F41C6"/>
  </w:style>
  <w:style w:type="paragraph" w:customStyle="1" w:styleId="E12E1DBBB66047DBA3EC8771FFBD47AE">
    <w:name w:val="E12E1DBBB66047DBA3EC8771FFBD47AE"/>
    <w:rsid w:val="009F41C6"/>
  </w:style>
  <w:style w:type="paragraph" w:customStyle="1" w:styleId="81407325DDB34636B4E550E90AAE9953">
    <w:name w:val="81407325DDB34636B4E550E90AAE9953"/>
    <w:rsid w:val="009F41C6"/>
  </w:style>
  <w:style w:type="paragraph" w:customStyle="1" w:styleId="1D2F0613BA9849D2B055933EFB606F02">
    <w:name w:val="1D2F0613BA9849D2B055933EFB606F02"/>
    <w:rsid w:val="009F41C6"/>
  </w:style>
  <w:style w:type="paragraph" w:customStyle="1" w:styleId="6AEEAC0D6C314882ADAE22DF6AAC778D">
    <w:name w:val="6AEEAC0D6C314882ADAE22DF6AAC778D"/>
    <w:rsid w:val="009F41C6"/>
  </w:style>
  <w:style w:type="paragraph" w:customStyle="1" w:styleId="E286E7A0FB2543AD98C7BBE48D58009F">
    <w:name w:val="E286E7A0FB2543AD98C7BBE48D58009F"/>
    <w:rsid w:val="009F41C6"/>
  </w:style>
  <w:style w:type="paragraph" w:customStyle="1" w:styleId="5BE5D2B002094FCC99C50540BC30234A">
    <w:name w:val="5BE5D2B002094FCC99C50540BC30234A"/>
    <w:rsid w:val="009F41C6"/>
  </w:style>
  <w:style w:type="paragraph" w:customStyle="1" w:styleId="0E66423D23AD40E2AB3A480E62665102">
    <w:name w:val="0E66423D23AD40E2AB3A480E62665102"/>
    <w:rsid w:val="009F41C6"/>
  </w:style>
  <w:style w:type="paragraph" w:customStyle="1" w:styleId="4A574D09D66447DAAE56702C66B92B63">
    <w:name w:val="4A574D09D66447DAAE56702C66B92B63"/>
    <w:rsid w:val="009F41C6"/>
  </w:style>
  <w:style w:type="paragraph" w:customStyle="1" w:styleId="EAFFC8661F7A49A8A24EBD005EAADA92">
    <w:name w:val="EAFFC8661F7A49A8A24EBD005EAADA92"/>
    <w:rsid w:val="009F41C6"/>
  </w:style>
  <w:style w:type="paragraph" w:customStyle="1" w:styleId="F925B79A43854097A53D57D8B794B998">
    <w:name w:val="F925B79A43854097A53D57D8B794B998"/>
    <w:rsid w:val="009F41C6"/>
  </w:style>
  <w:style w:type="paragraph" w:customStyle="1" w:styleId="8CEF532DF40C45E0AF1CCC9565C7560A">
    <w:name w:val="8CEF532DF40C45E0AF1CCC9565C7560A"/>
    <w:rsid w:val="009F41C6"/>
  </w:style>
  <w:style w:type="paragraph" w:customStyle="1" w:styleId="6AEEAC0D6C314882ADAE22DF6AAC778D1">
    <w:name w:val="6AEEAC0D6C314882ADAE22DF6AAC778D1"/>
    <w:rsid w:val="009F41C6"/>
    <w:pPr>
      <w:spacing w:before="60" w:after="0"/>
      <w:jc w:val="both"/>
    </w:pPr>
    <w:rPr>
      <w:rFonts w:ascii="Arial" w:eastAsiaTheme="minorHAnsi" w:hAnsi="Arial"/>
      <w:sz w:val="16"/>
      <w:lang w:eastAsia="en-US"/>
    </w:rPr>
  </w:style>
  <w:style w:type="paragraph" w:customStyle="1" w:styleId="54AB3E0CF9F74E56BBE4756FD4472873">
    <w:name w:val="54AB3E0CF9F74E56BBE4756FD4472873"/>
    <w:rsid w:val="009F41C6"/>
    <w:pPr>
      <w:spacing w:before="60" w:after="0"/>
      <w:jc w:val="both"/>
    </w:pPr>
    <w:rPr>
      <w:rFonts w:ascii="Arial" w:eastAsiaTheme="minorHAnsi" w:hAnsi="Arial"/>
      <w:sz w:val="16"/>
      <w:lang w:eastAsia="en-US"/>
    </w:rPr>
  </w:style>
  <w:style w:type="paragraph" w:customStyle="1" w:styleId="E12E1DBBB66047DBA3EC8771FFBD47AE1">
    <w:name w:val="E12E1DBBB66047DBA3EC8771FFBD47AE1"/>
    <w:rsid w:val="009F41C6"/>
    <w:pPr>
      <w:spacing w:before="60" w:after="0"/>
      <w:jc w:val="both"/>
    </w:pPr>
    <w:rPr>
      <w:rFonts w:ascii="Arial" w:eastAsiaTheme="minorHAnsi" w:hAnsi="Arial"/>
      <w:sz w:val="16"/>
      <w:lang w:eastAsia="en-US"/>
    </w:rPr>
  </w:style>
  <w:style w:type="paragraph" w:customStyle="1" w:styleId="50CE96959F2D4A74ABBB33F4B6FC7F541">
    <w:name w:val="50CE96959F2D4A74ABBB33F4B6FC7F541"/>
    <w:rsid w:val="009F41C6"/>
    <w:pPr>
      <w:spacing w:before="60" w:after="0"/>
      <w:jc w:val="both"/>
    </w:pPr>
    <w:rPr>
      <w:rFonts w:ascii="Arial" w:eastAsiaTheme="minorHAnsi" w:hAnsi="Arial"/>
      <w:sz w:val="16"/>
      <w:lang w:eastAsia="en-US"/>
    </w:rPr>
  </w:style>
  <w:style w:type="paragraph" w:customStyle="1" w:styleId="232E25715CFD40A8A410A6523931F4471">
    <w:name w:val="232E25715CFD40A8A410A6523931F4471"/>
    <w:rsid w:val="009F41C6"/>
    <w:pPr>
      <w:spacing w:before="60" w:after="0"/>
      <w:jc w:val="both"/>
    </w:pPr>
    <w:rPr>
      <w:rFonts w:ascii="Arial" w:eastAsiaTheme="minorHAnsi" w:hAnsi="Arial"/>
      <w:sz w:val="16"/>
      <w:lang w:eastAsia="en-US"/>
    </w:rPr>
  </w:style>
  <w:style w:type="paragraph" w:customStyle="1" w:styleId="4B3854D9DA4D4FFA8201963E314220C81">
    <w:name w:val="4B3854D9DA4D4FFA8201963E314220C81"/>
    <w:rsid w:val="009F41C6"/>
    <w:pPr>
      <w:spacing w:before="60" w:after="0"/>
      <w:jc w:val="both"/>
    </w:pPr>
    <w:rPr>
      <w:rFonts w:ascii="Arial" w:eastAsiaTheme="minorHAnsi" w:hAnsi="Arial"/>
      <w:sz w:val="16"/>
      <w:lang w:eastAsia="en-US"/>
    </w:rPr>
  </w:style>
  <w:style w:type="paragraph" w:customStyle="1" w:styleId="4E2F6D43F3704964B16887BA6531A0252">
    <w:name w:val="4E2F6D43F3704964B16887BA6531A0252"/>
    <w:rsid w:val="009F41C6"/>
    <w:pPr>
      <w:spacing w:before="60" w:after="0"/>
      <w:jc w:val="both"/>
    </w:pPr>
    <w:rPr>
      <w:rFonts w:ascii="Arial" w:eastAsiaTheme="minorHAnsi" w:hAnsi="Arial"/>
      <w:sz w:val="16"/>
      <w:lang w:eastAsia="en-US"/>
    </w:rPr>
  </w:style>
  <w:style w:type="paragraph" w:customStyle="1" w:styleId="44070F0C88C34363A08374074F62F11F1">
    <w:name w:val="44070F0C88C34363A08374074F62F11F1"/>
    <w:rsid w:val="009F41C6"/>
    <w:pPr>
      <w:spacing w:before="60" w:after="0"/>
      <w:jc w:val="both"/>
    </w:pPr>
    <w:rPr>
      <w:rFonts w:ascii="Arial" w:eastAsiaTheme="minorHAnsi" w:hAnsi="Arial"/>
      <w:sz w:val="16"/>
      <w:lang w:eastAsia="en-US"/>
    </w:rPr>
  </w:style>
  <w:style w:type="paragraph" w:customStyle="1" w:styleId="9DDA078095314D5198A601A4A0D567DA1">
    <w:name w:val="9DDA078095314D5198A601A4A0D567DA1"/>
    <w:rsid w:val="009F41C6"/>
    <w:pPr>
      <w:spacing w:before="60" w:after="0"/>
      <w:jc w:val="both"/>
    </w:pPr>
    <w:rPr>
      <w:rFonts w:ascii="Arial" w:eastAsiaTheme="minorHAnsi" w:hAnsi="Arial"/>
      <w:sz w:val="16"/>
      <w:lang w:eastAsia="en-US"/>
    </w:rPr>
  </w:style>
  <w:style w:type="paragraph" w:customStyle="1" w:styleId="65E7A73A9F6749219C4B27F06A6FB78F1">
    <w:name w:val="65E7A73A9F6749219C4B27F06A6FB78F1"/>
    <w:rsid w:val="009F41C6"/>
    <w:pPr>
      <w:spacing w:before="60" w:after="0"/>
      <w:jc w:val="both"/>
    </w:pPr>
    <w:rPr>
      <w:rFonts w:ascii="Arial" w:eastAsiaTheme="minorHAnsi" w:hAnsi="Arial"/>
      <w:sz w:val="16"/>
      <w:lang w:eastAsia="en-US"/>
    </w:rPr>
  </w:style>
  <w:style w:type="paragraph" w:customStyle="1" w:styleId="6ADD8318AC284CBA84C162B83578EADD1">
    <w:name w:val="6ADD8318AC284CBA84C162B83578EADD1"/>
    <w:rsid w:val="009F41C6"/>
    <w:pPr>
      <w:spacing w:before="60" w:after="0"/>
      <w:jc w:val="both"/>
    </w:pPr>
    <w:rPr>
      <w:rFonts w:ascii="Arial" w:eastAsiaTheme="minorHAnsi" w:hAnsi="Arial"/>
      <w:sz w:val="16"/>
      <w:lang w:eastAsia="en-US"/>
    </w:rPr>
  </w:style>
  <w:style w:type="paragraph" w:customStyle="1" w:styleId="2CAE3FBC92BD42BA82DD8BB010ACADDC1">
    <w:name w:val="2CAE3FBC92BD42BA82DD8BB010ACADDC1"/>
    <w:rsid w:val="009F41C6"/>
    <w:pPr>
      <w:spacing w:before="60" w:after="0"/>
      <w:jc w:val="both"/>
    </w:pPr>
    <w:rPr>
      <w:rFonts w:ascii="Arial" w:eastAsiaTheme="minorHAnsi" w:hAnsi="Arial"/>
      <w:sz w:val="16"/>
      <w:lang w:eastAsia="en-US"/>
    </w:rPr>
  </w:style>
  <w:style w:type="paragraph" w:customStyle="1" w:styleId="207A93E04BDF4DAEB828E16599F8CC261">
    <w:name w:val="207A93E04BDF4DAEB828E16599F8CC261"/>
    <w:rsid w:val="009F41C6"/>
    <w:pPr>
      <w:spacing w:before="60" w:after="0"/>
      <w:jc w:val="both"/>
    </w:pPr>
    <w:rPr>
      <w:rFonts w:ascii="Arial" w:eastAsiaTheme="minorHAnsi" w:hAnsi="Arial"/>
      <w:sz w:val="16"/>
      <w:lang w:eastAsia="en-US"/>
    </w:rPr>
  </w:style>
  <w:style w:type="paragraph" w:customStyle="1" w:styleId="863A2BDC30A841A59E1B15FDFC4EDBB11">
    <w:name w:val="863A2BDC30A841A59E1B15FDFC4EDBB11"/>
    <w:rsid w:val="009F41C6"/>
    <w:pPr>
      <w:spacing w:before="60" w:after="0"/>
      <w:jc w:val="both"/>
    </w:pPr>
    <w:rPr>
      <w:rFonts w:ascii="Arial" w:eastAsiaTheme="minorHAnsi" w:hAnsi="Arial"/>
      <w:sz w:val="16"/>
      <w:lang w:eastAsia="en-US"/>
    </w:rPr>
  </w:style>
  <w:style w:type="paragraph" w:customStyle="1" w:styleId="F6489DDF37BA40A48963314D26402B412">
    <w:name w:val="F6489DDF37BA40A48963314D26402B412"/>
    <w:rsid w:val="009F41C6"/>
    <w:pPr>
      <w:spacing w:before="60" w:after="0"/>
      <w:jc w:val="both"/>
    </w:pPr>
    <w:rPr>
      <w:rFonts w:ascii="Arial" w:eastAsiaTheme="minorHAnsi" w:hAnsi="Arial"/>
      <w:sz w:val="16"/>
      <w:lang w:eastAsia="en-US"/>
    </w:rPr>
  </w:style>
  <w:style w:type="paragraph" w:customStyle="1" w:styleId="FEDE7C397A9E44D6BCB3285F01EAC7292">
    <w:name w:val="FEDE7C397A9E44D6BCB3285F01EAC7292"/>
    <w:rsid w:val="009F41C6"/>
    <w:pPr>
      <w:spacing w:before="60" w:after="0"/>
      <w:jc w:val="both"/>
    </w:pPr>
    <w:rPr>
      <w:rFonts w:ascii="Arial" w:eastAsiaTheme="minorHAnsi" w:hAnsi="Arial"/>
      <w:sz w:val="16"/>
      <w:lang w:eastAsia="en-US"/>
    </w:rPr>
  </w:style>
  <w:style w:type="paragraph" w:customStyle="1" w:styleId="2661B2130945421EAC62D85C078C49711">
    <w:name w:val="2661B2130945421EAC62D85C078C49711"/>
    <w:rsid w:val="009F41C6"/>
    <w:pPr>
      <w:spacing w:before="60" w:after="0"/>
      <w:jc w:val="both"/>
    </w:pPr>
    <w:rPr>
      <w:rFonts w:ascii="Arial" w:eastAsiaTheme="minorHAnsi" w:hAnsi="Arial"/>
      <w:sz w:val="16"/>
      <w:lang w:eastAsia="en-US"/>
    </w:rPr>
  </w:style>
  <w:style w:type="paragraph" w:customStyle="1" w:styleId="5A9496C233554B36998E8CAE536583BA2">
    <w:name w:val="5A9496C233554B36998E8CAE536583BA2"/>
    <w:rsid w:val="009F41C6"/>
    <w:pPr>
      <w:spacing w:before="60" w:after="0"/>
      <w:jc w:val="both"/>
    </w:pPr>
    <w:rPr>
      <w:rFonts w:ascii="Arial" w:eastAsiaTheme="minorHAnsi" w:hAnsi="Arial"/>
      <w:sz w:val="16"/>
      <w:lang w:eastAsia="en-US"/>
    </w:rPr>
  </w:style>
  <w:style w:type="paragraph" w:customStyle="1" w:styleId="1DA42F2103B743168D0104B930A8A0742">
    <w:name w:val="1DA42F2103B743168D0104B930A8A0742"/>
    <w:rsid w:val="009F41C6"/>
    <w:pPr>
      <w:spacing w:before="60" w:after="0"/>
      <w:jc w:val="both"/>
    </w:pPr>
    <w:rPr>
      <w:rFonts w:ascii="Arial" w:eastAsiaTheme="minorHAnsi" w:hAnsi="Arial"/>
      <w:sz w:val="16"/>
      <w:lang w:eastAsia="en-US"/>
    </w:rPr>
  </w:style>
  <w:style w:type="paragraph" w:customStyle="1" w:styleId="7FEF31E65AD843709B1195166F6182EE2">
    <w:name w:val="7FEF31E65AD843709B1195166F6182EE2"/>
    <w:rsid w:val="009F41C6"/>
    <w:pPr>
      <w:spacing w:before="60" w:after="0"/>
      <w:jc w:val="both"/>
    </w:pPr>
    <w:rPr>
      <w:rFonts w:ascii="Arial" w:eastAsiaTheme="minorHAnsi" w:hAnsi="Arial"/>
      <w:sz w:val="16"/>
      <w:lang w:eastAsia="en-US"/>
    </w:rPr>
  </w:style>
  <w:style w:type="paragraph" w:customStyle="1" w:styleId="0E66423D23AD40E2AB3A480E626651021">
    <w:name w:val="0E66423D23AD40E2AB3A480E626651021"/>
    <w:rsid w:val="009F41C6"/>
    <w:pPr>
      <w:spacing w:before="60" w:after="0"/>
      <w:jc w:val="both"/>
    </w:pPr>
    <w:rPr>
      <w:rFonts w:ascii="Arial" w:eastAsiaTheme="minorHAnsi" w:hAnsi="Arial"/>
      <w:sz w:val="16"/>
      <w:lang w:eastAsia="en-US"/>
    </w:rPr>
  </w:style>
  <w:style w:type="paragraph" w:customStyle="1" w:styleId="18E6B2F3F77848B59ED3A2E8F620F99D">
    <w:name w:val="18E6B2F3F77848B59ED3A2E8F620F99D"/>
    <w:rsid w:val="009F41C6"/>
    <w:pPr>
      <w:spacing w:before="60" w:after="0"/>
      <w:jc w:val="both"/>
    </w:pPr>
    <w:rPr>
      <w:rFonts w:ascii="Arial" w:eastAsiaTheme="minorHAnsi" w:hAnsi="Arial"/>
      <w:sz w:val="16"/>
      <w:lang w:eastAsia="en-US"/>
    </w:rPr>
  </w:style>
  <w:style w:type="paragraph" w:customStyle="1" w:styleId="EAFFC8661F7A49A8A24EBD005EAADA921">
    <w:name w:val="EAFFC8661F7A49A8A24EBD005EAADA921"/>
    <w:rsid w:val="009F41C6"/>
    <w:pPr>
      <w:spacing w:before="60" w:after="0"/>
      <w:jc w:val="both"/>
    </w:pPr>
    <w:rPr>
      <w:rFonts w:ascii="Arial" w:eastAsiaTheme="minorHAnsi" w:hAnsi="Arial"/>
      <w:sz w:val="16"/>
      <w:lang w:eastAsia="en-US"/>
    </w:rPr>
  </w:style>
  <w:style w:type="paragraph" w:customStyle="1" w:styleId="BE614B3C311E4F8094FEF9D1FD751A35">
    <w:name w:val="BE614B3C311E4F8094FEF9D1FD751A35"/>
    <w:rsid w:val="009F41C6"/>
    <w:pPr>
      <w:spacing w:before="60" w:after="0"/>
      <w:jc w:val="both"/>
    </w:pPr>
    <w:rPr>
      <w:rFonts w:ascii="Arial" w:eastAsiaTheme="minorHAnsi" w:hAnsi="Arial"/>
      <w:sz w:val="16"/>
      <w:lang w:eastAsia="en-US"/>
    </w:rPr>
  </w:style>
  <w:style w:type="paragraph" w:customStyle="1" w:styleId="8CEF532DF40C45E0AF1CCC9565C7560A1">
    <w:name w:val="8CEF532DF40C45E0AF1CCC9565C7560A1"/>
    <w:rsid w:val="009F41C6"/>
    <w:pPr>
      <w:spacing w:before="60" w:after="0"/>
      <w:jc w:val="both"/>
    </w:pPr>
    <w:rPr>
      <w:rFonts w:ascii="Arial" w:eastAsiaTheme="minorHAnsi" w:hAnsi="Arial"/>
      <w:sz w:val="16"/>
      <w:lang w:eastAsia="en-US"/>
    </w:rPr>
  </w:style>
  <w:style w:type="paragraph" w:customStyle="1" w:styleId="C84E644A406042E4AB425080022E659B">
    <w:name w:val="C84E644A406042E4AB425080022E659B"/>
    <w:rsid w:val="009F41C6"/>
    <w:pPr>
      <w:spacing w:before="60" w:after="0"/>
      <w:jc w:val="both"/>
    </w:pPr>
    <w:rPr>
      <w:rFonts w:ascii="Arial" w:eastAsiaTheme="minorHAnsi" w:hAnsi="Arial"/>
      <w:sz w:val="16"/>
      <w:lang w:eastAsia="en-US"/>
    </w:rPr>
  </w:style>
  <w:style w:type="paragraph" w:customStyle="1" w:styleId="980F9AFDABED4CF997A1A9082279EA6D2">
    <w:name w:val="980F9AFDABED4CF997A1A9082279EA6D2"/>
    <w:rsid w:val="009F41C6"/>
    <w:pPr>
      <w:spacing w:before="60" w:after="0"/>
      <w:jc w:val="both"/>
    </w:pPr>
    <w:rPr>
      <w:rFonts w:ascii="Arial" w:eastAsiaTheme="minorHAnsi" w:hAnsi="Arial"/>
      <w:sz w:val="16"/>
      <w:lang w:eastAsia="en-US"/>
    </w:rPr>
  </w:style>
  <w:style w:type="paragraph" w:customStyle="1" w:styleId="A78D30D254BC482A9DA9B348CC95316A1">
    <w:name w:val="A78D30D254BC482A9DA9B348CC95316A1"/>
    <w:rsid w:val="009F41C6"/>
    <w:pPr>
      <w:spacing w:before="60" w:after="0"/>
      <w:jc w:val="both"/>
    </w:pPr>
    <w:rPr>
      <w:rFonts w:ascii="Arial" w:eastAsiaTheme="minorHAnsi" w:hAnsi="Arial"/>
      <w:sz w:val="16"/>
      <w:lang w:eastAsia="en-US"/>
    </w:rPr>
  </w:style>
  <w:style w:type="paragraph" w:customStyle="1" w:styleId="820E4D5A7B3646208E385A03A71B0AAD1">
    <w:name w:val="820E4D5A7B3646208E385A03A71B0AAD1"/>
    <w:rsid w:val="009F41C6"/>
    <w:pPr>
      <w:spacing w:before="60" w:after="0"/>
      <w:jc w:val="both"/>
    </w:pPr>
    <w:rPr>
      <w:rFonts w:ascii="Arial" w:eastAsiaTheme="minorHAnsi" w:hAnsi="Arial"/>
      <w:sz w:val="16"/>
      <w:lang w:eastAsia="en-US"/>
    </w:rPr>
  </w:style>
  <w:style w:type="paragraph" w:customStyle="1" w:styleId="ED32972857B64921AEC352C95E01FDD91">
    <w:name w:val="ED32972857B64921AEC352C95E01FDD91"/>
    <w:rsid w:val="009F41C6"/>
    <w:pPr>
      <w:spacing w:before="60" w:after="0"/>
      <w:jc w:val="both"/>
    </w:pPr>
    <w:rPr>
      <w:rFonts w:ascii="Arial" w:eastAsiaTheme="minorHAnsi" w:hAnsi="Arial"/>
      <w:sz w:val="16"/>
      <w:lang w:eastAsia="en-US"/>
    </w:rPr>
  </w:style>
  <w:style w:type="paragraph" w:customStyle="1" w:styleId="17738985025E4C08B4BEE32495BA0D8F1">
    <w:name w:val="17738985025E4C08B4BEE32495BA0D8F1"/>
    <w:rsid w:val="009F41C6"/>
    <w:pPr>
      <w:spacing w:before="60" w:after="0"/>
      <w:jc w:val="both"/>
    </w:pPr>
    <w:rPr>
      <w:rFonts w:ascii="Arial" w:eastAsiaTheme="minorHAnsi" w:hAnsi="Arial"/>
      <w:sz w:val="16"/>
      <w:lang w:eastAsia="en-US"/>
    </w:rPr>
  </w:style>
  <w:style w:type="paragraph" w:customStyle="1" w:styleId="909E9EF91608494981424A86651800311">
    <w:name w:val="909E9EF91608494981424A86651800311"/>
    <w:rsid w:val="009F41C6"/>
    <w:pPr>
      <w:spacing w:before="60" w:after="0"/>
      <w:jc w:val="both"/>
    </w:pPr>
    <w:rPr>
      <w:rFonts w:ascii="Arial" w:eastAsiaTheme="minorHAnsi" w:hAnsi="Arial"/>
      <w:sz w:val="16"/>
      <w:lang w:eastAsia="en-US"/>
    </w:rPr>
  </w:style>
  <w:style w:type="paragraph" w:customStyle="1" w:styleId="11CAA347815C45EC876C33676923E2911">
    <w:name w:val="11CAA347815C45EC876C33676923E2911"/>
    <w:rsid w:val="009F41C6"/>
    <w:pPr>
      <w:spacing w:before="60" w:after="0"/>
      <w:jc w:val="both"/>
    </w:pPr>
    <w:rPr>
      <w:rFonts w:ascii="Arial" w:eastAsiaTheme="minorHAnsi" w:hAnsi="Arial"/>
      <w:sz w:val="16"/>
      <w:lang w:eastAsia="en-US"/>
    </w:rPr>
  </w:style>
  <w:style w:type="paragraph" w:customStyle="1" w:styleId="BBD1DEBA59E04C828FF6885E11F69F141">
    <w:name w:val="BBD1DEBA59E04C828FF6885E11F69F141"/>
    <w:rsid w:val="009F41C6"/>
    <w:pPr>
      <w:spacing w:before="60" w:after="0"/>
      <w:jc w:val="both"/>
    </w:pPr>
    <w:rPr>
      <w:rFonts w:ascii="Arial" w:eastAsiaTheme="minorHAnsi" w:hAnsi="Arial"/>
      <w:sz w:val="16"/>
      <w:lang w:eastAsia="en-US"/>
    </w:rPr>
  </w:style>
  <w:style w:type="paragraph" w:customStyle="1" w:styleId="5961DC5B9F524BC1A95CB184559189C3">
    <w:name w:val="5961DC5B9F524BC1A95CB184559189C3"/>
    <w:rsid w:val="009F41C6"/>
  </w:style>
  <w:style w:type="paragraph" w:customStyle="1" w:styleId="B81718C38C1E4DA892A5604D73DDD85D">
    <w:name w:val="B81718C38C1E4DA892A5604D73DDD85D"/>
    <w:rsid w:val="009F41C6"/>
  </w:style>
  <w:style w:type="paragraph" w:customStyle="1" w:styleId="30D562B230B74162AB6D90252786DE92">
    <w:name w:val="30D562B230B74162AB6D90252786DE92"/>
    <w:rsid w:val="00081636"/>
  </w:style>
  <w:style w:type="paragraph" w:customStyle="1" w:styleId="3C4FB7A3B7684F709722757FAA28AA5F">
    <w:name w:val="3C4FB7A3B7684F709722757FAA28AA5F"/>
    <w:rsid w:val="00081636"/>
  </w:style>
  <w:style w:type="paragraph" w:customStyle="1" w:styleId="2EB421E18538442F8C3BCA0500D42384">
    <w:name w:val="2EB421E18538442F8C3BCA0500D42384"/>
    <w:rsid w:val="00081636"/>
  </w:style>
  <w:style w:type="paragraph" w:customStyle="1" w:styleId="F1F5A5C1C89A4AAA95746F2D531CCE21">
    <w:name w:val="F1F5A5C1C89A4AAA95746F2D531CCE21"/>
    <w:rsid w:val="00081636"/>
  </w:style>
  <w:style w:type="paragraph" w:customStyle="1" w:styleId="4162978CE15541669F95E675F62224A3">
    <w:name w:val="4162978CE15541669F95E675F62224A3"/>
    <w:rsid w:val="00081636"/>
  </w:style>
  <w:style w:type="paragraph" w:customStyle="1" w:styleId="AB2CD7EE0A4B46DCB489F7ED988D3076">
    <w:name w:val="AB2CD7EE0A4B46DCB489F7ED988D3076"/>
    <w:rsid w:val="00081636"/>
  </w:style>
  <w:style w:type="paragraph" w:customStyle="1" w:styleId="A3D00C583E33471FB8AE7E6C811254B0">
    <w:name w:val="A3D00C583E33471FB8AE7E6C811254B0"/>
    <w:rsid w:val="00224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86FF8-F827-4173-A0F4-1618A154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5782</Words>
  <Characters>34114</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United Energy, a.s.</Company>
  <LinksUpToDate>false</LinksUpToDate>
  <CharactersWithSpaces>39817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Trégler David</dc:creator>
  <cp:lastModifiedBy>Kurková Jana</cp:lastModifiedBy>
  <cp:revision>3</cp:revision>
  <cp:lastPrinted>2015-12-02T11:51:00Z</cp:lastPrinted>
  <dcterms:created xsi:type="dcterms:W3CDTF">2017-11-08T06:56:00Z</dcterms:created>
  <dcterms:modified xsi:type="dcterms:W3CDTF">2017-11-08T06:56:00Z</dcterms:modified>
</cp:coreProperties>
</file>