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72" w:rsidRPr="00BC1C9E" w:rsidRDefault="009F3172" w:rsidP="00A61EF1">
      <w:pPr>
        <w:pStyle w:val="Nadpis1"/>
        <w:spacing w:after="0"/>
        <w:rPr>
          <w:sz w:val="28"/>
          <w:szCs w:val="28"/>
        </w:rPr>
      </w:pPr>
      <w:r w:rsidRPr="00BB143D">
        <w:rPr>
          <w:sz w:val="28"/>
          <w:szCs w:val="28"/>
        </w:rPr>
        <w:t>Dodatek č. 4</w:t>
      </w:r>
      <w:r w:rsidRPr="008B226D">
        <w:rPr>
          <w:sz w:val="28"/>
          <w:szCs w:val="28"/>
        </w:rPr>
        <w:t xml:space="preserve"> ke Smlouvě</w:t>
      </w:r>
      <w:r w:rsidRPr="00BC1C9E">
        <w:rPr>
          <w:sz w:val="28"/>
          <w:szCs w:val="28"/>
        </w:rPr>
        <w:t xml:space="preserve"> </w:t>
      </w:r>
    </w:p>
    <w:p w:rsidR="009F3172" w:rsidRPr="00BC1C9E" w:rsidRDefault="009F3172">
      <w:pPr>
        <w:pStyle w:val="Nadpis1"/>
        <w:rPr>
          <w:sz w:val="28"/>
          <w:szCs w:val="28"/>
        </w:rPr>
      </w:pPr>
      <w:r w:rsidRPr="00BC1C9E">
        <w:rPr>
          <w:sz w:val="28"/>
          <w:szCs w:val="28"/>
        </w:rPr>
        <w:t>o spolupráci při tvorbě, aktualizaci a správě digitální technické mapy obce</w:t>
      </w:r>
    </w:p>
    <w:p w:rsidR="009F3172" w:rsidRPr="00CE0D10" w:rsidRDefault="009F3172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>Smluvní strany</w:t>
      </w:r>
    </w:p>
    <w:p w:rsidR="009F3172" w:rsidRPr="00CE0D10" w:rsidRDefault="009F3172">
      <w:pPr>
        <w:pStyle w:val="Nadpis2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Zlínský kraj</w:t>
      </w:r>
    </w:p>
    <w:p w:rsidR="009F3172" w:rsidRPr="00CE0D10" w:rsidRDefault="009F3172">
      <w:pPr>
        <w:pStyle w:val="tabulka"/>
        <w:numPr>
          <w:ilvl w:val="12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Se sídlem: třída</w:t>
      </w:r>
      <w:r w:rsidRPr="00CE0D10">
        <w:rPr>
          <w:sz w:val="22"/>
          <w:szCs w:val="22"/>
        </w:rPr>
        <w:t xml:space="preserve"> Tomáše Bati 21, 761 90 Zlín</w:t>
      </w:r>
    </w:p>
    <w:p w:rsidR="009F3172" w:rsidRPr="00CE0D10" w:rsidRDefault="009F3172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>ástupce</w:t>
      </w:r>
      <w:r w:rsidRPr="00CE0D10">
        <w:rPr>
          <w:sz w:val="22"/>
          <w:szCs w:val="22"/>
        </w:rPr>
        <w:t>:</w:t>
      </w:r>
      <w:r>
        <w:rPr>
          <w:sz w:val="22"/>
          <w:szCs w:val="22"/>
        </w:rPr>
        <w:t xml:space="preserve"> Jiří Čunek</w:t>
      </w:r>
      <w:r w:rsidRPr="00CE0D10">
        <w:rPr>
          <w:sz w:val="22"/>
          <w:szCs w:val="22"/>
        </w:rPr>
        <w:t>, hejtman</w:t>
      </w:r>
    </w:p>
    <w:p w:rsidR="009F3172" w:rsidRPr="00CE0D10" w:rsidRDefault="009F3172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IČ: 70891320</w:t>
      </w:r>
    </w:p>
    <w:p w:rsidR="009F3172" w:rsidRPr="00CE0D10" w:rsidRDefault="009F3172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„Kraj“</w:t>
      </w:r>
    </w:p>
    <w:p w:rsidR="009F3172" w:rsidRPr="00CE0D10" w:rsidRDefault="009F3172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a</w:t>
      </w:r>
    </w:p>
    <w:p w:rsidR="009F3172" w:rsidRPr="00CE0D10" w:rsidRDefault="009F317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Město </w:t>
      </w:r>
      <w:r w:rsidRPr="00BB143D">
        <w:rPr>
          <w:b/>
          <w:noProof/>
          <w:sz w:val="22"/>
          <w:szCs w:val="22"/>
        </w:rPr>
        <w:t>Valašské Klobouky</w:t>
      </w:r>
    </w:p>
    <w:p w:rsidR="009F3172" w:rsidRPr="00CE0D10" w:rsidRDefault="009F3172">
      <w:pPr>
        <w:rPr>
          <w:sz w:val="22"/>
          <w:szCs w:val="22"/>
        </w:rPr>
      </w:pPr>
      <w:r w:rsidRPr="00CE0D10">
        <w:rPr>
          <w:sz w:val="22"/>
          <w:szCs w:val="22"/>
        </w:rPr>
        <w:t>Se sídlem</w:t>
      </w:r>
      <w:r w:rsidRPr="00BC1C9E">
        <w:rPr>
          <w:sz w:val="22"/>
          <w:szCs w:val="22"/>
        </w:rPr>
        <w:t xml:space="preserve">: </w:t>
      </w:r>
      <w:r w:rsidRPr="00BB143D">
        <w:rPr>
          <w:noProof/>
          <w:sz w:val="22"/>
          <w:szCs w:val="22"/>
        </w:rPr>
        <w:t>Masarykovo nám. 189, 766 17 Valašské Klobouky</w:t>
      </w:r>
    </w:p>
    <w:p w:rsidR="009F3172" w:rsidRPr="00CE0D10" w:rsidRDefault="009F3172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Z</w:t>
      </w:r>
      <w:r>
        <w:rPr>
          <w:sz w:val="22"/>
          <w:szCs w:val="22"/>
        </w:rPr>
        <w:t xml:space="preserve">ástupce: </w:t>
      </w:r>
      <w:r w:rsidRPr="00BB143D">
        <w:rPr>
          <w:noProof/>
          <w:sz w:val="22"/>
          <w:szCs w:val="22"/>
        </w:rPr>
        <w:t>Mgr. Eliška Olšáková</w:t>
      </w:r>
      <w:r>
        <w:rPr>
          <w:sz w:val="22"/>
          <w:szCs w:val="22"/>
        </w:rPr>
        <w:t xml:space="preserve">, </w:t>
      </w:r>
      <w:r w:rsidRPr="00BB143D">
        <w:rPr>
          <w:noProof/>
          <w:sz w:val="22"/>
          <w:szCs w:val="22"/>
        </w:rPr>
        <w:t>starostka</w:t>
      </w:r>
    </w:p>
    <w:p w:rsidR="009F3172" w:rsidRPr="00CE0D10" w:rsidRDefault="009F3172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IČ: </w:t>
      </w:r>
      <w:r w:rsidRPr="00BB143D">
        <w:rPr>
          <w:noProof/>
          <w:sz w:val="22"/>
          <w:szCs w:val="22"/>
        </w:rPr>
        <w:t>284611</w:t>
      </w:r>
    </w:p>
    <w:p w:rsidR="009F3172" w:rsidRPr="00CE0D10" w:rsidRDefault="009F3172">
      <w:pPr>
        <w:pStyle w:val="tabulka"/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>dále jen „Obec“</w:t>
      </w:r>
    </w:p>
    <w:p w:rsidR="009F3172" w:rsidRPr="00CE0D10" w:rsidRDefault="009F3172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Předmět dodatku  </w:t>
      </w:r>
    </w:p>
    <w:p w:rsidR="009F3172" w:rsidRPr="00CE0D10" w:rsidRDefault="009F3172" w:rsidP="00BF09F7">
      <w:pPr>
        <w:numPr>
          <w:ilvl w:val="12"/>
          <w:numId w:val="0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Kraj a </w:t>
      </w:r>
      <w:r>
        <w:rPr>
          <w:sz w:val="22"/>
          <w:szCs w:val="22"/>
        </w:rPr>
        <w:t xml:space="preserve">Obec uzavírají tento </w:t>
      </w:r>
      <w:r w:rsidRPr="00BB143D">
        <w:rPr>
          <w:noProof/>
          <w:sz w:val="22"/>
          <w:szCs w:val="22"/>
        </w:rPr>
        <w:t>Dodatek č. 4</w:t>
      </w:r>
      <w:r w:rsidRPr="00CE0D10">
        <w:rPr>
          <w:sz w:val="22"/>
          <w:szCs w:val="22"/>
        </w:rPr>
        <w:t xml:space="preserve">  ke Smlouvě o spolupráci při tvorbě, aktualizaci a správě digitální technické mapy obce, kterým se nahrazuje dosavadní znění čl.VII. Způsob úhrady nákladů a platební podmínky, odst.1 Správa Jednotné digitální technické mapy Zlínského kraje (JDTM ZK)</w:t>
      </w:r>
      <w:r>
        <w:rPr>
          <w:sz w:val="22"/>
          <w:szCs w:val="22"/>
        </w:rPr>
        <w:t xml:space="preserve"> písm. a), d) a e) </w:t>
      </w:r>
      <w:r w:rsidRPr="00CE0D10">
        <w:rPr>
          <w:sz w:val="22"/>
          <w:szCs w:val="22"/>
        </w:rPr>
        <w:t xml:space="preserve"> a nově zní takto:</w:t>
      </w:r>
    </w:p>
    <w:p w:rsidR="009F3172" w:rsidRDefault="009F3172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9F3172" w:rsidRDefault="009F3172" w:rsidP="00795161">
      <w:pPr>
        <w:numPr>
          <w:ilvl w:val="12"/>
          <w:numId w:val="0"/>
        </w:numPr>
        <w:spacing w:before="0"/>
        <w:ind w:left="90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795161">
        <w:rPr>
          <w:sz w:val="22"/>
          <w:szCs w:val="22"/>
        </w:rPr>
        <w:t xml:space="preserve">Smluvní strany se dohodly, že Obec bude hradit roční finanční příspěvek za správu </w:t>
      </w:r>
      <w:r>
        <w:rPr>
          <w:sz w:val="22"/>
          <w:szCs w:val="22"/>
        </w:rPr>
        <w:t>J</w:t>
      </w:r>
      <w:r w:rsidRPr="00795161">
        <w:rPr>
          <w:sz w:val="22"/>
          <w:szCs w:val="22"/>
        </w:rPr>
        <w:t>DTM ZK prostřednictvím účtu sdruženýc</w:t>
      </w:r>
      <w:r>
        <w:rPr>
          <w:sz w:val="22"/>
          <w:szCs w:val="22"/>
        </w:rPr>
        <w:t>h prostředků zřízeného Zlínským krajem.</w:t>
      </w:r>
    </w:p>
    <w:p w:rsidR="009F3172" w:rsidRPr="00CE0D10" w:rsidRDefault="009F3172" w:rsidP="00E05D4A">
      <w:pPr>
        <w:numPr>
          <w:ilvl w:val="12"/>
          <w:numId w:val="0"/>
        </w:numPr>
        <w:spacing w:before="0"/>
        <w:rPr>
          <w:sz w:val="22"/>
          <w:szCs w:val="22"/>
        </w:rPr>
      </w:pPr>
    </w:p>
    <w:p w:rsidR="009F3172" w:rsidRPr="00CE0D10" w:rsidRDefault="009F3172" w:rsidP="00CD5411">
      <w:pPr>
        <w:pStyle w:val="roveo3"/>
        <w:ind w:left="907" w:firstLine="0"/>
        <w:rPr>
          <w:sz w:val="22"/>
          <w:szCs w:val="22"/>
        </w:rPr>
      </w:pPr>
      <w:r>
        <w:rPr>
          <w:sz w:val="22"/>
          <w:szCs w:val="22"/>
        </w:rPr>
        <w:t>d) Příspěvek je sjednán</w:t>
      </w:r>
      <w:r w:rsidRPr="00CE0D10">
        <w:rPr>
          <w:sz w:val="22"/>
          <w:szCs w:val="22"/>
        </w:rPr>
        <w:t xml:space="preserve"> na období: </w:t>
      </w:r>
    </w:p>
    <w:p w:rsidR="009F3172" w:rsidRPr="00CE0D10" w:rsidRDefault="009F3172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2017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2018</w:t>
      </w:r>
    </w:p>
    <w:p w:rsidR="009F3172" w:rsidRPr="00CE0D10" w:rsidRDefault="009F3172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2018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2019</w:t>
      </w:r>
    </w:p>
    <w:p w:rsidR="009F3172" w:rsidRPr="00CE0D10" w:rsidRDefault="009F3172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2019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2020</w:t>
      </w:r>
    </w:p>
    <w:p w:rsidR="009F3172" w:rsidRPr="00CE0D10" w:rsidRDefault="009F3172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  <w:r w:rsidRPr="00CE0D10">
        <w:rPr>
          <w:sz w:val="22"/>
          <w:szCs w:val="22"/>
        </w:rPr>
        <w:t>od 1. 11. 202</w:t>
      </w:r>
      <w:r>
        <w:rPr>
          <w:sz w:val="22"/>
          <w:szCs w:val="22"/>
        </w:rPr>
        <w:t>0</w:t>
      </w:r>
      <w:r w:rsidRPr="00CE0D10">
        <w:rPr>
          <w:sz w:val="22"/>
          <w:szCs w:val="22"/>
        </w:rPr>
        <w:t xml:space="preserve"> do 3</w:t>
      </w:r>
      <w:r>
        <w:rPr>
          <w:sz w:val="22"/>
          <w:szCs w:val="22"/>
        </w:rPr>
        <w:t>1</w:t>
      </w:r>
      <w:r w:rsidRPr="00CE0D10">
        <w:rPr>
          <w:sz w:val="22"/>
          <w:szCs w:val="22"/>
        </w:rPr>
        <w:t>. 10. 202</w:t>
      </w:r>
      <w:r>
        <w:rPr>
          <w:sz w:val="22"/>
          <w:szCs w:val="22"/>
        </w:rPr>
        <w:t>1</w:t>
      </w:r>
    </w:p>
    <w:p w:rsidR="009F3172" w:rsidRPr="00CE0D10" w:rsidRDefault="009F3172">
      <w:pPr>
        <w:pStyle w:val="roveo3"/>
        <w:numPr>
          <w:ilvl w:val="12"/>
          <w:numId w:val="0"/>
        </w:numPr>
        <w:ind w:left="907"/>
        <w:rPr>
          <w:sz w:val="22"/>
          <w:szCs w:val="22"/>
        </w:rPr>
      </w:pPr>
    </w:p>
    <w:p w:rsidR="009F3172" w:rsidRPr="00CE0D10" w:rsidRDefault="009F3172" w:rsidP="00CD5411">
      <w:pPr>
        <w:pStyle w:val="roveo3"/>
        <w:ind w:left="907" w:firstLine="0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CE0D10">
        <w:rPr>
          <w:sz w:val="22"/>
          <w:szCs w:val="22"/>
        </w:rPr>
        <w:t>Platba ve výši dle bodu c) bude provedena na každé sjednané období na účet sdružených prostředků Zlínského kraje</w:t>
      </w:r>
      <w:r>
        <w:rPr>
          <w:sz w:val="22"/>
          <w:szCs w:val="22"/>
        </w:rPr>
        <w:t>, zřízený u</w:t>
      </w:r>
      <w:r w:rsidRPr="00CE0D10">
        <w:rPr>
          <w:sz w:val="22"/>
          <w:szCs w:val="22"/>
        </w:rPr>
        <w:t xml:space="preserve"> </w:t>
      </w:r>
      <w:r w:rsidRPr="00916C8C">
        <w:rPr>
          <w:sz w:val="22"/>
          <w:szCs w:val="22"/>
        </w:rPr>
        <w:t>České spořitelny a. s., č. ú. 5627742/0800</w:t>
      </w:r>
      <w:r w:rsidRPr="00CE0D10">
        <w:rPr>
          <w:sz w:val="22"/>
          <w:szCs w:val="22"/>
        </w:rPr>
        <w:t xml:space="preserve"> (variabilní symbol: 21+IČ obce na 8 míst, konstantní symbol: 308) podle následujícího platebního kalendáře:</w:t>
      </w:r>
    </w:p>
    <w:p w:rsidR="009F3172" w:rsidRPr="00CE0D10" w:rsidRDefault="009F3172" w:rsidP="00750B2E">
      <w:pPr>
        <w:pStyle w:val="roveo3"/>
        <w:rPr>
          <w:sz w:val="22"/>
          <w:szCs w:val="22"/>
        </w:rPr>
      </w:pP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9F3172" w:rsidRPr="00CE0D10" w:rsidTr="00CD5411">
        <w:tc>
          <w:tcPr>
            <w:tcW w:w="3093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Období</w:t>
            </w:r>
          </w:p>
        </w:tc>
        <w:tc>
          <w:tcPr>
            <w:tcW w:w="1849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Splatnost do</w:t>
            </w:r>
          </w:p>
        </w:tc>
        <w:tc>
          <w:tcPr>
            <w:tcW w:w="2760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</w:t>
            </w:r>
          </w:p>
        </w:tc>
      </w:tr>
      <w:tr w:rsidR="009F3172" w:rsidRPr="00CE0D10" w:rsidTr="00BC1C9E">
        <w:tc>
          <w:tcPr>
            <w:tcW w:w="3093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2017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2018</w:t>
            </w:r>
          </w:p>
        </w:tc>
        <w:tc>
          <w:tcPr>
            <w:tcW w:w="1849" w:type="dxa"/>
          </w:tcPr>
          <w:p w:rsidR="009F3172" w:rsidRPr="008B226D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8B226D">
              <w:rPr>
                <w:sz w:val="22"/>
                <w:szCs w:val="22"/>
              </w:rPr>
              <w:t>1. 12. 2017</w:t>
            </w:r>
          </w:p>
        </w:tc>
        <w:tc>
          <w:tcPr>
            <w:tcW w:w="2760" w:type="dxa"/>
            <w:shd w:val="clear" w:color="auto" w:fill="auto"/>
          </w:tcPr>
          <w:p w:rsidR="009F3172" w:rsidRPr="00916C8C" w:rsidRDefault="009F3172" w:rsidP="00A57FA5">
            <w:pPr>
              <w:pStyle w:val="roveo3"/>
              <w:ind w:left="0" w:firstLine="0"/>
              <w:rPr>
                <w:sz w:val="22"/>
                <w:szCs w:val="22"/>
                <w:highlight w:val="yellow"/>
              </w:rPr>
            </w:pPr>
            <w:r w:rsidRPr="00BB143D">
              <w:rPr>
                <w:noProof/>
                <w:sz w:val="22"/>
                <w:szCs w:val="22"/>
              </w:rPr>
              <w:t>18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655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9F3172" w:rsidRPr="00CE0D10" w:rsidTr="00BC1C9E">
        <w:tc>
          <w:tcPr>
            <w:tcW w:w="3093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2018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2019</w:t>
            </w:r>
          </w:p>
        </w:tc>
        <w:tc>
          <w:tcPr>
            <w:tcW w:w="1849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760" w:type="dxa"/>
            <w:shd w:val="clear" w:color="auto" w:fill="auto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18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655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9F3172" w:rsidRPr="00CE0D10" w:rsidTr="00BC1C9E">
        <w:tc>
          <w:tcPr>
            <w:tcW w:w="3093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2019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2020</w:t>
            </w:r>
          </w:p>
        </w:tc>
        <w:tc>
          <w:tcPr>
            <w:tcW w:w="1849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760" w:type="dxa"/>
            <w:shd w:val="clear" w:color="auto" w:fill="auto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18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655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  <w:tr w:rsidR="009F3172" w:rsidRPr="00CE0D10" w:rsidTr="00BC1C9E">
        <w:tc>
          <w:tcPr>
            <w:tcW w:w="3093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od 1. 11. 202</w:t>
            </w:r>
            <w:r>
              <w:rPr>
                <w:sz w:val="22"/>
                <w:szCs w:val="22"/>
              </w:rPr>
              <w:t>0</w:t>
            </w:r>
            <w:r w:rsidRPr="00CE0D10">
              <w:rPr>
                <w:sz w:val="22"/>
                <w:szCs w:val="22"/>
              </w:rPr>
              <w:t xml:space="preserve"> do 3</w:t>
            </w:r>
            <w:r>
              <w:rPr>
                <w:sz w:val="22"/>
                <w:szCs w:val="22"/>
              </w:rPr>
              <w:t>1</w:t>
            </w:r>
            <w:r w:rsidRPr="00CE0D10">
              <w:rPr>
                <w:sz w:val="22"/>
                <w:szCs w:val="22"/>
              </w:rPr>
              <w:t>. 10. 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849" w:type="dxa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CE0D10">
              <w:rPr>
                <w:sz w:val="22"/>
                <w:szCs w:val="22"/>
              </w:rPr>
              <w:t>1. 11. 20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760" w:type="dxa"/>
            <w:shd w:val="clear" w:color="auto" w:fill="auto"/>
          </w:tcPr>
          <w:p w:rsidR="009F3172" w:rsidRPr="00CE0D10" w:rsidRDefault="009F3172" w:rsidP="00A57FA5">
            <w:pPr>
              <w:pStyle w:val="roveo3"/>
              <w:ind w:left="0" w:firstLine="0"/>
              <w:rPr>
                <w:sz w:val="22"/>
                <w:szCs w:val="22"/>
              </w:rPr>
            </w:pPr>
            <w:r w:rsidRPr="00BB143D">
              <w:rPr>
                <w:noProof/>
                <w:sz w:val="22"/>
                <w:szCs w:val="22"/>
              </w:rPr>
              <w:t>18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BB143D">
              <w:rPr>
                <w:noProof/>
                <w:sz w:val="22"/>
                <w:szCs w:val="22"/>
              </w:rPr>
              <w:t>655</w:t>
            </w:r>
            <w:r>
              <w:rPr>
                <w:sz w:val="22"/>
                <w:szCs w:val="22"/>
              </w:rPr>
              <w:t xml:space="preserve"> Kč</w:t>
            </w:r>
          </w:p>
        </w:tc>
      </w:tr>
    </w:tbl>
    <w:p w:rsidR="009F3172" w:rsidRPr="00CE0D10" w:rsidRDefault="009F3172" w:rsidP="00750B2E">
      <w:pPr>
        <w:pStyle w:val="roveo3"/>
        <w:rPr>
          <w:sz w:val="22"/>
          <w:szCs w:val="22"/>
        </w:rPr>
      </w:pPr>
    </w:p>
    <w:p w:rsidR="009F3172" w:rsidRPr="00CE0D10" w:rsidRDefault="009F3172" w:rsidP="00CD5411">
      <w:pPr>
        <w:pStyle w:val="roveo3"/>
        <w:rPr>
          <w:sz w:val="22"/>
          <w:szCs w:val="22"/>
        </w:rPr>
      </w:pPr>
      <w:r w:rsidRPr="00CE0D10">
        <w:rPr>
          <w:sz w:val="22"/>
          <w:szCs w:val="22"/>
        </w:rPr>
        <w:t xml:space="preserve">Platbu ve výdajích obce zaúčtujte na ODPA 3636 – územní rozvoj, položka 5169 </w:t>
      </w:r>
      <w:r>
        <w:rPr>
          <w:sz w:val="22"/>
          <w:szCs w:val="22"/>
        </w:rPr>
        <w:t>–</w:t>
      </w:r>
      <w:r w:rsidRPr="00CE0D10">
        <w:rPr>
          <w:sz w:val="22"/>
          <w:szCs w:val="22"/>
        </w:rPr>
        <w:t xml:space="preserve"> služby</w:t>
      </w:r>
      <w:r>
        <w:rPr>
          <w:sz w:val="22"/>
          <w:szCs w:val="22"/>
        </w:rPr>
        <w:t>.“</w:t>
      </w:r>
    </w:p>
    <w:p w:rsidR="009F3172" w:rsidRPr="00CE0D10" w:rsidRDefault="009F3172" w:rsidP="00785A24">
      <w:pPr>
        <w:pStyle w:val="roveo3"/>
        <w:tabs>
          <w:tab w:val="left" w:pos="1607"/>
        </w:tabs>
        <w:ind w:left="907" w:firstLine="0"/>
        <w:rPr>
          <w:sz w:val="22"/>
          <w:szCs w:val="22"/>
        </w:rPr>
      </w:pPr>
    </w:p>
    <w:p w:rsidR="009F3172" w:rsidRPr="00CE0D10" w:rsidRDefault="009F3172" w:rsidP="00E05D4A">
      <w:pPr>
        <w:pStyle w:val="roveo1"/>
        <w:numPr>
          <w:ilvl w:val="0"/>
          <w:numId w:val="1"/>
        </w:numPr>
        <w:rPr>
          <w:sz w:val="22"/>
          <w:szCs w:val="22"/>
        </w:rPr>
      </w:pPr>
      <w:r w:rsidRPr="00CE0D10">
        <w:rPr>
          <w:sz w:val="22"/>
          <w:szCs w:val="22"/>
        </w:rPr>
        <w:t xml:space="preserve">Závěrečná ustanovení </w:t>
      </w:r>
    </w:p>
    <w:p w:rsidR="009F3172" w:rsidRPr="00CE0D10" w:rsidRDefault="009F3172" w:rsidP="00E05D4A">
      <w:pPr>
        <w:pStyle w:val="roveo1"/>
        <w:spacing w:before="0"/>
        <w:ind w:firstLine="0"/>
        <w:rPr>
          <w:sz w:val="22"/>
          <w:szCs w:val="22"/>
        </w:rPr>
      </w:pPr>
    </w:p>
    <w:p w:rsidR="009F3172" w:rsidRPr="008B226D" w:rsidRDefault="009F3172" w:rsidP="00842620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8B226D">
        <w:rPr>
          <w:sz w:val="22"/>
          <w:szCs w:val="22"/>
        </w:rPr>
        <w:t xml:space="preserve">Tento dodatek je platný dnem podpisu oprávněnými zástupci smluvních stran. </w:t>
      </w:r>
      <w:r w:rsidRPr="00803314">
        <w:rPr>
          <w:sz w:val="22"/>
          <w:szCs w:val="22"/>
        </w:rPr>
        <w:t xml:space="preserve">Smluvní strany se dohodly, že </w:t>
      </w:r>
      <w:r>
        <w:rPr>
          <w:sz w:val="22"/>
          <w:szCs w:val="22"/>
        </w:rPr>
        <w:t>Kraj</w:t>
      </w:r>
      <w:r w:rsidRPr="00803314">
        <w:rPr>
          <w:sz w:val="22"/>
          <w:szCs w:val="22"/>
        </w:rPr>
        <w:t xml:space="preserve"> v zákonné lhůtě odešle </w:t>
      </w:r>
      <w:r>
        <w:rPr>
          <w:sz w:val="22"/>
          <w:szCs w:val="22"/>
        </w:rPr>
        <w:t xml:space="preserve">dodatek spolu s původní </w:t>
      </w:r>
      <w:r w:rsidRPr="00803314">
        <w:rPr>
          <w:sz w:val="22"/>
          <w:szCs w:val="22"/>
        </w:rPr>
        <w:t>smlouv</w:t>
      </w:r>
      <w:r>
        <w:rPr>
          <w:sz w:val="22"/>
          <w:szCs w:val="22"/>
        </w:rPr>
        <w:t>o</w:t>
      </w:r>
      <w:r w:rsidRPr="00803314">
        <w:rPr>
          <w:sz w:val="22"/>
          <w:szCs w:val="22"/>
        </w:rPr>
        <w:t>u</w:t>
      </w:r>
      <w:r>
        <w:rPr>
          <w:sz w:val="22"/>
          <w:szCs w:val="22"/>
        </w:rPr>
        <w:t xml:space="preserve"> a dosavadními dodatky</w:t>
      </w:r>
      <w:r w:rsidRPr="00803314">
        <w:rPr>
          <w:sz w:val="22"/>
          <w:szCs w:val="22"/>
        </w:rPr>
        <w:t xml:space="preserve"> k řádnému uveřejnění do registru smluv vedeného Ministerstvem vnitra ČR.</w:t>
      </w:r>
    </w:p>
    <w:p w:rsidR="009F3172" w:rsidRPr="00CE0D10" w:rsidRDefault="009F3172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Jakékoliv změny je možné učinit pouze ve formě písemného dodatku podepsaného oprávněnými zástupci smluvních stran.</w:t>
      </w:r>
    </w:p>
    <w:p w:rsidR="009F3172" w:rsidRPr="00CE0D10" w:rsidRDefault="009F3172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Dodatek je vyhotoven ve čtyřech výtiscích, z nichž dva obdrží Kraj a dva Obec.</w:t>
      </w:r>
    </w:p>
    <w:p w:rsidR="009F3172" w:rsidRDefault="009F3172">
      <w:pPr>
        <w:pStyle w:val="roveo2"/>
        <w:numPr>
          <w:ilvl w:val="1"/>
          <w:numId w:val="2"/>
        </w:numPr>
        <w:ind w:left="908" w:hanging="284"/>
        <w:rPr>
          <w:sz w:val="22"/>
          <w:szCs w:val="22"/>
        </w:rPr>
      </w:pPr>
      <w:r w:rsidRPr="00CE0D10">
        <w:rPr>
          <w:sz w:val="22"/>
          <w:szCs w:val="22"/>
        </w:rPr>
        <w:t>Smluvní strany prohlašují, že si dodatek řádně přečetly, že je napsán srozumitelně, svobodně, vážně, prost chyb a omylů a na důkaz toho, že s jeho obsahem bezvýhradně souhlasí, připojují podpisy svých oprávněných zástupců a otisk svého razítka.</w:t>
      </w:r>
    </w:p>
    <w:p w:rsidR="009F3172" w:rsidRDefault="009F3172" w:rsidP="00A57FA5">
      <w:pPr>
        <w:pStyle w:val="roveo2"/>
        <w:numPr>
          <w:ilvl w:val="1"/>
          <w:numId w:val="2"/>
        </w:numPr>
        <w:rPr>
          <w:sz w:val="22"/>
          <w:szCs w:val="22"/>
        </w:rPr>
      </w:pPr>
      <w:r w:rsidRPr="00482FB8">
        <w:rPr>
          <w:sz w:val="22"/>
          <w:szCs w:val="22"/>
        </w:rPr>
        <w:t xml:space="preserve">Rozhodnout o uzavření tohoto dodatku a oprávnění uzavřít jménem Kraje tuto smlouvu bylo hejtmanovi Zlínského kraje svěřeno usnesením Rady Zlínského kraje </w:t>
      </w:r>
      <w:r>
        <w:rPr>
          <w:sz w:val="22"/>
          <w:szCs w:val="22"/>
        </w:rPr>
        <w:t>číslo 0518/R15/07 ze dne 16. 7. 2007</w:t>
      </w:r>
      <w:r w:rsidRPr="00482FB8">
        <w:rPr>
          <w:sz w:val="22"/>
          <w:szCs w:val="22"/>
        </w:rPr>
        <w:t>.</w:t>
      </w:r>
      <w:r w:rsidRPr="00482FB8">
        <w:rPr>
          <w:sz w:val="22"/>
          <w:szCs w:val="22"/>
        </w:rPr>
        <w:tab/>
      </w:r>
      <w:r w:rsidRPr="00482FB8">
        <w:rPr>
          <w:sz w:val="22"/>
          <w:szCs w:val="22"/>
        </w:rPr>
        <w:tab/>
        <w:t xml:space="preserve"> </w:t>
      </w:r>
    </w:p>
    <w:p w:rsidR="009F3172" w:rsidRPr="00CE0D10" w:rsidRDefault="009F3172" w:rsidP="00785A24">
      <w:pPr>
        <w:pStyle w:val="roveo2"/>
        <w:ind w:left="0" w:firstLine="0"/>
        <w:rPr>
          <w:sz w:val="22"/>
          <w:szCs w:val="22"/>
        </w:rPr>
      </w:pPr>
    </w:p>
    <w:p w:rsidR="009F3172" w:rsidRPr="00CE0D10" w:rsidRDefault="009F3172">
      <w:pPr>
        <w:rPr>
          <w:sz w:val="22"/>
          <w:szCs w:val="22"/>
        </w:rPr>
      </w:pPr>
    </w:p>
    <w:p w:rsidR="009F3172" w:rsidRPr="00CE0D10" w:rsidRDefault="009F3172">
      <w:pPr>
        <w:rPr>
          <w:sz w:val="22"/>
          <w:szCs w:val="22"/>
        </w:rPr>
      </w:pPr>
    </w:p>
    <w:p w:rsidR="009F3172" w:rsidRPr="00CE0D10" w:rsidRDefault="009F3172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Ve Zlíně dne</w:t>
      </w:r>
      <w:r w:rsidR="00EE181E">
        <w:rPr>
          <w:sz w:val="22"/>
          <w:szCs w:val="22"/>
        </w:rPr>
        <w:t xml:space="preserve"> </w:t>
      </w:r>
      <w:bookmarkStart w:id="0" w:name="_GoBack"/>
      <w:bookmarkEnd w:id="0"/>
      <w:r w:rsidR="00EE181E">
        <w:rPr>
          <w:sz w:val="22"/>
          <w:szCs w:val="22"/>
        </w:rPr>
        <w:t>6. 11. 2017</w:t>
      </w:r>
      <w:r w:rsidRPr="00CE0D10">
        <w:rPr>
          <w:sz w:val="22"/>
          <w:szCs w:val="22"/>
        </w:rPr>
        <w:tab/>
        <w:t>V</w:t>
      </w:r>
      <w:r w:rsidR="005D76C4">
        <w:rPr>
          <w:sz w:val="22"/>
          <w:szCs w:val="22"/>
        </w:rPr>
        <w:t xml:space="preserve">e Valašských Kloboukách </w:t>
      </w:r>
      <w:r w:rsidRPr="00CE0D10">
        <w:rPr>
          <w:sz w:val="22"/>
          <w:szCs w:val="22"/>
        </w:rPr>
        <w:t xml:space="preserve">dne </w:t>
      </w:r>
      <w:r w:rsidR="005D76C4">
        <w:rPr>
          <w:sz w:val="22"/>
          <w:szCs w:val="22"/>
        </w:rPr>
        <w:t>25. 10. 2017</w:t>
      </w:r>
    </w:p>
    <w:p w:rsidR="009F3172" w:rsidRPr="00CE0D10" w:rsidRDefault="009F3172">
      <w:pPr>
        <w:tabs>
          <w:tab w:val="left" w:pos="4536"/>
        </w:tabs>
        <w:jc w:val="left"/>
        <w:rPr>
          <w:sz w:val="22"/>
          <w:szCs w:val="22"/>
        </w:rPr>
      </w:pPr>
    </w:p>
    <w:p w:rsidR="009F3172" w:rsidRDefault="009F3172">
      <w:pPr>
        <w:tabs>
          <w:tab w:val="left" w:pos="4536"/>
        </w:tabs>
        <w:jc w:val="left"/>
        <w:rPr>
          <w:sz w:val="22"/>
          <w:szCs w:val="22"/>
        </w:rPr>
      </w:pPr>
    </w:p>
    <w:p w:rsidR="009F3172" w:rsidRPr="00CE0D10" w:rsidRDefault="009F3172">
      <w:pPr>
        <w:tabs>
          <w:tab w:val="left" w:pos="4536"/>
        </w:tabs>
        <w:jc w:val="left"/>
        <w:rPr>
          <w:sz w:val="22"/>
          <w:szCs w:val="22"/>
        </w:rPr>
      </w:pPr>
    </w:p>
    <w:p w:rsidR="009F3172" w:rsidRPr="00CE0D10" w:rsidRDefault="009F3172">
      <w:pPr>
        <w:tabs>
          <w:tab w:val="left" w:pos="4536"/>
        </w:tabs>
        <w:jc w:val="left"/>
        <w:rPr>
          <w:sz w:val="22"/>
          <w:szCs w:val="22"/>
        </w:rPr>
      </w:pPr>
    </w:p>
    <w:p w:rsidR="009F3172" w:rsidRPr="00CE0D10" w:rsidRDefault="009F3172">
      <w:pPr>
        <w:tabs>
          <w:tab w:val="left" w:pos="4536"/>
        </w:tabs>
        <w:jc w:val="left"/>
        <w:rPr>
          <w:sz w:val="22"/>
          <w:szCs w:val="22"/>
        </w:rPr>
      </w:pPr>
      <w:r w:rsidRPr="00CE0D10">
        <w:rPr>
          <w:sz w:val="22"/>
          <w:szCs w:val="22"/>
        </w:rPr>
        <w:t>...................................................................</w:t>
      </w:r>
      <w:r w:rsidRPr="00CE0D10">
        <w:rPr>
          <w:sz w:val="22"/>
          <w:szCs w:val="22"/>
        </w:rPr>
        <w:tab/>
        <w:t>....................................................................</w:t>
      </w:r>
    </w:p>
    <w:p w:rsidR="009F3172" w:rsidRPr="00BC1C9E" w:rsidRDefault="009F3172">
      <w:pPr>
        <w:tabs>
          <w:tab w:val="left" w:pos="4536"/>
        </w:tabs>
        <w:jc w:val="left"/>
        <w:rPr>
          <w:sz w:val="22"/>
          <w:szCs w:val="22"/>
        </w:rPr>
      </w:pPr>
      <w:r>
        <w:rPr>
          <w:sz w:val="22"/>
          <w:szCs w:val="22"/>
        </w:rPr>
        <w:t>Jiří Čunek</w:t>
      </w:r>
      <w:r>
        <w:rPr>
          <w:sz w:val="22"/>
          <w:szCs w:val="22"/>
        </w:rPr>
        <w:tab/>
      </w:r>
      <w:r w:rsidRPr="00BB143D">
        <w:rPr>
          <w:noProof/>
          <w:sz w:val="22"/>
          <w:szCs w:val="22"/>
        </w:rPr>
        <w:t>Mgr. Eliška Olšáková</w:t>
      </w:r>
    </w:p>
    <w:p w:rsidR="009F3172" w:rsidRDefault="009F3172" w:rsidP="00CD5411">
      <w:pPr>
        <w:tabs>
          <w:tab w:val="left" w:pos="4536"/>
        </w:tabs>
        <w:spacing w:before="0"/>
        <w:jc w:val="left"/>
        <w:rPr>
          <w:sz w:val="22"/>
          <w:szCs w:val="22"/>
        </w:rPr>
      </w:pPr>
      <w:r w:rsidRPr="00BC1C9E">
        <w:rPr>
          <w:sz w:val="22"/>
          <w:szCs w:val="22"/>
        </w:rPr>
        <w:t>hejtman Zlínského kraje</w:t>
      </w:r>
      <w:r w:rsidRPr="00BC1C9E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BB143D">
        <w:rPr>
          <w:noProof/>
          <w:sz w:val="22"/>
          <w:szCs w:val="22"/>
        </w:rPr>
        <w:t>starostka</w:t>
      </w:r>
      <w:r>
        <w:rPr>
          <w:noProof/>
          <w:sz w:val="22"/>
          <w:szCs w:val="22"/>
        </w:rPr>
        <w:t xml:space="preserve"> Obce</w:t>
      </w:r>
    </w:p>
    <w:p w:rsidR="009F3172" w:rsidRPr="00CE0D10" w:rsidRDefault="009F3172">
      <w:pPr>
        <w:rPr>
          <w:sz w:val="22"/>
          <w:szCs w:val="22"/>
        </w:rPr>
        <w:sectPr w:rsidR="009F3172" w:rsidRPr="00CE0D10" w:rsidSect="00BD175A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9F3172" w:rsidRDefault="009F3172">
      <w:pPr>
        <w:rPr>
          <w:sz w:val="22"/>
          <w:szCs w:val="22"/>
        </w:rPr>
        <w:sectPr w:rsidR="009F3172" w:rsidSect="00BD175A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9F3172" w:rsidRPr="00CE0D10" w:rsidRDefault="009F3172">
      <w:pPr>
        <w:rPr>
          <w:sz w:val="22"/>
          <w:szCs w:val="22"/>
        </w:rPr>
      </w:pPr>
    </w:p>
    <w:sectPr w:rsidR="009F3172" w:rsidRPr="00CE0D10" w:rsidSect="009F3172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172" w:rsidRDefault="009F3172">
      <w:r>
        <w:separator/>
      </w:r>
    </w:p>
  </w:endnote>
  <w:endnote w:type="continuationSeparator" w:id="0">
    <w:p w:rsidR="009F3172" w:rsidRDefault="009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72" w:rsidRDefault="009F317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181E">
      <w:rPr>
        <w:rStyle w:val="slostrnky"/>
        <w:noProof/>
      </w:rPr>
      <w:t>2</w:t>
    </w:r>
    <w:r>
      <w:rPr>
        <w:rStyle w:val="slostrnky"/>
      </w:rPr>
      <w:fldChar w:fldCharType="end"/>
    </w:r>
  </w:p>
  <w:p w:rsidR="009F3172" w:rsidRDefault="009F3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72" w:rsidRDefault="009F3172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F3172" w:rsidRDefault="009F31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FE" w:rsidRDefault="00F32FF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F3172">
      <w:rPr>
        <w:rStyle w:val="slostrnky"/>
        <w:noProof/>
      </w:rPr>
      <w:t>1</w:t>
    </w:r>
    <w:r>
      <w:rPr>
        <w:rStyle w:val="slostrnky"/>
      </w:rPr>
      <w:fldChar w:fldCharType="end"/>
    </w:r>
  </w:p>
  <w:p w:rsidR="00F32FFE" w:rsidRDefault="00F32F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172" w:rsidRDefault="009F3172">
      <w:r>
        <w:separator/>
      </w:r>
    </w:p>
  </w:footnote>
  <w:footnote w:type="continuationSeparator" w:id="0">
    <w:p w:rsidR="009F3172" w:rsidRDefault="009F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472C98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abstractNum w:abstractNumId="1" w15:restartNumberingAfterBreak="1">
    <w:nsid w:val="4CD137F9"/>
    <w:multiLevelType w:val="multilevel"/>
    <w:tmpl w:val="263627BE"/>
    <w:lvl w:ilvl="0">
      <w:start w:val="1"/>
      <w:numFmt w:val="upperRoman"/>
      <w:lvlText w:val="%1."/>
      <w:legacy w:legacy="1" w:legacySpace="120" w:legacyIndent="624"/>
      <w:lvlJc w:val="left"/>
      <w:pPr>
        <w:ind w:left="624" w:hanging="624"/>
      </w:pPr>
    </w:lvl>
    <w:lvl w:ilvl="1">
      <w:start w:val="1"/>
      <w:numFmt w:val="decimal"/>
      <w:lvlText w:val="%2."/>
      <w:legacy w:legacy="1" w:legacySpace="120" w:legacyIndent="283"/>
      <w:lvlJc w:val="left"/>
      <w:pPr>
        <w:ind w:left="907" w:hanging="283"/>
      </w:pPr>
    </w:lvl>
    <w:lvl w:ilvl="2">
      <w:start w:val="1"/>
      <w:numFmt w:val="lowerLetter"/>
      <w:lvlText w:val="%3)"/>
      <w:legacy w:legacy="1" w:legacySpace="120" w:legacyIndent="340"/>
      <w:lvlJc w:val="left"/>
      <w:pPr>
        <w:ind w:left="1247" w:hanging="34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07" w:hanging="360"/>
      </w:pPr>
    </w:lvl>
    <w:lvl w:ilvl="4">
      <w:start w:val="1"/>
      <w:numFmt w:val="decimal"/>
      <w:lvlText w:val=".%5."/>
      <w:legacy w:legacy="1" w:legacySpace="120" w:legacyIndent="792"/>
      <w:lvlJc w:val="left"/>
      <w:pPr>
        <w:ind w:left="2399" w:hanging="792"/>
      </w:pPr>
    </w:lvl>
    <w:lvl w:ilvl="5">
      <w:start w:val="1"/>
      <w:numFmt w:val="decimal"/>
      <w:lvlText w:val=".%5.%6."/>
      <w:legacy w:legacy="1" w:legacySpace="120" w:legacyIndent="936"/>
      <w:lvlJc w:val="left"/>
      <w:pPr>
        <w:ind w:left="3335" w:hanging="936"/>
      </w:pPr>
    </w:lvl>
    <w:lvl w:ilvl="6">
      <w:start w:val="1"/>
      <w:numFmt w:val="decimal"/>
      <w:lvlText w:val=".%5.%6.%7."/>
      <w:legacy w:legacy="1" w:legacySpace="120" w:legacyIndent="1080"/>
      <w:lvlJc w:val="left"/>
      <w:pPr>
        <w:ind w:left="4415" w:hanging="1080"/>
      </w:pPr>
    </w:lvl>
    <w:lvl w:ilvl="7">
      <w:start w:val="1"/>
      <w:numFmt w:val="decimal"/>
      <w:lvlText w:val=".%5.%6.%7.%8."/>
      <w:legacy w:legacy="1" w:legacySpace="120" w:legacyIndent="1224"/>
      <w:lvlJc w:val="left"/>
      <w:pPr>
        <w:ind w:left="5639" w:hanging="1224"/>
      </w:pPr>
    </w:lvl>
    <w:lvl w:ilvl="8">
      <w:start w:val="1"/>
      <w:numFmt w:val="decimal"/>
      <w:lvlText w:val=".%5.%6.%7.%8.%9."/>
      <w:legacy w:legacy="1" w:legacySpace="120" w:legacyIndent="1440"/>
      <w:lvlJc w:val="left"/>
      <w:pPr>
        <w:ind w:left="7079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76"/>
    <w:rsid w:val="00041465"/>
    <w:rsid w:val="000446D8"/>
    <w:rsid w:val="000764AC"/>
    <w:rsid w:val="00080E34"/>
    <w:rsid w:val="000A2481"/>
    <w:rsid w:val="000A5F2C"/>
    <w:rsid w:val="000F1065"/>
    <w:rsid w:val="00105289"/>
    <w:rsid w:val="00121749"/>
    <w:rsid w:val="00152D7B"/>
    <w:rsid w:val="00161963"/>
    <w:rsid w:val="001D6576"/>
    <w:rsid w:val="001E40FA"/>
    <w:rsid w:val="00203AE0"/>
    <w:rsid w:val="00222B55"/>
    <w:rsid w:val="00240B25"/>
    <w:rsid w:val="00254AE8"/>
    <w:rsid w:val="0026516E"/>
    <w:rsid w:val="0027685D"/>
    <w:rsid w:val="00287FC8"/>
    <w:rsid w:val="002A349D"/>
    <w:rsid w:val="002F1CAA"/>
    <w:rsid w:val="00305795"/>
    <w:rsid w:val="0033422F"/>
    <w:rsid w:val="00334B6C"/>
    <w:rsid w:val="003C6169"/>
    <w:rsid w:val="003D5DCE"/>
    <w:rsid w:val="003F5095"/>
    <w:rsid w:val="00414134"/>
    <w:rsid w:val="00475348"/>
    <w:rsid w:val="00482FB8"/>
    <w:rsid w:val="004F1045"/>
    <w:rsid w:val="00514999"/>
    <w:rsid w:val="00526E18"/>
    <w:rsid w:val="00537102"/>
    <w:rsid w:val="00546E60"/>
    <w:rsid w:val="00566F22"/>
    <w:rsid w:val="00582C06"/>
    <w:rsid w:val="005C6E40"/>
    <w:rsid w:val="005D3E37"/>
    <w:rsid w:val="005D76C4"/>
    <w:rsid w:val="005E7E40"/>
    <w:rsid w:val="00605C6A"/>
    <w:rsid w:val="00615C16"/>
    <w:rsid w:val="006244DB"/>
    <w:rsid w:val="006301BE"/>
    <w:rsid w:val="00630643"/>
    <w:rsid w:val="00643E3A"/>
    <w:rsid w:val="006A426E"/>
    <w:rsid w:val="006D2627"/>
    <w:rsid w:val="006D4F27"/>
    <w:rsid w:val="006E3BBA"/>
    <w:rsid w:val="006F1225"/>
    <w:rsid w:val="006F2719"/>
    <w:rsid w:val="006F789A"/>
    <w:rsid w:val="00725209"/>
    <w:rsid w:val="00731476"/>
    <w:rsid w:val="00740191"/>
    <w:rsid w:val="00750B2E"/>
    <w:rsid w:val="00774B45"/>
    <w:rsid w:val="00785A24"/>
    <w:rsid w:val="00795161"/>
    <w:rsid w:val="007F6DC5"/>
    <w:rsid w:val="00803314"/>
    <w:rsid w:val="00814266"/>
    <w:rsid w:val="00830E76"/>
    <w:rsid w:val="00842620"/>
    <w:rsid w:val="00847D0E"/>
    <w:rsid w:val="0085521E"/>
    <w:rsid w:val="00894B74"/>
    <w:rsid w:val="008B0EEC"/>
    <w:rsid w:val="008B226D"/>
    <w:rsid w:val="008D680E"/>
    <w:rsid w:val="009065C1"/>
    <w:rsid w:val="009269AF"/>
    <w:rsid w:val="009712AF"/>
    <w:rsid w:val="009D117F"/>
    <w:rsid w:val="009E74D6"/>
    <w:rsid w:val="009F3172"/>
    <w:rsid w:val="00A013E4"/>
    <w:rsid w:val="00A35127"/>
    <w:rsid w:val="00A51679"/>
    <w:rsid w:val="00A57FA5"/>
    <w:rsid w:val="00A618D8"/>
    <w:rsid w:val="00A61EF1"/>
    <w:rsid w:val="00A71417"/>
    <w:rsid w:val="00AA14B4"/>
    <w:rsid w:val="00AB45F2"/>
    <w:rsid w:val="00AE2F35"/>
    <w:rsid w:val="00AF0AC5"/>
    <w:rsid w:val="00B01B1B"/>
    <w:rsid w:val="00B06650"/>
    <w:rsid w:val="00B1388E"/>
    <w:rsid w:val="00B21DBF"/>
    <w:rsid w:val="00B25191"/>
    <w:rsid w:val="00B569D3"/>
    <w:rsid w:val="00BB788B"/>
    <w:rsid w:val="00BC1C9E"/>
    <w:rsid w:val="00BD175A"/>
    <w:rsid w:val="00BE53E3"/>
    <w:rsid w:val="00BF09F7"/>
    <w:rsid w:val="00C21B08"/>
    <w:rsid w:val="00C31216"/>
    <w:rsid w:val="00C33488"/>
    <w:rsid w:val="00C33B35"/>
    <w:rsid w:val="00C53E28"/>
    <w:rsid w:val="00C67582"/>
    <w:rsid w:val="00C817F7"/>
    <w:rsid w:val="00C83B20"/>
    <w:rsid w:val="00C97465"/>
    <w:rsid w:val="00CD5411"/>
    <w:rsid w:val="00CE0D10"/>
    <w:rsid w:val="00D0115E"/>
    <w:rsid w:val="00D66C13"/>
    <w:rsid w:val="00D744F0"/>
    <w:rsid w:val="00D85C51"/>
    <w:rsid w:val="00DB6736"/>
    <w:rsid w:val="00E00EE4"/>
    <w:rsid w:val="00E05D4A"/>
    <w:rsid w:val="00E330D2"/>
    <w:rsid w:val="00E6508E"/>
    <w:rsid w:val="00E8698C"/>
    <w:rsid w:val="00E952AF"/>
    <w:rsid w:val="00EB2565"/>
    <w:rsid w:val="00EC7AFB"/>
    <w:rsid w:val="00ED7B2D"/>
    <w:rsid w:val="00EE181E"/>
    <w:rsid w:val="00F32FFE"/>
    <w:rsid w:val="00FA3EF4"/>
    <w:rsid w:val="00FF26BB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5144F"/>
  <w15:docId w15:val="{BCD58B1D-3ACD-4276-B76A-17BA9B5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before="240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spacing w:before="0" w:after="360"/>
      <w:jc w:val="center"/>
      <w:outlineLvl w:val="0"/>
    </w:pPr>
    <w:rPr>
      <w:b/>
      <w:noProof/>
      <w:kern w:val="28"/>
      <w:sz w:val="40"/>
    </w:rPr>
  </w:style>
  <w:style w:type="paragraph" w:styleId="Nadpis2">
    <w:name w:val="heading 2"/>
    <w:basedOn w:val="Normln"/>
    <w:next w:val="Normln"/>
    <w:qFormat/>
    <w:pPr>
      <w:keepNext/>
      <w:spacing w:after="6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after="60"/>
      <w:outlineLvl w:val="2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roveo1">
    <w:name w:val="úroveo1"/>
    <w:basedOn w:val="Normln"/>
    <w:pPr>
      <w:keepNext/>
      <w:widowControl w:val="0"/>
      <w:tabs>
        <w:tab w:val="left" w:pos="624"/>
      </w:tabs>
      <w:spacing w:after="120"/>
      <w:ind w:left="624" w:hanging="624"/>
    </w:pPr>
    <w:rPr>
      <w:b/>
      <w:caps/>
      <w:sz w:val="28"/>
    </w:rPr>
  </w:style>
  <w:style w:type="paragraph" w:customStyle="1" w:styleId="roveo2">
    <w:name w:val="úroveo2"/>
    <w:basedOn w:val="Normln"/>
    <w:pPr>
      <w:tabs>
        <w:tab w:val="left" w:pos="680"/>
        <w:tab w:val="left" w:pos="907"/>
      </w:tabs>
      <w:spacing w:before="60"/>
      <w:ind w:left="908" w:hanging="284"/>
    </w:pPr>
  </w:style>
  <w:style w:type="paragraph" w:customStyle="1" w:styleId="Odsazen2cm">
    <w:name w:val="Odsazení 2cm"/>
    <w:basedOn w:val="Normln"/>
    <w:pPr>
      <w:spacing w:before="120"/>
      <w:ind w:left="1134"/>
    </w:pPr>
  </w:style>
  <w:style w:type="paragraph" w:customStyle="1" w:styleId="roveo4">
    <w:name w:val="úroveo4"/>
    <w:pPr>
      <w:tabs>
        <w:tab w:val="left" w:pos="1728"/>
      </w:tabs>
      <w:overflowPunct w:val="0"/>
      <w:autoSpaceDE w:val="0"/>
      <w:autoSpaceDN w:val="0"/>
      <w:adjustRightInd w:val="0"/>
      <w:spacing w:before="60"/>
      <w:ind w:left="1729" w:hanging="482"/>
      <w:jc w:val="both"/>
      <w:textAlignment w:val="baseline"/>
    </w:pPr>
    <w:rPr>
      <w:noProof/>
      <w:sz w:val="24"/>
    </w:rPr>
  </w:style>
  <w:style w:type="paragraph" w:customStyle="1" w:styleId="roveo3">
    <w:name w:val="úroveo3"/>
    <w:basedOn w:val="Normln"/>
    <w:pPr>
      <w:tabs>
        <w:tab w:val="left" w:pos="1247"/>
      </w:tabs>
      <w:spacing w:before="60"/>
      <w:ind w:left="1247" w:hanging="34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-smlouva">
    <w:name w:val="styl-smlouva"/>
    <w:basedOn w:val="Normln"/>
    <w:pPr>
      <w:ind w:left="284" w:hanging="284"/>
    </w:pPr>
    <w:rPr>
      <w:rFonts w:ascii="Arial" w:hAnsi="Arial"/>
      <w:sz w:val="20"/>
    </w:rPr>
  </w:style>
  <w:style w:type="paragraph" w:customStyle="1" w:styleId="nor10">
    <w:name w:val="nor_10"/>
    <w:basedOn w:val="styl-smlouva"/>
    <w:pPr>
      <w:ind w:left="567" w:hanging="283"/>
    </w:p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before="0" w:line="276" w:lineRule="auto"/>
      <w:jc w:val="left"/>
    </w:pPr>
    <w:rPr>
      <w:rFonts w:ascii="Arial" w:hAnsi="Arial"/>
    </w:rPr>
  </w:style>
  <w:style w:type="paragraph" w:customStyle="1" w:styleId="tabulka">
    <w:name w:val="tabulka"/>
    <w:basedOn w:val="Normln"/>
    <w:pPr>
      <w:spacing w:before="0" w:after="60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customStyle="1" w:styleId="Pedmtkomente1">
    <w:name w:val="Předmět komentáře1"/>
    <w:basedOn w:val="Textkomente"/>
    <w:next w:val="Textkomente"/>
    <w:rPr>
      <w:b/>
    </w:rPr>
  </w:style>
  <w:style w:type="paragraph" w:customStyle="1" w:styleId="Textbubliny2">
    <w:name w:val="Text bubliny2"/>
    <w:basedOn w:val="Normln"/>
    <w:rPr>
      <w:rFonts w:ascii="Tahoma" w:hAnsi="Tahoma"/>
      <w:sz w:val="16"/>
    </w:rPr>
  </w:style>
  <w:style w:type="paragraph" w:customStyle="1" w:styleId="Pedmtkomente2">
    <w:name w:val="Předmět komentáře2"/>
    <w:basedOn w:val="Textkomente"/>
    <w:next w:val="Textkomente"/>
    <w:rPr>
      <w:b/>
    </w:rPr>
  </w:style>
  <w:style w:type="paragraph" w:customStyle="1" w:styleId="Textbubliny3">
    <w:name w:val="Text bubliny3"/>
    <w:basedOn w:val="Normln"/>
    <w:rPr>
      <w:rFonts w:ascii="Tahoma" w:hAnsi="Tahoma"/>
      <w:sz w:val="16"/>
    </w:rPr>
  </w:style>
  <w:style w:type="paragraph" w:customStyle="1" w:styleId="Textbubliny4">
    <w:name w:val="Text bubliny4"/>
    <w:basedOn w:val="Normln"/>
    <w:rPr>
      <w:rFonts w:ascii="Tahoma" w:hAnsi="Tahoma"/>
      <w:sz w:val="16"/>
    </w:rPr>
  </w:style>
  <w:style w:type="paragraph" w:customStyle="1" w:styleId="Textbubliny5">
    <w:name w:val="Text bubliny5"/>
    <w:basedOn w:val="Normln"/>
    <w:rPr>
      <w:rFonts w:ascii="Tahoma" w:hAnsi="Tahoma"/>
      <w:sz w:val="16"/>
    </w:rPr>
  </w:style>
  <w:style w:type="paragraph" w:customStyle="1" w:styleId="Textbubliny6">
    <w:name w:val="Text bubliny6"/>
    <w:basedOn w:val="Normln"/>
    <w:rPr>
      <w:rFonts w:ascii="Tahoma" w:hAnsi="Tahoma"/>
      <w:sz w:val="16"/>
    </w:rPr>
  </w:style>
  <w:style w:type="paragraph" w:customStyle="1" w:styleId="Textbubliny7">
    <w:name w:val="Text bubliny7"/>
    <w:basedOn w:val="Normln"/>
    <w:rPr>
      <w:rFonts w:ascii="Tahoma" w:hAnsi="Tahoma"/>
      <w:sz w:val="16"/>
    </w:rPr>
  </w:style>
  <w:style w:type="paragraph" w:customStyle="1" w:styleId="Textbubliny8">
    <w:name w:val="Text bubliny8"/>
    <w:basedOn w:val="Normln"/>
    <w:rPr>
      <w:rFonts w:ascii="Tahoma" w:hAnsi="Tahoma"/>
      <w:sz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50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E40FA"/>
    <w:rPr>
      <w:color w:val="0000FF"/>
      <w:u w:val="single"/>
    </w:rPr>
  </w:style>
  <w:style w:type="character" w:styleId="Sledovanodkaz">
    <w:name w:val="FollowedHyperlink"/>
    <w:rsid w:val="00B1388E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9065C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065C1"/>
  </w:style>
  <w:style w:type="character" w:customStyle="1" w:styleId="PedmtkomenteChar">
    <w:name w:val="Předmět komentáře Char"/>
    <w:basedOn w:val="TextkomenteChar"/>
    <w:link w:val="Pedmtkomente"/>
    <w:semiHidden/>
    <w:rsid w:val="009065C1"/>
    <w:rPr>
      <w:b/>
      <w:bCs/>
    </w:rPr>
  </w:style>
  <w:style w:type="paragraph" w:styleId="Revize">
    <w:name w:val="Revision"/>
    <w:hidden/>
    <w:uiPriority w:val="99"/>
    <w:semiHidden/>
    <w:rsid w:val="00A61EF1"/>
    <w:rPr>
      <w:sz w:val="24"/>
    </w:rPr>
  </w:style>
  <w:style w:type="paragraph" w:styleId="Odstavecseseznamem">
    <w:name w:val="List Paragraph"/>
    <w:basedOn w:val="Normln"/>
    <w:uiPriority w:val="34"/>
    <w:qFormat/>
    <w:rsid w:val="00795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F254-30C7-4CDA-9553-407B1865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s obcí</vt:lpstr>
    </vt:vector>
  </TitlesOfParts>
  <Company>Zlínský kraj</Company>
  <LinksUpToDate>false</LinksUpToDate>
  <CharactersWithSpaces>2872</CharactersWithSpaces>
  <SharedDoc>false</SharedDoc>
  <HLinks>
    <vt:vector size="6" baseType="variant">
      <vt:variant>
        <vt:i4>4194336</vt:i4>
      </vt:variant>
      <vt:variant>
        <vt:i4>21</vt:i4>
      </vt:variant>
      <vt:variant>
        <vt:i4>0</vt:i4>
      </vt:variant>
      <vt:variant>
        <vt:i4>5</vt:i4>
      </vt:variant>
      <vt:variant>
        <vt:lpwstr>http://www.czso.cz/cz/obce_d/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 obcí</dc:title>
  <dc:subject/>
  <dc:creator>LPO. STR, KŘ</dc:creator>
  <cp:keywords/>
  <dc:description/>
  <cp:lastModifiedBy>Krajíčková Miroslava</cp:lastModifiedBy>
  <cp:revision>3</cp:revision>
  <cp:lastPrinted>2017-10-03T10:27:00Z</cp:lastPrinted>
  <dcterms:created xsi:type="dcterms:W3CDTF">2017-10-04T06:57:00Z</dcterms:created>
  <dcterms:modified xsi:type="dcterms:W3CDTF">2017-11-07T09:30:00Z</dcterms:modified>
</cp:coreProperties>
</file>