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rap="none" w:vAnchor="page" w:hAnchor="page" w:x="3" w:y="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95pt;height:88pt;">
            <v:imagedata r:id="rId5" r:href="rId6"/>
          </v:shape>
        </w:pict>
      </w:r>
    </w:p>
    <w:p>
      <w:pPr>
        <w:pStyle w:val="Style3"/>
        <w:framePr w:w="11698" w:h="320" w:hRule="exact" w:wrap="around" w:vAnchor="page" w:hAnchor="page" w:x="3" w:y="2525"/>
        <w:widowControl w:val="0"/>
        <w:keepNext w:val="0"/>
        <w:keepLines w:val="0"/>
        <w:shd w:val="clear" w:color="auto" w:fill="auto"/>
        <w:bidi w:val="0"/>
        <w:spacing w:before="0" w:after="0" w:line="210" w:lineRule="exact"/>
        <w:ind w:left="0" w:right="220" w:firstLine="0"/>
      </w:pPr>
      <w:bookmarkStart w:id="0" w:name="bookmark0"/>
      <w:r>
        <w:rPr>
          <w:rStyle w:val="CharStyle5"/>
        </w:rPr>
        <w:t>OBCHODNÍ A PLATEBNÍ PODMÍNKY SPOLEČNOSTI DMA Praha s. r. o.</w:t>
      </w:r>
      <w:bookmarkEnd w:id="0"/>
    </w:p>
    <w:p>
      <w:pPr>
        <w:pStyle w:val="Style6"/>
        <w:framePr w:w="11698" w:h="1584" w:hRule="exact" w:wrap="around" w:vAnchor="page" w:hAnchor="page" w:x="3" w:y="3379"/>
        <w:widowControl w:val="0"/>
        <w:keepNext w:val="0"/>
        <w:keepLines w:val="0"/>
        <w:shd w:val="clear" w:color="auto" w:fill="auto"/>
        <w:bidi w:val="0"/>
        <w:spacing w:before="0" w:after="113" w:line="140" w:lineRule="exact"/>
        <w:ind w:left="0" w:right="220" w:firstLine="0"/>
      </w:pPr>
      <w:bookmarkStart w:id="1" w:name="bookmark1"/>
      <w:r>
        <w:rPr>
          <w:lang w:val="cs-CZ" w:eastAsia="cs-CZ" w:bidi="cs-CZ"/>
          <w:w w:val="100"/>
          <w:color w:val="000000"/>
          <w:position w:val="0"/>
        </w:rPr>
        <w:t>Článek 1 - Všeobecné podmínky</w:t>
      </w:r>
      <w:bookmarkEnd w:id="1"/>
    </w:p>
    <w:p>
      <w:pPr>
        <w:pStyle w:val="Style8"/>
        <w:framePr w:w="11698" w:h="1584" w:hRule="exact" w:wrap="around" w:vAnchor="page" w:hAnchor="page" w:x="3" w:y="3379"/>
        <w:widowControl w:val="0"/>
        <w:keepNext w:val="0"/>
        <w:keepLines w:val="0"/>
        <w:shd w:val="clear" w:color="auto" w:fill="auto"/>
        <w:bidi w:val="0"/>
        <w:spacing w:before="0" w:after="230"/>
        <w:ind w:left="0" w:right="220" w:firstLine="0"/>
      </w:pPr>
      <w:r>
        <w:rPr>
          <w:lang w:val="cs-CZ" w:eastAsia="cs-CZ" w:bidi="cs-CZ"/>
          <w:w w:val="100"/>
          <w:color w:val="000000"/>
          <w:position w:val="0"/>
        </w:rPr>
        <w:t>Dále uvedené podmínky se vztahují na všechny obchodní případy společnosti DMA Praha, s.r.o. ( dále jen DMA Praha ) s Prodejci, kteří mají platné oprávnění k výkonu podnikatelské činnosti a živnosti ve smyslu platných právních předpisů a uzavřeli Rámcovou prodejní smlouvu (včetně Přílohy č. 1) se společností DMA Praha. Tyto podmínky nahrazují případně dříve sjednané Obchodní a platební podmínky. Jakékoli odchylky od dále uvedených podmínek, dodatečné změny smluv či ústní jednání nebo jinak formulované podmínky Prodejce platí pouze tehdy, jestliže byly společností DMA Praha výslovně písemně schváleny.</w:t>
      </w:r>
    </w:p>
    <w:p>
      <w:pPr>
        <w:pStyle w:val="Style8"/>
        <w:framePr w:w="11698" w:h="1584" w:hRule="exact" w:wrap="around" w:vAnchor="page" w:hAnchor="page" w:x="3" w:y="3379"/>
        <w:widowControl w:val="0"/>
        <w:keepNext w:val="0"/>
        <w:keepLines w:val="0"/>
        <w:shd w:val="clear" w:color="auto" w:fill="auto"/>
        <w:bidi w:val="0"/>
        <w:jc w:val="both"/>
        <w:spacing w:before="0" w:after="0" w:line="130" w:lineRule="exact"/>
        <w:ind w:left="580" w:right="0" w:firstLine="0"/>
      </w:pPr>
      <w:r>
        <w:rPr>
          <w:lang w:val="cs-CZ" w:eastAsia="cs-CZ" w:bidi="cs-CZ"/>
          <w:w w:val="100"/>
          <w:color w:val="000000"/>
          <w:position w:val="0"/>
        </w:rPr>
        <w:t xml:space="preserve">Obchodní a platební podmínky se uzavírají na dobu neurčitou, </w:t>
      </w:r>
      <w:r>
        <w:rPr>
          <w:rStyle w:val="CharStyle10"/>
        </w:rPr>
        <w:t>s platností: od 1. 1. 2017</w:t>
      </w:r>
    </w:p>
    <w:p>
      <w:pPr>
        <w:pStyle w:val="Style6"/>
        <w:framePr w:w="11698" w:h="1718" w:hRule="exact" w:wrap="around" w:vAnchor="page" w:hAnchor="page" w:x="3" w:y="5496"/>
        <w:widowControl w:val="0"/>
        <w:keepNext w:val="0"/>
        <w:keepLines w:val="0"/>
        <w:shd w:val="clear" w:color="auto" w:fill="auto"/>
        <w:bidi w:val="0"/>
        <w:spacing w:before="0" w:after="113" w:line="140" w:lineRule="exact"/>
        <w:ind w:left="0" w:right="220" w:firstLine="0"/>
      </w:pPr>
      <w:bookmarkStart w:id="2" w:name="bookmark2"/>
      <w:r>
        <w:rPr>
          <w:lang w:val="cs-CZ" w:eastAsia="cs-CZ" w:bidi="cs-CZ"/>
          <w:w w:val="100"/>
          <w:color w:val="000000"/>
          <w:position w:val="0"/>
        </w:rPr>
        <w:t>Článek 2 - Obchodní podmínky</w:t>
      </w:r>
      <w:bookmarkEnd w:id="2"/>
    </w:p>
    <w:p>
      <w:pPr>
        <w:pStyle w:val="Style8"/>
        <w:framePr w:w="11698" w:h="1718" w:hRule="exact" w:wrap="around" w:vAnchor="page" w:hAnchor="page" w:x="3" w:y="5496"/>
        <w:widowControl w:val="0"/>
        <w:keepNext w:val="0"/>
        <w:keepLines w:val="0"/>
        <w:shd w:val="clear" w:color="auto" w:fill="auto"/>
        <w:bidi w:val="0"/>
        <w:jc w:val="left"/>
        <w:spacing w:before="0" w:after="26"/>
        <w:ind w:left="580" w:right="360" w:firstLine="0"/>
      </w:pPr>
      <w:r>
        <w:rPr>
          <w:lang w:val="cs-CZ" w:eastAsia="cs-CZ" w:bidi="cs-CZ"/>
          <w:w w:val="100"/>
          <w:color w:val="000000"/>
          <w:position w:val="0"/>
        </w:rPr>
        <w:t xml:space="preserve">Prodejci bude poskytnut základní rabat ve výši </w:t>
      </w:r>
      <w:r>
        <w:rPr>
          <w:rStyle w:val="CharStyle10"/>
        </w:rPr>
        <w:t xml:space="preserve">15 % </w:t>
      </w:r>
      <w:r>
        <w:rPr>
          <w:lang w:val="cs-CZ" w:eastAsia="cs-CZ" w:bidi="cs-CZ"/>
          <w:w w:val="100"/>
          <w:color w:val="000000"/>
          <w:position w:val="0"/>
        </w:rPr>
        <w:t xml:space="preserve">z prodejní ceny zboží. Pouze u elektrických skútrů je rabat snížen na </w:t>
      </w:r>
      <w:r>
        <w:rPr>
          <w:rStyle w:val="CharStyle10"/>
        </w:rPr>
        <w:t xml:space="preserve">10% </w:t>
      </w:r>
      <w:r>
        <w:rPr>
          <w:lang w:val="cs-CZ" w:eastAsia="cs-CZ" w:bidi="cs-CZ"/>
          <w:w w:val="100"/>
          <w:color w:val="000000"/>
          <w:position w:val="0"/>
        </w:rPr>
        <w:t>a není možno uplatnit množstevní slevu.</w:t>
      </w:r>
    </w:p>
    <w:p>
      <w:pPr>
        <w:pStyle w:val="Style8"/>
        <w:framePr w:w="11698" w:h="1718" w:hRule="exact" w:wrap="around" w:vAnchor="page" w:hAnchor="page" w:x="3" w:y="5496"/>
        <w:tabs>
          <w:tab w:leader="none" w:pos="1756" w:val="right"/>
          <w:tab w:leader="none" w:pos="1890" w:val="center"/>
          <w:tab w:leader="none" w:pos="2414" w:val="right"/>
          <w:tab w:leader="none" w:pos="3095" w:val="right"/>
          <w:tab w:leader="none" w:pos="3201" w:val="right"/>
          <w:tab w:leader="none" w:pos="3417" w:val="right"/>
          <w:tab w:leader="none" w:pos="4218" w:val="right"/>
          <w:tab w:leader="none" w:pos="4425" w:val="right"/>
          <w:tab w:leader="none" w:pos="4727" w:val="right"/>
        </w:tabs>
        <w:widowControl w:val="0"/>
        <w:keepNext w:val="0"/>
        <w:keepLines w:val="0"/>
        <w:shd w:val="clear" w:color="auto" w:fill="auto"/>
        <w:bidi w:val="0"/>
        <w:jc w:val="both"/>
        <w:spacing w:before="0" w:after="0" w:line="384" w:lineRule="exact"/>
        <w:ind w:left="580" w:right="0" w:firstLine="0"/>
      </w:pPr>
      <w:r>
        <w:rPr>
          <w:lang w:val="cs-CZ" w:eastAsia="cs-CZ" w:bidi="cs-CZ"/>
          <w:w w:val="100"/>
          <w:color w:val="000000"/>
          <w:position w:val="0"/>
        </w:rPr>
        <w:t>Při určení výše dalšího zvýhodnění ceny pro Prodejce se vychází z následujících podmínek prodeje zboží:</w:t>
      </w:r>
    </w:p>
    <w:p>
      <w:pPr>
        <w:pStyle w:val="Style6"/>
        <w:numPr>
          <w:ilvl w:val="0"/>
          <w:numId w:val="1"/>
        </w:numPr>
        <w:framePr w:w="11698" w:h="1718" w:hRule="exact" w:wrap="around" w:vAnchor="page" w:hAnchor="page" w:x="3" w:y="5496"/>
        <w:tabs>
          <w:tab w:leader="none" w:pos="1756" w:val="right"/>
          <w:tab w:leader="none" w:pos="1953" w:val="center"/>
          <w:tab w:leader="none" w:pos="3417" w:val="right"/>
          <w:tab w:leader="none" w:pos="3095" w:val="right"/>
          <w:tab w:leader="none" w:pos="3201" w:val="right"/>
          <w:tab w:leader="none" w:pos="3417" w:val="right"/>
          <w:tab w:leader="none" w:pos="4218" w:val="right"/>
          <w:tab w:leader="none" w:pos="4425" w:val="right"/>
          <w:tab w:leader="none" w:pos="4727" w:val="right"/>
          <w:tab w:leader="none" w:pos="1293" w:val="left"/>
        </w:tabs>
        <w:widowControl w:val="0"/>
        <w:keepNext w:val="0"/>
        <w:keepLines w:val="0"/>
        <w:shd w:val="clear" w:color="auto" w:fill="auto"/>
        <w:bidi w:val="0"/>
        <w:jc w:val="both"/>
        <w:spacing w:before="0" w:after="0" w:line="384" w:lineRule="exact"/>
        <w:ind w:left="580" w:right="0" w:firstLine="0"/>
      </w:pPr>
      <w:bookmarkStart w:id="3" w:name="bookmark3"/>
      <w:r>
        <w:rPr>
          <w:lang w:val="cs-CZ" w:eastAsia="cs-CZ" w:bidi="cs-CZ"/>
          <w:w w:val="100"/>
          <w:color w:val="000000"/>
          <w:position w:val="0"/>
        </w:rPr>
        <w:t>Platba</w:t>
        <w:tab/>
        <w:t>za</w:t>
        <w:tab/>
        <w:t>zboží</w:t>
        <w:tab/>
        <w:t>fakturou</w:t>
        <w:tab/>
        <w:t>-</w:t>
        <w:tab/>
        <w:t>se</w:t>
        <w:tab/>
        <w:t>splatností</w:t>
        <w:tab/>
        <w:t>21</w:t>
        <w:tab/>
        <w:t>dní</w:t>
      </w:r>
      <w:bookmarkEnd w:id="3"/>
    </w:p>
    <w:p>
      <w:pPr>
        <w:pStyle w:val="Style11"/>
        <w:framePr w:wrap="around" w:vAnchor="page" w:hAnchor="page" w:x="1352" w:y="7560"/>
        <w:tabs>
          <w:tab w:leader="underscore" w:pos="3480" w:val="right"/>
          <w:tab w:leader="none" w:pos="4286" w:val="right"/>
          <w:tab w:leader="none" w:pos="4699" w:val="right"/>
          <w:tab w:leader="none" w:pos="4896" w:val="right"/>
          <w:tab w:leader="none" w:pos="5784" w:val="right"/>
          <w:tab w:leader="none" w:pos="6029" w:val="right"/>
          <w:tab w:leader="underscore" w:pos="7248" w:val="right"/>
          <w:tab w:leader="none" w:pos="7666" w:val="right"/>
        </w:tabs>
        <w:widowControl w:val="0"/>
        <w:keepNext w:val="0"/>
        <w:keepLines w:val="0"/>
        <w:shd w:val="clear" w:color="auto" w:fill="auto"/>
        <w:bidi w:val="0"/>
        <w:spacing w:before="0" w:after="0" w:line="130" w:lineRule="exact"/>
        <w:ind w:left="0" w:right="0" w:firstLine="0"/>
      </w:pPr>
      <w:r>
        <w:rPr>
          <w:rStyle w:val="CharStyle13"/>
          <w:b/>
          <w:bCs/>
        </w:rPr>
        <w:t>Cenové zvýhodnění vyplývající z prodeje</w:t>
      </w:r>
      <w:r>
        <w:rPr>
          <w:lang w:val="cs-CZ" w:eastAsia="cs-CZ" w:bidi="cs-CZ"/>
          <w:w w:val="100"/>
          <w:color w:val="000000"/>
          <w:position w:val="0"/>
        </w:rPr>
        <w:tab/>
      </w:r>
      <w:r>
        <w:rPr>
          <w:rStyle w:val="CharStyle13"/>
          <w:b/>
          <w:bCs/>
        </w:rPr>
        <w:t>|</w:t>
        <w:tab/>
        <w:t>Základní</w:t>
        <w:tab/>
        <w:t>rabat</w:t>
        <w:tab/>
        <w:t>|</w:t>
        <w:tab/>
        <w:t>Navýšení</w:t>
        <w:tab/>
        <w:t>|</w:t>
      </w:r>
      <w:r>
        <w:rPr>
          <w:lang w:val="cs-CZ" w:eastAsia="cs-CZ" w:bidi="cs-CZ"/>
          <w:w w:val="100"/>
          <w:color w:val="000000"/>
          <w:position w:val="0"/>
        </w:rPr>
        <w:tab/>
      </w:r>
      <w:r>
        <w:rPr>
          <w:rStyle w:val="CharStyle13"/>
          <w:b/>
          <w:bCs/>
        </w:rPr>
        <w:t>Celkový</w:t>
        <w:tab/>
        <w:t>rabat</w:t>
      </w:r>
    </w:p>
    <w:tbl>
      <w:tblPr>
        <w:tblOverlap w:val="never"/>
        <w:tblLayout w:type="fixed"/>
        <w:jc w:val="left"/>
      </w:tblPr>
      <w:tblGrid>
        <w:gridCol w:w="3552"/>
        <w:gridCol w:w="1416"/>
        <w:gridCol w:w="1133"/>
        <w:gridCol w:w="2280"/>
      </w:tblGrid>
      <w:tr>
        <w:trPr>
          <w:trHeight w:val="206" w:hRule="exact"/>
        </w:trPr>
        <w:tc>
          <w:tcPr>
            <w:shd w:val="clear" w:color="auto" w:fill="FFFFFF"/>
            <w:tcBorders>
              <w:left w:val="single" w:sz="4"/>
              <w:top w:val="single" w:sz="4"/>
            </w:tcBorders>
            <w:vAlign w:val="bottom"/>
          </w:tcPr>
          <w:p>
            <w:pPr>
              <w:pStyle w:val="Style8"/>
              <w:framePr w:w="8381" w:h="619" w:wrap="around" w:vAnchor="page" w:hAnchor="page" w:x="1270" w:y="7944"/>
              <w:widowControl w:val="0"/>
              <w:keepNext w:val="0"/>
              <w:keepLines w:val="0"/>
              <w:shd w:val="clear" w:color="auto" w:fill="auto"/>
              <w:bidi w:val="0"/>
              <w:jc w:val="left"/>
              <w:spacing w:before="0" w:after="0" w:line="130" w:lineRule="exact"/>
              <w:ind w:left="80" w:right="0" w:firstLine="0"/>
            </w:pPr>
            <w:r>
              <w:rPr>
                <w:rStyle w:val="CharStyle14"/>
              </w:rPr>
              <w:t>Jednorázová objednávka zboží nad 10 000,- Kč</w:t>
            </w:r>
          </w:p>
        </w:tc>
        <w:tc>
          <w:tcPr>
            <w:shd w:val="clear" w:color="auto" w:fill="FFFFFF"/>
            <w:tcBorders>
              <w:left w:val="single" w:sz="4"/>
              <w:top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15 %</w:t>
            </w:r>
          </w:p>
        </w:tc>
        <w:tc>
          <w:tcPr>
            <w:shd w:val="clear" w:color="auto" w:fill="FFFFFF"/>
            <w:tcBorders>
              <w:left w:val="single" w:sz="4"/>
              <w:top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+ 1 %</w:t>
            </w:r>
          </w:p>
        </w:tc>
        <w:tc>
          <w:tcPr>
            <w:shd w:val="clear" w:color="auto" w:fill="FFFFFF"/>
            <w:tcBorders>
              <w:left w:val="single" w:sz="4"/>
              <w:right w:val="single" w:sz="4"/>
              <w:top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16 % + čtvrtletní bonus</w:t>
            </w:r>
          </w:p>
        </w:tc>
      </w:tr>
      <w:tr>
        <w:trPr>
          <w:trHeight w:val="202" w:hRule="exact"/>
        </w:trPr>
        <w:tc>
          <w:tcPr>
            <w:shd w:val="clear" w:color="auto" w:fill="FFFFFF"/>
            <w:tcBorders>
              <w:left w:val="single" w:sz="4"/>
              <w:top w:val="single" w:sz="4"/>
            </w:tcBorders>
            <w:vAlign w:val="bottom"/>
          </w:tcPr>
          <w:p>
            <w:pPr>
              <w:pStyle w:val="Style8"/>
              <w:framePr w:w="8381" w:h="619" w:wrap="around" w:vAnchor="page" w:hAnchor="page" w:x="1270" w:y="7944"/>
              <w:widowControl w:val="0"/>
              <w:keepNext w:val="0"/>
              <w:keepLines w:val="0"/>
              <w:shd w:val="clear" w:color="auto" w:fill="auto"/>
              <w:bidi w:val="0"/>
              <w:jc w:val="left"/>
              <w:spacing w:before="0" w:after="0" w:line="130" w:lineRule="exact"/>
              <w:ind w:left="80" w:right="0" w:firstLine="0"/>
            </w:pPr>
            <w:r>
              <w:rPr>
                <w:rStyle w:val="CharStyle14"/>
              </w:rPr>
              <w:t>Jednorázová objednávka zboží nad 25 000,- Kč</w:t>
            </w:r>
          </w:p>
        </w:tc>
        <w:tc>
          <w:tcPr>
            <w:shd w:val="clear" w:color="auto" w:fill="FFFFFF"/>
            <w:tcBorders>
              <w:left w:val="single" w:sz="4"/>
              <w:top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15 %</w:t>
            </w:r>
          </w:p>
        </w:tc>
        <w:tc>
          <w:tcPr>
            <w:shd w:val="clear" w:color="auto" w:fill="FFFFFF"/>
            <w:tcBorders>
              <w:left w:val="single" w:sz="4"/>
              <w:top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+ 2 %</w:t>
            </w:r>
          </w:p>
        </w:tc>
        <w:tc>
          <w:tcPr>
            <w:shd w:val="clear" w:color="auto" w:fill="FFFFFF"/>
            <w:tcBorders>
              <w:left w:val="single" w:sz="4"/>
              <w:right w:val="single" w:sz="4"/>
              <w:top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17 % + čtvrtletní bonus</w:t>
            </w:r>
          </w:p>
        </w:tc>
      </w:tr>
      <w:tr>
        <w:trPr>
          <w:trHeight w:val="211" w:hRule="exact"/>
        </w:trPr>
        <w:tc>
          <w:tcPr>
            <w:shd w:val="clear" w:color="auto" w:fill="FFFFFF"/>
            <w:tcBorders>
              <w:left w:val="single" w:sz="4"/>
              <w:top w:val="single" w:sz="4"/>
              <w:bottom w:val="single" w:sz="4"/>
            </w:tcBorders>
            <w:vAlign w:val="bottom"/>
          </w:tcPr>
          <w:p>
            <w:pPr>
              <w:pStyle w:val="Style8"/>
              <w:framePr w:w="8381" w:h="619" w:wrap="around" w:vAnchor="page" w:hAnchor="page" w:x="1270" w:y="7944"/>
              <w:widowControl w:val="0"/>
              <w:keepNext w:val="0"/>
              <w:keepLines w:val="0"/>
              <w:shd w:val="clear" w:color="auto" w:fill="auto"/>
              <w:bidi w:val="0"/>
              <w:jc w:val="left"/>
              <w:spacing w:before="0" w:after="0" w:line="130" w:lineRule="exact"/>
              <w:ind w:left="80" w:right="0" w:firstLine="0"/>
            </w:pPr>
            <w:r>
              <w:rPr>
                <w:rStyle w:val="CharStyle14"/>
              </w:rPr>
              <w:t>Jednorázová objednávka zboží nad 50 000,- Kč</w:t>
            </w:r>
          </w:p>
        </w:tc>
        <w:tc>
          <w:tcPr>
            <w:shd w:val="clear" w:color="auto" w:fill="FFFFFF"/>
            <w:tcBorders>
              <w:left w:val="single" w:sz="4"/>
              <w:top w:val="single" w:sz="4"/>
              <w:bottom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15 %</w:t>
            </w:r>
          </w:p>
        </w:tc>
        <w:tc>
          <w:tcPr>
            <w:shd w:val="clear" w:color="auto" w:fill="FFFFFF"/>
            <w:tcBorders>
              <w:left w:val="single" w:sz="4"/>
              <w:top w:val="single" w:sz="4"/>
              <w:bottom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+ 3 %</w:t>
            </w:r>
          </w:p>
        </w:tc>
        <w:tc>
          <w:tcPr>
            <w:shd w:val="clear" w:color="auto" w:fill="FFFFFF"/>
            <w:tcBorders>
              <w:left w:val="single" w:sz="4"/>
              <w:right w:val="single" w:sz="4"/>
              <w:top w:val="single" w:sz="4"/>
              <w:bottom w:val="single" w:sz="4"/>
            </w:tcBorders>
            <w:vAlign w:val="bottom"/>
          </w:tcPr>
          <w:p>
            <w:pPr>
              <w:pStyle w:val="Style8"/>
              <w:framePr w:w="8381" w:h="619" w:wrap="around" w:vAnchor="page" w:hAnchor="page" w:x="1270" w:y="7944"/>
              <w:widowControl w:val="0"/>
              <w:keepNext w:val="0"/>
              <w:keepLines w:val="0"/>
              <w:shd w:val="clear" w:color="auto" w:fill="auto"/>
              <w:bidi w:val="0"/>
              <w:spacing w:before="0" w:after="0" w:line="130" w:lineRule="exact"/>
              <w:ind w:left="0" w:right="0" w:firstLine="0"/>
            </w:pPr>
            <w:r>
              <w:rPr>
                <w:rStyle w:val="CharStyle14"/>
              </w:rPr>
              <w:t>18 % + čtvrtletní bonus</w:t>
            </w:r>
          </w:p>
        </w:tc>
      </w:tr>
    </w:tbl>
    <w:p>
      <w:pPr>
        <w:pStyle w:val="Style15"/>
        <w:framePr w:w="11698" w:h="825" w:hRule="exact" w:wrap="around" w:vAnchor="page" w:hAnchor="page" w:x="3" w:y="8568"/>
        <w:tabs>
          <w:tab w:leader="none" w:pos="2451" w:val="right"/>
          <w:tab w:leader="none" w:pos="2586" w:val="center"/>
          <w:tab w:leader="none" w:pos="3109" w:val="right"/>
          <w:tab w:leader="none" w:pos="3790" w:val="right"/>
          <w:tab w:leader="none" w:pos="3872" w:val="center"/>
          <w:tab w:leader="none" w:pos="3949" w:val="left"/>
        </w:tabs>
        <w:widowControl w:val="0"/>
        <w:keepNext w:val="0"/>
        <w:keepLines w:val="0"/>
        <w:shd w:val="clear" w:color="auto" w:fill="auto"/>
        <w:bidi w:val="0"/>
        <w:spacing w:before="0" w:after="0"/>
        <w:ind w:left="1280" w:right="0" w:firstLine="0"/>
      </w:pPr>
      <w:r>
        <w:rPr>
          <w:lang w:val="cs-CZ" w:eastAsia="cs-CZ" w:bidi="cs-CZ"/>
          <w:w w:val="100"/>
          <w:color w:val="000000"/>
          <w:position w:val="0"/>
        </w:rPr>
        <w:t>(výše uvedené limitní částky jsou bez DPH)</w:t>
      </w:r>
    </w:p>
    <w:p>
      <w:pPr>
        <w:pStyle w:val="Style6"/>
        <w:numPr>
          <w:ilvl w:val="0"/>
          <w:numId w:val="1"/>
        </w:numPr>
        <w:framePr w:w="11698" w:h="825" w:hRule="exact" w:wrap="around" w:vAnchor="page" w:hAnchor="page" w:x="3" w:y="8568"/>
        <w:tabs>
          <w:tab w:leader="none" w:pos="1751" w:val="right"/>
          <w:tab w:leader="none" w:pos="1948" w:val="center"/>
          <w:tab w:leader="none" w:pos="3287" w:val="center"/>
          <w:tab w:leader="none" w:pos="3090" w:val="right"/>
          <w:tab w:leader="none" w:pos="3172" w:val="center"/>
          <w:tab w:leader="none" w:pos="3393" w:val="left"/>
          <w:tab w:leader="none" w:pos="1293" w:val="left"/>
        </w:tabs>
        <w:widowControl w:val="0"/>
        <w:keepNext w:val="0"/>
        <w:keepLines w:val="0"/>
        <w:shd w:val="clear" w:color="auto" w:fill="auto"/>
        <w:bidi w:val="0"/>
        <w:jc w:val="both"/>
        <w:spacing w:before="0" w:after="0" w:line="384" w:lineRule="exact"/>
        <w:ind w:left="580" w:right="0" w:firstLine="0"/>
      </w:pPr>
      <w:bookmarkStart w:id="4" w:name="bookmark4"/>
      <w:r>
        <w:rPr>
          <w:lang w:val="cs-CZ" w:eastAsia="cs-CZ" w:bidi="cs-CZ"/>
          <w:w w:val="100"/>
          <w:color w:val="000000"/>
          <w:position w:val="0"/>
        </w:rPr>
        <w:t>Platba</w:t>
        <w:tab/>
        <w:t>za</w:t>
        <w:tab/>
        <w:t>zboží</w:t>
        <w:tab/>
        <w:t>fakturou</w:t>
        <w:tab/>
        <w:t>-</w:t>
        <w:tab/>
        <w:t>předem, v hotovosti nebo se splatností 5 dní</w:t>
      </w:r>
      <w:bookmarkEnd w:id="4"/>
    </w:p>
    <w:p>
      <w:pPr>
        <w:pStyle w:val="Style11"/>
        <w:framePr w:wrap="around" w:vAnchor="page" w:hAnchor="page" w:x="1352" w:y="9739"/>
        <w:tabs>
          <w:tab w:leader="underscore" w:pos="3480" w:val="right"/>
          <w:tab w:leader="none" w:pos="4286" w:val="right"/>
          <w:tab w:leader="none" w:pos="4699" w:val="right"/>
          <w:tab w:leader="none" w:pos="4896" w:val="right"/>
          <w:tab w:leader="none" w:pos="5784" w:val="right"/>
          <w:tab w:leader="none" w:pos="6029" w:val="right"/>
          <w:tab w:leader="underscore" w:pos="7248" w:val="right"/>
          <w:tab w:leader="none" w:pos="7666" w:val="right"/>
        </w:tabs>
        <w:widowControl w:val="0"/>
        <w:keepNext w:val="0"/>
        <w:keepLines w:val="0"/>
        <w:shd w:val="clear" w:color="auto" w:fill="auto"/>
        <w:bidi w:val="0"/>
        <w:spacing w:before="0" w:after="0" w:line="130" w:lineRule="exact"/>
        <w:ind w:left="0" w:right="0" w:firstLine="0"/>
      </w:pPr>
      <w:r>
        <w:rPr>
          <w:rStyle w:val="CharStyle13"/>
          <w:b/>
          <w:bCs/>
        </w:rPr>
        <w:t>Cenové zvýhodnění vyplývající z prodeje</w:t>
      </w:r>
      <w:r>
        <w:rPr>
          <w:lang w:val="cs-CZ" w:eastAsia="cs-CZ" w:bidi="cs-CZ"/>
          <w:w w:val="100"/>
          <w:color w:val="000000"/>
          <w:position w:val="0"/>
        </w:rPr>
        <w:tab/>
      </w:r>
      <w:r>
        <w:rPr>
          <w:rStyle w:val="CharStyle13"/>
          <w:b/>
          <w:bCs/>
        </w:rPr>
        <w:t>|</w:t>
        <w:tab/>
        <w:t>Základní</w:t>
        <w:tab/>
        <w:t>rabat</w:t>
        <w:tab/>
        <w:t>|</w:t>
        <w:tab/>
        <w:t>Navýšení</w:t>
        <w:tab/>
        <w:t>|</w:t>
      </w:r>
      <w:r>
        <w:rPr>
          <w:lang w:val="cs-CZ" w:eastAsia="cs-CZ" w:bidi="cs-CZ"/>
          <w:w w:val="100"/>
          <w:color w:val="000000"/>
          <w:position w:val="0"/>
        </w:rPr>
        <w:tab/>
      </w:r>
      <w:r>
        <w:rPr>
          <w:rStyle w:val="CharStyle13"/>
          <w:b/>
          <w:bCs/>
        </w:rPr>
        <w:t>Celkový</w:t>
        <w:tab/>
        <w:t>rabat</w:t>
      </w:r>
    </w:p>
    <w:tbl>
      <w:tblPr>
        <w:tblOverlap w:val="never"/>
        <w:tblLayout w:type="fixed"/>
        <w:jc w:val="left"/>
      </w:tblPr>
      <w:tblGrid>
        <w:gridCol w:w="3552"/>
        <w:gridCol w:w="1416"/>
        <w:gridCol w:w="1133"/>
        <w:gridCol w:w="2280"/>
      </w:tblGrid>
      <w:tr>
        <w:trPr>
          <w:trHeight w:val="206" w:hRule="exact"/>
        </w:trPr>
        <w:tc>
          <w:tcPr>
            <w:shd w:val="clear" w:color="auto" w:fill="FFFFFF"/>
            <w:tcBorders>
              <w:left w:val="single" w:sz="4"/>
              <w:top w:val="single" w:sz="4"/>
            </w:tcBorders>
            <w:vAlign w:val="bottom"/>
          </w:tcPr>
          <w:p>
            <w:pPr>
              <w:pStyle w:val="Style8"/>
              <w:framePr w:w="8381" w:h="619" w:wrap="around" w:vAnchor="page" w:hAnchor="page" w:x="1270" w:y="10123"/>
              <w:widowControl w:val="0"/>
              <w:keepNext w:val="0"/>
              <w:keepLines w:val="0"/>
              <w:shd w:val="clear" w:color="auto" w:fill="auto"/>
              <w:bidi w:val="0"/>
              <w:jc w:val="left"/>
              <w:spacing w:before="0" w:after="0" w:line="130" w:lineRule="exact"/>
              <w:ind w:left="80" w:right="0" w:firstLine="0"/>
            </w:pPr>
            <w:r>
              <w:rPr>
                <w:rStyle w:val="CharStyle14"/>
              </w:rPr>
              <w:t>Jednorázová objednávka zboží nad 10 000,- Kč</w:t>
            </w:r>
          </w:p>
        </w:tc>
        <w:tc>
          <w:tcPr>
            <w:shd w:val="clear" w:color="auto" w:fill="FFFFFF"/>
            <w:tcBorders>
              <w:left w:val="single" w:sz="4"/>
              <w:top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17 %</w:t>
            </w:r>
          </w:p>
        </w:tc>
        <w:tc>
          <w:tcPr>
            <w:shd w:val="clear" w:color="auto" w:fill="FFFFFF"/>
            <w:tcBorders>
              <w:left w:val="single" w:sz="4"/>
              <w:top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+ 1 %</w:t>
            </w:r>
          </w:p>
        </w:tc>
        <w:tc>
          <w:tcPr>
            <w:shd w:val="clear" w:color="auto" w:fill="FFFFFF"/>
            <w:tcBorders>
              <w:left w:val="single" w:sz="4"/>
              <w:right w:val="single" w:sz="4"/>
              <w:top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18 % + čtvrtletní bonus</w:t>
            </w:r>
          </w:p>
        </w:tc>
      </w:tr>
      <w:tr>
        <w:trPr>
          <w:trHeight w:val="202" w:hRule="exact"/>
        </w:trPr>
        <w:tc>
          <w:tcPr>
            <w:shd w:val="clear" w:color="auto" w:fill="FFFFFF"/>
            <w:tcBorders>
              <w:left w:val="single" w:sz="4"/>
              <w:top w:val="single" w:sz="4"/>
            </w:tcBorders>
            <w:vAlign w:val="bottom"/>
          </w:tcPr>
          <w:p>
            <w:pPr>
              <w:pStyle w:val="Style8"/>
              <w:framePr w:w="8381" w:h="619" w:wrap="around" w:vAnchor="page" w:hAnchor="page" w:x="1270" w:y="10123"/>
              <w:widowControl w:val="0"/>
              <w:keepNext w:val="0"/>
              <w:keepLines w:val="0"/>
              <w:shd w:val="clear" w:color="auto" w:fill="auto"/>
              <w:bidi w:val="0"/>
              <w:jc w:val="left"/>
              <w:spacing w:before="0" w:after="0" w:line="130" w:lineRule="exact"/>
              <w:ind w:left="80" w:right="0" w:firstLine="0"/>
            </w:pPr>
            <w:r>
              <w:rPr>
                <w:rStyle w:val="CharStyle14"/>
              </w:rPr>
              <w:t>Jednorázová objednávka zboží nad 25 000,- Kč</w:t>
            </w:r>
          </w:p>
        </w:tc>
        <w:tc>
          <w:tcPr>
            <w:shd w:val="clear" w:color="auto" w:fill="FFFFFF"/>
            <w:tcBorders>
              <w:left w:val="single" w:sz="4"/>
              <w:top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17 %</w:t>
            </w:r>
          </w:p>
        </w:tc>
        <w:tc>
          <w:tcPr>
            <w:shd w:val="clear" w:color="auto" w:fill="FFFFFF"/>
            <w:tcBorders>
              <w:left w:val="single" w:sz="4"/>
              <w:top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+ 2 %</w:t>
            </w:r>
          </w:p>
        </w:tc>
        <w:tc>
          <w:tcPr>
            <w:shd w:val="clear" w:color="auto" w:fill="FFFFFF"/>
            <w:tcBorders>
              <w:left w:val="single" w:sz="4"/>
              <w:right w:val="single" w:sz="4"/>
              <w:top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19 % + čtvrtletní bonus</w:t>
            </w:r>
          </w:p>
        </w:tc>
      </w:tr>
      <w:tr>
        <w:trPr>
          <w:trHeight w:val="211" w:hRule="exact"/>
        </w:trPr>
        <w:tc>
          <w:tcPr>
            <w:shd w:val="clear" w:color="auto" w:fill="FFFFFF"/>
            <w:tcBorders>
              <w:left w:val="single" w:sz="4"/>
              <w:top w:val="single" w:sz="4"/>
              <w:bottom w:val="single" w:sz="4"/>
            </w:tcBorders>
            <w:vAlign w:val="bottom"/>
          </w:tcPr>
          <w:p>
            <w:pPr>
              <w:pStyle w:val="Style8"/>
              <w:framePr w:w="8381" w:h="619" w:wrap="around" w:vAnchor="page" w:hAnchor="page" w:x="1270" w:y="10123"/>
              <w:widowControl w:val="0"/>
              <w:keepNext w:val="0"/>
              <w:keepLines w:val="0"/>
              <w:shd w:val="clear" w:color="auto" w:fill="auto"/>
              <w:bidi w:val="0"/>
              <w:jc w:val="left"/>
              <w:spacing w:before="0" w:after="0" w:line="130" w:lineRule="exact"/>
              <w:ind w:left="80" w:right="0" w:firstLine="0"/>
            </w:pPr>
            <w:r>
              <w:rPr>
                <w:rStyle w:val="CharStyle14"/>
              </w:rPr>
              <w:t>Jednorázová objednávka zboží nad 50 000,- Kč</w:t>
            </w:r>
          </w:p>
        </w:tc>
        <w:tc>
          <w:tcPr>
            <w:shd w:val="clear" w:color="auto" w:fill="FFFFFF"/>
            <w:tcBorders>
              <w:left w:val="single" w:sz="4"/>
              <w:top w:val="single" w:sz="4"/>
              <w:bottom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17 %</w:t>
            </w:r>
          </w:p>
        </w:tc>
        <w:tc>
          <w:tcPr>
            <w:shd w:val="clear" w:color="auto" w:fill="FFFFFF"/>
            <w:tcBorders>
              <w:left w:val="single" w:sz="4"/>
              <w:top w:val="single" w:sz="4"/>
              <w:bottom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+ 3 %</w:t>
            </w:r>
          </w:p>
        </w:tc>
        <w:tc>
          <w:tcPr>
            <w:shd w:val="clear" w:color="auto" w:fill="FFFFFF"/>
            <w:tcBorders>
              <w:left w:val="single" w:sz="4"/>
              <w:right w:val="single" w:sz="4"/>
              <w:top w:val="single" w:sz="4"/>
              <w:bottom w:val="single" w:sz="4"/>
            </w:tcBorders>
            <w:vAlign w:val="bottom"/>
          </w:tcPr>
          <w:p>
            <w:pPr>
              <w:pStyle w:val="Style8"/>
              <w:framePr w:w="8381" w:h="619" w:wrap="around" w:vAnchor="page" w:hAnchor="page" w:x="1270" w:y="10123"/>
              <w:widowControl w:val="0"/>
              <w:keepNext w:val="0"/>
              <w:keepLines w:val="0"/>
              <w:shd w:val="clear" w:color="auto" w:fill="auto"/>
              <w:bidi w:val="0"/>
              <w:spacing w:before="0" w:after="0" w:line="130" w:lineRule="exact"/>
              <w:ind w:left="0" w:right="0" w:firstLine="0"/>
            </w:pPr>
            <w:r>
              <w:rPr>
                <w:rStyle w:val="CharStyle14"/>
              </w:rPr>
              <w:t>20 % + čtvrtletní bonus</w:t>
            </w:r>
          </w:p>
        </w:tc>
      </w:tr>
    </w:tbl>
    <w:p>
      <w:pPr>
        <w:pStyle w:val="Style17"/>
        <w:framePr w:wrap="around" w:vAnchor="page" w:hAnchor="page" w:x="1299" w:y="10944"/>
        <w:widowControl w:val="0"/>
        <w:keepNext w:val="0"/>
        <w:keepLines w:val="0"/>
        <w:shd w:val="clear" w:color="auto" w:fill="auto"/>
        <w:bidi w:val="0"/>
        <w:jc w:val="left"/>
        <w:spacing w:before="0" w:after="0" w:line="120" w:lineRule="exact"/>
        <w:ind w:left="0" w:right="0" w:firstLine="0"/>
      </w:pPr>
      <w:r>
        <w:rPr>
          <w:lang w:val="cs-CZ" w:eastAsia="cs-CZ" w:bidi="cs-CZ"/>
          <w:w w:val="100"/>
          <w:color w:val="000000"/>
          <w:position w:val="0"/>
        </w:rPr>
        <w:t>(výše uvedené limitní částky jsou bez DPH)</w:t>
      </w:r>
    </w:p>
    <w:tbl>
      <w:tblPr>
        <w:tblOverlap w:val="never"/>
        <w:tblLayout w:type="fixed"/>
        <w:jc w:val="left"/>
      </w:tblPr>
      <w:tblGrid>
        <w:gridCol w:w="3134"/>
        <w:gridCol w:w="1334"/>
      </w:tblGrid>
      <w:tr>
        <w:trPr>
          <w:trHeight w:val="211" w:hRule="exact"/>
        </w:trPr>
        <w:tc>
          <w:tcPr>
            <w:shd w:val="clear" w:color="auto" w:fill="FFFFFF"/>
            <w:tcBorders>
              <w:top w:val="single" w:sz="4"/>
            </w:tcBorders>
            <w:vAlign w:val="top"/>
          </w:tcPr>
          <w:p>
            <w:pPr>
              <w:pStyle w:val="Style8"/>
              <w:framePr w:w="4469" w:h="624" w:wrap="around" w:vAnchor="page" w:hAnchor="page" w:x="1241" w:y="11511"/>
              <w:widowControl w:val="0"/>
              <w:keepNext w:val="0"/>
              <w:keepLines w:val="0"/>
              <w:shd w:val="clear" w:color="auto" w:fill="auto"/>
              <w:bidi w:val="0"/>
              <w:jc w:val="left"/>
              <w:spacing w:before="0" w:after="0" w:line="130" w:lineRule="exact"/>
              <w:ind w:left="20" w:right="0" w:firstLine="0"/>
            </w:pPr>
            <w:r>
              <w:rPr>
                <w:rStyle w:val="CharStyle19"/>
              </w:rPr>
              <w:t>| Další cenové zvýhodnění</w:t>
            </w:r>
          </w:p>
        </w:tc>
        <w:tc>
          <w:tcPr>
            <w:shd w:val="clear" w:color="auto" w:fill="FFFFFF"/>
            <w:tcBorders>
              <w:top w:val="single" w:sz="4"/>
            </w:tcBorders>
            <w:vAlign w:val="top"/>
          </w:tcPr>
          <w:p>
            <w:pPr>
              <w:pStyle w:val="Style8"/>
              <w:framePr w:w="4469" w:h="624" w:wrap="around" w:vAnchor="page" w:hAnchor="page" w:x="1241" w:y="11511"/>
              <w:widowControl w:val="0"/>
              <w:keepNext w:val="0"/>
              <w:keepLines w:val="0"/>
              <w:shd w:val="clear" w:color="auto" w:fill="auto"/>
              <w:bidi w:val="0"/>
              <w:jc w:val="left"/>
              <w:spacing w:before="0" w:after="0" w:line="130" w:lineRule="exact"/>
              <w:ind w:left="160" w:right="0" w:firstLine="0"/>
            </w:pPr>
            <w:r>
              <w:rPr>
                <w:rStyle w:val="CharStyle19"/>
              </w:rPr>
              <w:t>| Navýšení |</w:t>
            </w:r>
          </w:p>
        </w:tc>
      </w:tr>
      <w:tr>
        <w:trPr>
          <w:trHeight w:val="202" w:hRule="exact"/>
        </w:trPr>
        <w:tc>
          <w:tcPr>
            <w:shd w:val="clear" w:color="auto" w:fill="FFFFFF"/>
            <w:gridSpan w:val="2"/>
            <w:tcBorders>
              <w:top w:val="single" w:sz="4"/>
            </w:tcBorders>
            <w:vAlign w:val="top"/>
          </w:tcPr>
          <w:p>
            <w:pPr>
              <w:framePr w:w="4469" w:h="624" w:wrap="around" w:vAnchor="page" w:hAnchor="page" w:x="1241" w:y="11511"/>
              <w:widowControl w:val="0"/>
              <w:rPr>
                <w:sz w:val="10"/>
                <w:szCs w:val="10"/>
              </w:rPr>
            </w:pPr>
          </w:p>
        </w:tc>
      </w:tr>
      <w:tr>
        <w:trPr>
          <w:trHeight w:val="211" w:hRule="exact"/>
        </w:trPr>
        <w:tc>
          <w:tcPr>
            <w:shd w:val="clear" w:color="auto" w:fill="FFFFFF"/>
            <w:tcBorders>
              <w:top w:val="single" w:sz="4"/>
              <w:bottom w:val="single" w:sz="4"/>
            </w:tcBorders>
            <w:vAlign w:val="bottom"/>
          </w:tcPr>
          <w:p>
            <w:pPr>
              <w:pStyle w:val="Style8"/>
              <w:framePr w:w="4469" w:h="624" w:wrap="around" w:vAnchor="page" w:hAnchor="page" w:x="1241" w:y="11511"/>
              <w:widowControl w:val="0"/>
              <w:keepNext w:val="0"/>
              <w:keepLines w:val="0"/>
              <w:shd w:val="clear" w:color="auto" w:fill="auto"/>
              <w:bidi w:val="0"/>
              <w:jc w:val="left"/>
              <w:spacing w:before="0" w:after="0" w:line="130" w:lineRule="exact"/>
              <w:ind w:left="20" w:right="0" w:firstLine="0"/>
            </w:pPr>
            <w:r>
              <w:rPr>
                <w:rStyle w:val="CharStyle14"/>
              </w:rPr>
              <w:t>| Využití vlastní dopravy při odběru zboží</w:t>
            </w:r>
          </w:p>
        </w:tc>
        <w:tc>
          <w:tcPr>
            <w:shd w:val="clear" w:color="auto" w:fill="FFFFFF"/>
            <w:tcBorders>
              <w:top w:val="single" w:sz="4"/>
              <w:bottom w:val="single" w:sz="4"/>
            </w:tcBorders>
            <w:vAlign w:val="bottom"/>
          </w:tcPr>
          <w:p>
            <w:pPr>
              <w:pStyle w:val="Style8"/>
              <w:framePr w:w="4469" w:h="624" w:wrap="around" w:vAnchor="page" w:hAnchor="page" w:x="1241" w:y="11511"/>
              <w:widowControl w:val="0"/>
              <w:keepNext w:val="0"/>
              <w:keepLines w:val="0"/>
              <w:shd w:val="clear" w:color="auto" w:fill="auto"/>
              <w:bidi w:val="0"/>
              <w:jc w:val="left"/>
              <w:spacing w:before="0" w:after="0" w:line="130" w:lineRule="exact"/>
              <w:ind w:left="160" w:right="0" w:firstLine="0"/>
            </w:pPr>
            <w:r>
              <w:rPr>
                <w:rStyle w:val="CharStyle14"/>
              </w:rPr>
              <w:t>1 2 % |</w:t>
            </w:r>
          </w:p>
        </w:tc>
      </w:tr>
    </w:tbl>
    <w:p>
      <w:pPr>
        <w:pStyle w:val="Style8"/>
        <w:framePr w:wrap="around" w:vAnchor="page" w:hAnchor="page" w:x="3" w:y="12528"/>
        <w:widowControl w:val="0"/>
        <w:keepNext w:val="0"/>
        <w:keepLines w:val="0"/>
        <w:shd w:val="clear" w:color="auto" w:fill="auto"/>
        <w:bidi w:val="0"/>
        <w:jc w:val="both"/>
        <w:spacing w:before="0" w:after="0" w:line="130" w:lineRule="exact"/>
        <w:ind w:left="1280" w:right="0" w:firstLine="0"/>
      </w:pPr>
      <w:r>
        <w:rPr>
          <w:lang w:val="cs-CZ" w:eastAsia="cs-CZ" w:bidi="cs-CZ"/>
          <w:w w:val="100"/>
          <w:color w:val="000000"/>
          <w:position w:val="0"/>
        </w:rPr>
        <w:t>Expediční náklady (dopravné, balné) : Náklady spojené s expedicí zboží nejsou Prodejci účtovány.</w:t>
      </w:r>
    </w:p>
    <w:p>
      <w:pPr>
        <w:framePr w:wrap="none" w:vAnchor="page" w:hAnchor="page" w:x="3" w:y="15163"/>
        <w:widowControl w:val="0"/>
        <w:rPr>
          <w:sz w:val="2"/>
          <w:szCs w:val="2"/>
        </w:rPr>
      </w:pPr>
      <w:r>
        <w:pict>
          <v:shape id="_x0000_s1027" type="#_x0000_t75" style="width:595pt;height:84pt;">
            <v:imagedata r:id="rId7" r:href="rId8"/>
          </v:shape>
        </w:pict>
      </w:r>
    </w:p>
    <w:p>
      <w:pPr>
        <w:widowControl w:val="0"/>
        <w:rPr>
          <w:sz w:val="2"/>
          <w:szCs w:val="2"/>
        </w:rPr>
        <w:sectPr>
          <w:footnotePr>
            <w:pos w:val="pageBottom"/>
            <w:numFmt w:val="decimal"/>
            <w:numRestart w:val="continuous"/>
          </w:footnotePr>
          <w:pgSz w:w="11909" w:h="16838"/>
          <w:pgMar w:top="0" w:left="0" w:right="0" w:bottom="0" w:header="0" w:footer="3" w:gutter="0"/>
          <w:rtlGutter w:val="0"/>
          <w:cols w:space="720"/>
          <w:noEndnote/>
          <w:docGrid w:linePitch="360"/>
        </w:sectPr>
      </w:pPr>
    </w:p>
    <w:p>
      <w:pPr>
        <w:widowControl w:val="0"/>
        <w:rPr>
          <w:sz w:val="2"/>
          <w:szCs w:val="2"/>
        </w:rPr>
      </w:pPr>
      <w:r>
        <w:pict>
          <v:shape o:spt="32" o:oned="1" path="m,l21600,21600e" style="position:absolute;margin-left:141.45pt;margin-top:234.9pt;width:291.35pt;height:0;z-index:-251658240;mso-position-horizontal-relative:page;mso-position-vertical-relative:page">
            <v:stroke weight="0.7pt"/>
          </v:shape>
        </w:pict>
      </w:r>
      <w:r>
        <w:pict>
          <v:shape o:spt="32" o:oned="1" path="m,l21600,21600e" style="position:absolute;margin-left:141.45pt;margin-top:245.5pt;width:291.35pt;height:0;z-index:-251658240;mso-position-horizontal-relative:page;mso-position-vertical-relative:page">
            <v:stroke weight="0.5pt"/>
          </v:shape>
        </w:pict>
      </w:r>
    </w:p>
    <w:p>
      <w:pPr>
        <w:framePr w:wrap="none" w:vAnchor="page" w:hAnchor="page" w:x="3" w:y="5"/>
        <w:widowControl w:val="0"/>
        <w:rPr>
          <w:sz w:val="2"/>
          <w:szCs w:val="2"/>
        </w:rPr>
      </w:pPr>
      <w:r>
        <w:pict>
          <v:shape id="_x0000_s1028" type="#_x0000_t75" style="width:595pt;height:88pt;">
            <v:imagedata r:id="rId9" r:href="rId10"/>
          </v:shape>
        </w:pict>
      </w:r>
    </w:p>
    <w:p>
      <w:pPr>
        <w:pStyle w:val="Style20"/>
        <w:framePr w:w="11904" w:h="2126" w:hRule="exact" w:wrap="around" w:vAnchor="page" w:hAnchor="page" w:x="3" w:y="2395"/>
        <w:widowControl w:val="0"/>
        <w:keepNext w:val="0"/>
        <w:keepLines w:val="0"/>
        <w:shd w:val="clear" w:color="auto" w:fill="auto"/>
        <w:bidi w:val="0"/>
        <w:jc w:val="left"/>
        <w:spacing w:before="0" w:after="175" w:line="130" w:lineRule="exact"/>
        <w:ind w:left="580" w:right="0" w:firstLine="0"/>
      </w:pPr>
      <w:r>
        <w:rPr>
          <w:lang w:val="cs-CZ" w:eastAsia="cs-CZ" w:bidi="cs-CZ"/>
          <w:w w:val="100"/>
          <w:color w:val="000000"/>
          <w:position w:val="0"/>
        </w:rPr>
        <w:t>ČTVRTLETNÍ ÚROVEŇ PRODEJE</w:t>
      </w:r>
    </w:p>
    <w:p>
      <w:pPr>
        <w:pStyle w:val="Style8"/>
        <w:framePr w:w="11904" w:h="2126" w:hRule="exact" w:wrap="around" w:vAnchor="page" w:hAnchor="page" w:x="3" w:y="2395"/>
        <w:widowControl w:val="0"/>
        <w:keepNext w:val="0"/>
        <w:keepLines w:val="0"/>
        <w:shd w:val="clear" w:color="auto" w:fill="auto"/>
        <w:bidi w:val="0"/>
        <w:jc w:val="left"/>
        <w:spacing w:before="0" w:after="0"/>
        <w:ind w:left="580" w:right="560" w:firstLine="0"/>
      </w:pPr>
      <w:r>
        <w:rPr>
          <w:lang w:val="cs-CZ" w:eastAsia="cs-CZ" w:bidi="cs-CZ"/>
          <w:w w:val="100"/>
          <w:color w:val="000000"/>
          <w:position w:val="0"/>
        </w:rPr>
        <w:t xml:space="preserve">Při vyhodnocování prodeje bude dále u každého Prodejce dlouhodobě (čtvrtletně) sledována úroveň prodeje a na tomto základě bude Prodejci přiznán tzv. </w:t>
      </w:r>
      <w:r>
        <w:rPr>
          <w:rStyle w:val="CharStyle10"/>
        </w:rPr>
        <w:t xml:space="preserve">čtvrtletní bonus </w:t>
      </w:r>
      <w:r>
        <w:rPr>
          <w:lang w:val="cs-CZ" w:eastAsia="cs-CZ" w:bidi="cs-CZ"/>
          <w:w w:val="100"/>
          <w:color w:val="000000"/>
          <w:position w:val="0"/>
        </w:rPr>
        <w:t>(Tabulka č. 1).</w:t>
      </w:r>
    </w:p>
    <w:p>
      <w:pPr>
        <w:pStyle w:val="Style8"/>
        <w:framePr w:w="11904" w:h="2126" w:hRule="exact" w:wrap="around" w:vAnchor="page" w:hAnchor="page" w:x="3" w:y="2395"/>
        <w:widowControl w:val="0"/>
        <w:keepNext w:val="0"/>
        <w:keepLines w:val="0"/>
        <w:shd w:val="clear" w:color="auto" w:fill="auto"/>
        <w:bidi w:val="0"/>
        <w:jc w:val="left"/>
        <w:spacing w:before="0" w:after="0"/>
        <w:ind w:left="580" w:right="0" w:firstLine="0"/>
      </w:pPr>
      <w:r>
        <w:rPr>
          <w:lang w:val="cs-CZ" w:eastAsia="cs-CZ" w:bidi="cs-CZ"/>
          <w:w w:val="100"/>
          <w:color w:val="000000"/>
          <w:position w:val="0"/>
        </w:rPr>
        <w:t>Bonus je výrazem ocenění dodržování sjednaných Obchodních a platebních podmínek, ve kterých je nasmlouván základní rabat a splatnost.</w:t>
      </w:r>
    </w:p>
    <w:p>
      <w:pPr>
        <w:pStyle w:val="Style8"/>
        <w:framePr w:w="11904" w:h="2126" w:hRule="exact" w:wrap="around" w:vAnchor="page" w:hAnchor="page" w:x="3" w:y="2395"/>
        <w:widowControl w:val="0"/>
        <w:keepNext w:val="0"/>
        <w:keepLines w:val="0"/>
        <w:shd w:val="clear" w:color="auto" w:fill="auto"/>
        <w:bidi w:val="0"/>
        <w:jc w:val="left"/>
        <w:spacing w:before="0" w:after="0"/>
        <w:ind w:left="580" w:right="560" w:firstLine="0"/>
      </w:pPr>
      <w:r>
        <w:rPr>
          <w:lang w:val="cs-CZ" w:eastAsia="cs-CZ" w:bidi="cs-CZ"/>
          <w:w w:val="100"/>
          <w:color w:val="000000"/>
          <w:position w:val="0"/>
        </w:rPr>
        <w:t>Konečná výše přiznaného bonusu závisí na dosažené úrovni prodeje a plnění platebních podmínek za sledované období (čtvrtletí), za které je bonus vyplácen. Dosažená úroveň prodeje je výše čistého obratu (bez DPH). Plnění platebních podmínek je vyjádřeno tzv. platební praxí (viz tabulka č. 2a, Tabulka č. 2b).</w:t>
      </w:r>
    </w:p>
    <w:p>
      <w:pPr>
        <w:pStyle w:val="Style8"/>
        <w:framePr w:w="11904" w:h="2126" w:hRule="exact" w:wrap="around" w:vAnchor="page" w:hAnchor="page" w:x="3" w:y="2395"/>
        <w:widowControl w:val="0"/>
        <w:keepNext w:val="0"/>
        <w:keepLines w:val="0"/>
        <w:shd w:val="clear" w:color="auto" w:fill="auto"/>
        <w:bidi w:val="0"/>
        <w:jc w:val="left"/>
        <w:spacing w:before="0" w:after="0"/>
        <w:ind w:left="580" w:right="560" w:firstLine="0"/>
      </w:pPr>
      <w:r>
        <w:rPr>
          <w:lang w:val="cs-CZ" w:eastAsia="cs-CZ" w:bidi="cs-CZ"/>
          <w:w w:val="100"/>
          <w:color w:val="000000"/>
          <w:position w:val="0"/>
        </w:rPr>
        <w:t>Platební praxe zákazníka se vypočítává jako vážený aritmetický průměr dnů prodlení za sledované období, kde váhami jsou částky v prodlení. Výsledek se vypočte na 2 desetinná místa a zaokrouhlí podle standardních pravidel na celé číslo.</w:t>
      </w:r>
    </w:p>
    <w:p>
      <w:pPr>
        <w:pStyle w:val="Style8"/>
        <w:framePr w:w="11904" w:h="2126" w:hRule="exact" w:wrap="around" w:vAnchor="page" w:hAnchor="page" w:x="3" w:y="2395"/>
        <w:widowControl w:val="0"/>
        <w:keepNext w:val="0"/>
        <w:keepLines w:val="0"/>
        <w:shd w:val="clear" w:color="auto" w:fill="auto"/>
        <w:bidi w:val="0"/>
        <w:jc w:val="left"/>
        <w:spacing w:before="0" w:after="0"/>
        <w:ind w:left="580" w:right="560" w:firstLine="0"/>
      </w:pPr>
      <w:r>
        <w:rPr>
          <w:lang w:val="cs-CZ" w:eastAsia="cs-CZ" w:bidi="cs-CZ"/>
          <w:w w:val="100"/>
          <w:color w:val="000000"/>
          <w:position w:val="0"/>
        </w:rPr>
        <w:t>Po přiznání čtvrtletního bonusu bude tento bonus Prodejci vyplácen čtvrtletně za předpokladu, že budou splněny veškeré smluvní podmínky mezi společností DMA Praha a Prodejcem.</w:t>
      </w:r>
    </w:p>
    <w:p>
      <w:pPr>
        <w:pStyle w:val="Style22"/>
        <w:framePr w:wrap="around" w:vAnchor="page" w:hAnchor="page" w:x="502" w:y="4709"/>
        <w:widowControl w:val="0"/>
        <w:keepNext w:val="0"/>
        <w:keepLines w:val="0"/>
        <w:shd w:val="clear" w:color="auto" w:fill="auto"/>
        <w:bidi w:val="0"/>
        <w:jc w:val="left"/>
        <w:spacing w:before="0" w:after="0" w:line="140" w:lineRule="exact"/>
        <w:ind w:left="0" w:right="0" w:firstLine="0"/>
      </w:pPr>
      <w:r>
        <w:rPr>
          <w:lang w:val="cs-CZ" w:eastAsia="cs-CZ" w:bidi="cs-CZ"/>
          <w:w w:val="100"/>
          <w:color w:val="000000"/>
          <w:position w:val="0"/>
        </w:rPr>
        <w:t>Tabulka č.1</w:t>
      </w:r>
    </w:p>
    <w:p>
      <w:pPr>
        <w:pStyle w:val="Style20"/>
        <w:framePr w:wrap="around" w:vAnchor="page" w:hAnchor="page" w:x="3416" w:y="4738"/>
        <w:widowControl w:val="0"/>
        <w:keepNext w:val="0"/>
        <w:keepLines w:val="0"/>
        <w:shd w:val="clear" w:color="auto" w:fill="auto"/>
        <w:bidi w:val="0"/>
        <w:jc w:val="left"/>
        <w:spacing w:before="0" w:after="0" w:line="130" w:lineRule="exact"/>
        <w:ind w:left="0" w:right="0" w:firstLine="0"/>
      </w:pPr>
      <w:r>
        <w:rPr>
          <w:rStyle w:val="CharStyle24"/>
          <w:b/>
          <w:bCs/>
        </w:rPr>
        <w:t>Čtvrtletní úroveň prodeje</w:t>
      </w:r>
    </w:p>
    <w:p>
      <w:pPr>
        <w:pStyle w:val="Style20"/>
        <w:framePr w:wrap="around" w:vAnchor="page" w:hAnchor="page" w:x="6579" w:y="4738"/>
        <w:widowControl w:val="0"/>
        <w:keepNext w:val="0"/>
        <w:keepLines w:val="0"/>
        <w:shd w:val="clear" w:color="auto" w:fill="auto"/>
        <w:bidi w:val="0"/>
        <w:jc w:val="left"/>
        <w:spacing w:before="0" w:after="0" w:line="130" w:lineRule="exact"/>
        <w:ind w:left="100" w:right="0" w:firstLine="0"/>
      </w:pPr>
      <w:r>
        <w:rPr>
          <w:lang w:val="cs-CZ" w:eastAsia="cs-CZ" w:bidi="cs-CZ"/>
          <w:w w:val="100"/>
          <w:color w:val="000000"/>
          <w:position w:val="0"/>
        </w:rPr>
        <w:t>Čtvrtletní bonus</w:t>
      </w:r>
    </w:p>
    <w:tbl>
      <w:tblPr>
        <w:tblOverlap w:val="never"/>
        <w:tblLayout w:type="fixed"/>
        <w:jc w:val="left"/>
      </w:tblPr>
      <w:tblGrid>
        <w:gridCol w:w="2981"/>
        <w:gridCol w:w="2846"/>
      </w:tblGrid>
      <w:tr>
        <w:trPr>
          <w:trHeight w:val="206" w:hRule="exact"/>
        </w:trPr>
        <w:tc>
          <w:tcPr>
            <w:shd w:val="clear" w:color="auto" w:fill="FFFFFF"/>
            <w:tcBorders>
              <w:lef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nad 30 000,- Kč</w:t>
            </w:r>
          </w:p>
        </w:tc>
        <w:tc>
          <w:tcPr>
            <w:shd w:val="clear" w:color="auto" w:fill="FFFFFF"/>
            <w:tcBorders>
              <w:left w:val="single" w:sz="4"/>
              <w:righ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3 %</w:t>
            </w:r>
          </w:p>
        </w:tc>
      </w:tr>
      <w:tr>
        <w:trPr>
          <w:trHeight w:val="202" w:hRule="exact"/>
        </w:trPr>
        <w:tc>
          <w:tcPr>
            <w:shd w:val="clear" w:color="auto" w:fill="FFFFFF"/>
            <w:tcBorders>
              <w:lef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nad 50 000,- Kč</w:t>
            </w:r>
          </w:p>
        </w:tc>
        <w:tc>
          <w:tcPr>
            <w:shd w:val="clear" w:color="auto" w:fill="FFFFFF"/>
            <w:tcBorders>
              <w:left w:val="single" w:sz="4"/>
              <w:righ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4 %</w:t>
            </w:r>
          </w:p>
        </w:tc>
      </w:tr>
      <w:tr>
        <w:trPr>
          <w:trHeight w:val="202" w:hRule="exact"/>
        </w:trPr>
        <w:tc>
          <w:tcPr>
            <w:shd w:val="clear" w:color="auto" w:fill="FFFFFF"/>
            <w:tcBorders>
              <w:lef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nad 100 000,- Kč</w:t>
            </w:r>
          </w:p>
        </w:tc>
        <w:tc>
          <w:tcPr>
            <w:shd w:val="clear" w:color="auto" w:fill="FFFFFF"/>
            <w:tcBorders>
              <w:left w:val="single" w:sz="4"/>
              <w:righ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5 %</w:t>
            </w:r>
          </w:p>
        </w:tc>
      </w:tr>
      <w:tr>
        <w:trPr>
          <w:trHeight w:val="202" w:hRule="exact"/>
        </w:trPr>
        <w:tc>
          <w:tcPr>
            <w:shd w:val="clear" w:color="auto" w:fill="FFFFFF"/>
            <w:tcBorders>
              <w:lef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nad 150 000,- Kč</w:t>
            </w:r>
          </w:p>
        </w:tc>
        <w:tc>
          <w:tcPr>
            <w:shd w:val="clear" w:color="auto" w:fill="FFFFFF"/>
            <w:tcBorders>
              <w:left w:val="single" w:sz="4"/>
              <w:righ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6 %</w:t>
            </w:r>
          </w:p>
        </w:tc>
      </w:tr>
      <w:tr>
        <w:trPr>
          <w:trHeight w:val="202" w:hRule="exact"/>
        </w:trPr>
        <w:tc>
          <w:tcPr>
            <w:shd w:val="clear" w:color="auto" w:fill="FFFFFF"/>
            <w:tcBorders>
              <w:lef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nad 200 000,- Kč</w:t>
            </w:r>
          </w:p>
        </w:tc>
        <w:tc>
          <w:tcPr>
            <w:shd w:val="clear" w:color="auto" w:fill="FFFFFF"/>
            <w:tcBorders>
              <w:left w:val="single" w:sz="4"/>
              <w:righ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7 %</w:t>
            </w:r>
          </w:p>
        </w:tc>
      </w:tr>
      <w:tr>
        <w:trPr>
          <w:trHeight w:val="202" w:hRule="exact"/>
        </w:trPr>
        <w:tc>
          <w:tcPr>
            <w:shd w:val="clear" w:color="auto" w:fill="FFFFFF"/>
            <w:tcBorders>
              <w:lef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nad 300 000,- Kč</w:t>
            </w:r>
          </w:p>
        </w:tc>
        <w:tc>
          <w:tcPr>
            <w:shd w:val="clear" w:color="auto" w:fill="FFFFFF"/>
            <w:tcBorders>
              <w:left w:val="single" w:sz="4"/>
              <w:right w:val="single" w:sz="4"/>
              <w:top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8 %</w:t>
            </w:r>
          </w:p>
        </w:tc>
      </w:tr>
      <w:tr>
        <w:trPr>
          <w:trHeight w:val="216" w:hRule="exact"/>
        </w:trPr>
        <w:tc>
          <w:tcPr>
            <w:shd w:val="clear" w:color="auto" w:fill="FFFFFF"/>
            <w:tcBorders>
              <w:left w:val="single" w:sz="4"/>
              <w:top w:val="single" w:sz="4"/>
              <w:bottom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nad 500 000,- Kč</w:t>
            </w:r>
          </w:p>
        </w:tc>
        <w:tc>
          <w:tcPr>
            <w:shd w:val="clear" w:color="auto" w:fill="FFFFFF"/>
            <w:tcBorders>
              <w:left w:val="single" w:sz="4"/>
              <w:right w:val="single" w:sz="4"/>
              <w:top w:val="single" w:sz="4"/>
              <w:bottom w:val="single" w:sz="4"/>
            </w:tcBorders>
            <w:vAlign w:val="bottom"/>
          </w:tcPr>
          <w:p>
            <w:pPr>
              <w:pStyle w:val="Style8"/>
              <w:framePr w:w="5827" w:h="1430" w:wrap="around" w:vAnchor="page" w:hAnchor="page" w:x="2830" w:y="5203"/>
              <w:widowControl w:val="0"/>
              <w:keepNext w:val="0"/>
              <w:keepLines w:val="0"/>
              <w:shd w:val="clear" w:color="auto" w:fill="auto"/>
              <w:bidi w:val="0"/>
              <w:spacing w:before="0" w:after="0" w:line="130" w:lineRule="exact"/>
              <w:ind w:left="0" w:right="0" w:firstLine="0"/>
            </w:pPr>
            <w:r>
              <w:rPr>
                <w:rStyle w:val="CharStyle14"/>
              </w:rPr>
              <w:t>9 %</w:t>
            </w:r>
          </w:p>
        </w:tc>
      </w:tr>
    </w:tbl>
    <w:p>
      <w:pPr>
        <w:pStyle w:val="Style22"/>
        <w:framePr w:wrap="around" w:vAnchor="page" w:hAnchor="page" w:x="502" w:y="7224"/>
        <w:widowControl w:val="0"/>
        <w:keepNext w:val="0"/>
        <w:keepLines w:val="0"/>
        <w:shd w:val="clear" w:color="auto" w:fill="auto"/>
        <w:bidi w:val="0"/>
        <w:jc w:val="left"/>
        <w:spacing w:before="0" w:after="0" w:line="140" w:lineRule="exact"/>
        <w:ind w:left="0" w:right="0" w:firstLine="0"/>
      </w:pPr>
      <w:r>
        <w:rPr>
          <w:lang w:val="cs-CZ" w:eastAsia="cs-CZ" w:bidi="cs-CZ"/>
          <w:w w:val="100"/>
          <w:color w:val="000000"/>
          <w:position w:val="0"/>
        </w:rPr>
        <w:t>Tabulka č. 2a</w:t>
      </w:r>
    </w:p>
    <w:p>
      <w:pPr>
        <w:pStyle w:val="Style15"/>
        <w:framePr w:w="5875" w:h="586" w:hRule="exact" w:wrap="around" w:vAnchor="page" w:hAnchor="page" w:x="2787" w:y="6831"/>
        <w:widowControl w:val="0"/>
        <w:keepNext w:val="0"/>
        <w:keepLines w:val="0"/>
        <w:shd w:val="clear" w:color="auto" w:fill="auto"/>
        <w:bidi w:val="0"/>
        <w:jc w:val="left"/>
        <w:spacing w:before="0" w:after="167" w:line="120" w:lineRule="exact"/>
        <w:ind w:left="40" w:right="0" w:firstLine="0"/>
      </w:pPr>
      <w:r>
        <w:rPr>
          <w:lang w:val="cs-CZ" w:eastAsia="cs-CZ" w:bidi="cs-CZ"/>
          <w:w w:val="100"/>
          <w:color w:val="000000"/>
          <w:position w:val="0"/>
        </w:rPr>
        <w:t>(výše uvedené limitní částky jsou bez DPH)</w:t>
      </w:r>
    </w:p>
    <w:p>
      <w:pPr>
        <w:pStyle w:val="Style20"/>
        <w:framePr w:w="5875" w:h="586" w:hRule="exact" w:wrap="around" w:vAnchor="page" w:hAnchor="page" w:x="2787" w:y="6831"/>
        <w:widowControl w:val="0"/>
        <w:keepNext w:val="0"/>
        <w:keepLines w:val="0"/>
        <w:shd w:val="clear" w:color="auto" w:fill="auto"/>
        <w:bidi w:val="0"/>
        <w:jc w:val="left"/>
        <w:spacing w:before="0" w:after="0" w:line="130" w:lineRule="exact"/>
        <w:ind w:left="120" w:right="0" w:firstLine="0"/>
      </w:pPr>
      <w:r>
        <w:rPr>
          <w:lang w:val="cs-CZ" w:eastAsia="cs-CZ" w:bidi="cs-CZ"/>
          <w:w w:val="100"/>
          <w:color w:val="000000"/>
          <w:position w:val="0"/>
        </w:rPr>
        <w:t>Platba za zboží fakturou - se splatností 21 dní</w:t>
      </w:r>
    </w:p>
    <w:p>
      <w:pPr>
        <w:pStyle w:val="Style22"/>
        <w:framePr w:wrap="around" w:vAnchor="page" w:hAnchor="page" w:x="502" w:y="9336"/>
        <w:widowControl w:val="0"/>
        <w:keepNext w:val="0"/>
        <w:keepLines w:val="0"/>
        <w:shd w:val="clear" w:color="auto" w:fill="auto"/>
        <w:bidi w:val="0"/>
        <w:jc w:val="left"/>
        <w:spacing w:before="0" w:after="0" w:line="140" w:lineRule="exact"/>
        <w:ind w:left="0" w:right="0" w:firstLine="0"/>
      </w:pPr>
      <w:r>
        <w:rPr>
          <w:lang w:val="cs-CZ" w:eastAsia="cs-CZ" w:bidi="cs-CZ"/>
          <w:w w:val="100"/>
          <w:color w:val="000000"/>
          <w:position w:val="0"/>
        </w:rPr>
        <w:t>Tabulka č. 2b</w:t>
      </w:r>
    </w:p>
    <w:tbl>
      <w:tblPr>
        <w:tblOverlap w:val="never"/>
        <w:tblLayout w:type="fixed"/>
        <w:jc w:val="left"/>
      </w:tblPr>
      <w:tblGrid>
        <w:gridCol w:w="2981"/>
        <w:gridCol w:w="2846"/>
      </w:tblGrid>
      <w:tr>
        <w:trPr>
          <w:trHeight w:val="211" w:hRule="exact"/>
        </w:trPr>
        <w:tc>
          <w:tcPr>
            <w:shd w:val="clear" w:color="auto" w:fill="FFFFFF"/>
            <w:tcBorders>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9"/>
              </w:rPr>
              <w:t>Platební praxe (dny v prodlení)</w:t>
            </w:r>
          </w:p>
        </w:tc>
        <w:tc>
          <w:tcPr>
            <w:shd w:val="clear" w:color="auto" w:fill="FFFFFF"/>
            <w:tcBorders>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9"/>
              </w:rPr>
              <w:t>Výše přiznaného bonusu</w:t>
            </w:r>
          </w:p>
        </w:tc>
      </w:tr>
      <w:tr>
        <w:trPr>
          <w:trHeight w:val="298" w:hRule="exact"/>
        </w:trPr>
        <w:tc>
          <w:tcPr>
            <w:shd w:val="clear" w:color="auto" w:fill="FFFFFF"/>
            <w:gridSpan w:val="2"/>
            <w:tcBorders>
              <w:top w:val="single" w:sz="4"/>
            </w:tcBorders>
            <w:vAlign w:val="top"/>
          </w:tcPr>
          <w:p>
            <w:pPr>
              <w:framePr w:w="5827" w:h="3643" w:wrap="around" w:vAnchor="page" w:hAnchor="page" w:x="2830" w:y="7599"/>
              <w:widowControl w:val="0"/>
              <w:rPr>
                <w:sz w:val="10"/>
                <w:szCs w:val="10"/>
              </w:rPr>
            </w:pPr>
          </w:p>
        </w:tc>
      </w:tr>
      <w:tr>
        <w:trPr>
          <w:trHeight w:val="202" w:hRule="exact"/>
        </w:trPr>
        <w:tc>
          <w:tcPr>
            <w:shd w:val="clear" w:color="auto" w:fill="FFFFFF"/>
            <w:tcBorders>
              <w:lef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1 - 15</w:t>
            </w:r>
          </w:p>
        </w:tc>
        <w:tc>
          <w:tcPr>
            <w:shd w:val="clear" w:color="auto" w:fill="FFFFFF"/>
            <w:tcBorders>
              <w:left w:val="single" w:sz="4"/>
              <w:righ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100%</w:t>
            </w:r>
          </w:p>
        </w:tc>
      </w:tr>
      <w:tr>
        <w:trPr>
          <w:trHeight w:val="202" w:hRule="exact"/>
        </w:trPr>
        <w:tc>
          <w:tcPr>
            <w:shd w:val="clear" w:color="auto" w:fill="FFFFFF"/>
            <w:tcBorders>
              <w:lef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16 - 20</w:t>
            </w:r>
          </w:p>
        </w:tc>
        <w:tc>
          <w:tcPr>
            <w:shd w:val="clear" w:color="auto" w:fill="FFFFFF"/>
            <w:tcBorders>
              <w:left w:val="single" w:sz="4"/>
              <w:righ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75%</w:t>
            </w:r>
          </w:p>
        </w:tc>
      </w:tr>
      <w:tr>
        <w:trPr>
          <w:trHeight w:val="202" w:hRule="exact"/>
        </w:trPr>
        <w:tc>
          <w:tcPr>
            <w:shd w:val="clear" w:color="auto" w:fill="FFFFFF"/>
            <w:tcBorders>
              <w:lef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21 - 25</w:t>
            </w:r>
          </w:p>
        </w:tc>
        <w:tc>
          <w:tcPr>
            <w:shd w:val="clear" w:color="auto" w:fill="FFFFFF"/>
            <w:tcBorders>
              <w:left w:val="single" w:sz="4"/>
              <w:righ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50%</w:t>
            </w:r>
          </w:p>
        </w:tc>
      </w:tr>
      <w:tr>
        <w:trPr>
          <w:trHeight w:val="202" w:hRule="exact"/>
        </w:trPr>
        <w:tc>
          <w:tcPr>
            <w:shd w:val="clear" w:color="auto" w:fill="FFFFFF"/>
            <w:tcBorders>
              <w:lef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26 - 30</w:t>
            </w:r>
          </w:p>
        </w:tc>
        <w:tc>
          <w:tcPr>
            <w:shd w:val="clear" w:color="auto" w:fill="FFFFFF"/>
            <w:tcBorders>
              <w:left w:val="single" w:sz="4"/>
              <w:righ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25%</w:t>
            </w:r>
          </w:p>
        </w:tc>
      </w:tr>
      <w:tr>
        <w:trPr>
          <w:trHeight w:val="206" w:hRule="exact"/>
        </w:trPr>
        <w:tc>
          <w:tcPr>
            <w:shd w:val="clear" w:color="auto" w:fill="FFFFFF"/>
            <w:tcBorders>
              <w:lef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31 a více</w:t>
            </w:r>
          </w:p>
        </w:tc>
        <w:tc>
          <w:tcPr>
            <w:shd w:val="clear" w:color="auto" w:fill="FFFFFF"/>
            <w:tcBorders>
              <w:left w:val="single" w:sz="4"/>
              <w:righ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0%</w:t>
            </w:r>
          </w:p>
        </w:tc>
      </w:tr>
      <w:tr>
        <w:trPr>
          <w:trHeight w:val="590" w:hRule="exact"/>
        </w:trPr>
        <w:tc>
          <w:tcPr>
            <w:shd w:val="clear" w:color="auto" w:fill="FFFFFF"/>
            <w:gridSpan w:val="2"/>
            <w:tcBorders>
              <w:top w:val="single" w:sz="4"/>
            </w:tcBorders>
            <w:vAlign w:val="center"/>
          </w:tcPr>
          <w:p>
            <w:pPr>
              <w:pStyle w:val="Style8"/>
              <w:framePr w:w="5827" w:h="3643" w:wrap="around" w:vAnchor="page" w:hAnchor="page" w:x="2830" w:y="7599"/>
              <w:widowControl w:val="0"/>
              <w:keepNext w:val="0"/>
              <w:keepLines w:val="0"/>
              <w:shd w:val="clear" w:color="auto" w:fill="auto"/>
              <w:bidi w:val="0"/>
              <w:jc w:val="left"/>
              <w:spacing w:before="0" w:after="0" w:line="130" w:lineRule="exact"/>
              <w:ind w:left="80" w:right="0" w:firstLine="0"/>
            </w:pPr>
            <w:r>
              <w:rPr>
                <w:rStyle w:val="CharStyle19"/>
              </w:rPr>
              <w:t>Platba za zboží fakturou - předem, v hotovosti nebo se splatností 5 dní</w:t>
            </w:r>
          </w:p>
        </w:tc>
      </w:tr>
      <w:tr>
        <w:trPr>
          <w:trHeight w:val="211" w:hRule="exact"/>
        </w:trPr>
        <w:tc>
          <w:tcPr>
            <w:shd w:val="clear" w:color="auto" w:fill="FFFFFF"/>
            <w:tcBorders>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9"/>
              </w:rPr>
              <w:t>Platební praxe (dny v prodlení)</w:t>
            </w:r>
          </w:p>
        </w:tc>
        <w:tc>
          <w:tcPr>
            <w:shd w:val="clear" w:color="auto" w:fill="FFFFFF"/>
            <w:tcBorders>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9"/>
              </w:rPr>
              <w:t>Výše přiznaného bonusu</w:t>
            </w:r>
          </w:p>
        </w:tc>
      </w:tr>
      <w:tr>
        <w:trPr>
          <w:trHeight w:val="298" w:hRule="exact"/>
        </w:trPr>
        <w:tc>
          <w:tcPr>
            <w:shd w:val="clear" w:color="auto" w:fill="FFFFFF"/>
            <w:gridSpan w:val="2"/>
            <w:tcBorders>
              <w:top w:val="single" w:sz="4"/>
            </w:tcBorders>
            <w:vAlign w:val="top"/>
          </w:tcPr>
          <w:p>
            <w:pPr>
              <w:framePr w:w="5827" w:h="3643" w:wrap="around" w:vAnchor="page" w:hAnchor="page" w:x="2830" w:y="7599"/>
              <w:widowControl w:val="0"/>
              <w:rPr>
                <w:sz w:val="10"/>
                <w:szCs w:val="10"/>
              </w:rPr>
            </w:pPr>
          </w:p>
        </w:tc>
      </w:tr>
      <w:tr>
        <w:trPr>
          <w:trHeight w:val="202" w:hRule="exact"/>
        </w:trPr>
        <w:tc>
          <w:tcPr>
            <w:shd w:val="clear" w:color="auto" w:fill="FFFFFF"/>
            <w:tcBorders>
              <w:lef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1 - 3</w:t>
            </w:r>
          </w:p>
        </w:tc>
        <w:tc>
          <w:tcPr>
            <w:shd w:val="clear" w:color="auto" w:fill="FFFFFF"/>
            <w:tcBorders>
              <w:left w:val="single" w:sz="4"/>
              <w:right w:val="single" w:sz="4"/>
              <w:top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100%</w:t>
            </w:r>
          </w:p>
        </w:tc>
      </w:tr>
      <w:tr>
        <w:trPr>
          <w:trHeight w:val="202" w:hRule="exact"/>
        </w:trPr>
        <w:tc>
          <w:tcPr>
            <w:shd w:val="clear" w:color="auto" w:fill="FFFFFF"/>
            <w:tcBorders>
              <w:lef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4 - 10</w:t>
            </w:r>
          </w:p>
        </w:tc>
        <w:tc>
          <w:tcPr>
            <w:shd w:val="clear" w:color="auto" w:fill="FFFFFF"/>
            <w:tcBorders>
              <w:left w:val="single" w:sz="4"/>
              <w:righ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75%</w:t>
            </w:r>
          </w:p>
        </w:tc>
      </w:tr>
      <w:tr>
        <w:trPr>
          <w:trHeight w:val="202" w:hRule="exact"/>
        </w:trPr>
        <w:tc>
          <w:tcPr>
            <w:shd w:val="clear" w:color="auto" w:fill="FFFFFF"/>
            <w:tcBorders>
              <w:lef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11 - 15</w:t>
            </w:r>
          </w:p>
        </w:tc>
        <w:tc>
          <w:tcPr>
            <w:shd w:val="clear" w:color="auto" w:fill="FFFFFF"/>
            <w:tcBorders>
              <w:left w:val="single" w:sz="4"/>
              <w:righ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50%</w:t>
            </w:r>
          </w:p>
        </w:tc>
      </w:tr>
      <w:tr>
        <w:trPr>
          <w:trHeight w:val="206" w:hRule="exact"/>
        </w:trPr>
        <w:tc>
          <w:tcPr>
            <w:shd w:val="clear" w:color="auto" w:fill="FFFFFF"/>
            <w:tcBorders>
              <w:lef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15 - 20</w:t>
            </w:r>
          </w:p>
        </w:tc>
        <w:tc>
          <w:tcPr>
            <w:shd w:val="clear" w:color="auto" w:fill="FFFFFF"/>
            <w:tcBorders>
              <w:left w:val="single" w:sz="4"/>
              <w:right w:val="single" w:sz="4"/>
              <w:top w:val="single" w:sz="4"/>
            </w:tcBorders>
            <w:vAlign w:val="bottom"/>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25%</w:t>
            </w:r>
          </w:p>
        </w:tc>
      </w:tr>
      <w:tr>
        <w:trPr>
          <w:trHeight w:val="211" w:hRule="exact"/>
        </w:trPr>
        <w:tc>
          <w:tcPr>
            <w:shd w:val="clear" w:color="auto" w:fill="FFFFFF"/>
            <w:tcBorders>
              <w:left w:val="single" w:sz="4"/>
              <w:top w:val="single" w:sz="4"/>
              <w:bottom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21 a více</w:t>
            </w:r>
          </w:p>
        </w:tc>
        <w:tc>
          <w:tcPr>
            <w:shd w:val="clear" w:color="auto" w:fill="FFFFFF"/>
            <w:tcBorders>
              <w:left w:val="single" w:sz="4"/>
              <w:right w:val="single" w:sz="4"/>
              <w:top w:val="single" w:sz="4"/>
              <w:bottom w:val="single" w:sz="4"/>
            </w:tcBorders>
            <w:vAlign w:val="center"/>
          </w:tcPr>
          <w:p>
            <w:pPr>
              <w:pStyle w:val="Style8"/>
              <w:framePr w:w="5827" w:h="3643" w:wrap="around" w:vAnchor="page" w:hAnchor="page" w:x="2830" w:y="7599"/>
              <w:widowControl w:val="0"/>
              <w:keepNext w:val="0"/>
              <w:keepLines w:val="0"/>
              <w:shd w:val="clear" w:color="auto" w:fill="auto"/>
              <w:bidi w:val="0"/>
              <w:spacing w:before="0" w:after="0" w:line="130" w:lineRule="exact"/>
              <w:ind w:left="0" w:right="0" w:firstLine="0"/>
            </w:pPr>
            <w:r>
              <w:rPr>
                <w:rStyle w:val="CharStyle14"/>
              </w:rPr>
              <w:t>0%</w:t>
            </w:r>
          </w:p>
        </w:tc>
      </w:tr>
    </w:tbl>
    <w:p>
      <w:pPr>
        <w:pStyle w:val="Style6"/>
        <w:framePr w:w="11698" w:h="2874" w:hRule="exact" w:wrap="around" w:vAnchor="page" w:hAnchor="page" w:x="3" w:y="11611"/>
        <w:widowControl w:val="0"/>
        <w:keepNext w:val="0"/>
        <w:keepLines w:val="0"/>
        <w:shd w:val="clear" w:color="auto" w:fill="auto"/>
        <w:bidi w:val="0"/>
        <w:spacing w:before="0" w:after="223" w:line="140" w:lineRule="exact"/>
        <w:ind w:left="0" w:right="200" w:firstLine="0"/>
      </w:pPr>
      <w:bookmarkStart w:id="5" w:name="bookmark5"/>
      <w:r>
        <w:rPr>
          <w:lang w:val="cs-CZ" w:eastAsia="cs-CZ" w:bidi="cs-CZ"/>
          <w:w w:val="100"/>
          <w:color w:val="000000"/>
          <w:position w:val="0"/>
        </w:rPr>
        <w:t>Článek 3 - Platební podmínky</w:t>
      </w:r>
      <w:bookmarkEnd w:id="5"/>
    </w:p>
    <w:p>
      <w:pPr>
        <w:pStyle w:val="Style8"/>
        <w:framePr w:w="11698" w:h="2874" w:hRule="exact" w:wrap="around" w:vAnchor="page" w:hAnchor="page" w:x="3" w:y="11611"/>
        <w:widowControl w:val="0"/>
        <w:keepNext w:val="0"/>
        <w:keepLines w:val="0"/>
        <w:shd w:val="clear" w:color="auto" w:fill="auto"/>
        <w:bidi w:val="0"/>
        <w:jc w:val="left"/>
        <w:spacing w:before="0" w:after="366" w:line="130" w:lineRule="exact"/>
        <w:ind w:left="580" w:right="0" w:firstLine="0"/>
      </w:pPr>
      <w:r>
        <w:rPr>
          <w:lang w:val="cs-CZ" w:eastAsia="cs-CZ" w:bidi="cs-CZ"/>
          <w:w w:val="100"/>
          <w:color w:val="000000"/>
          <w:position w:val="0"/>
        </w:rPr>
        <w:t>Faktury jsou splatné do 21 kalendářních dnů od data vystavení faktury, pokud se smluvní strany nedohodnou jinak.</w:t>
      </w:r>
    </w:p>
    <w:p>
      <w:pPr>
        <w:pStyle w:val="Style6"/>
        <w:framePr w:w="11698" w:h="2874" w:hRule="exact" w:wrap="around" w:vAnchor="page" w:hAnchor="page" w:x="3" w:y="11611"/>
        <w:widowControl w:val="0"/>
        <w:keepNext w:val="0"/>
        <w:keepLines w:val="0"/>
        <w:shd w:val="clear" w:color="auto" w:fill="auto"/>
        <w:bidi w:val="0"/>
        <w:spacing w:before="0" w:after="173" w:line="140" w:lineRule="exact"/>
        <w:ind w:left="0" w:right="200" w:firstLine="0"/>
      </w:pPr>
      <w:bookmarkStart w:id="6" w:name="bookmark6"/>
      <w:r>
        <w:rPr>
          <w:lang w:val="cs-CZ" w:eastAsia="cs-CZ" w:bidi="cs-CZ"/>
          <w:w w:val="100"/>
          <w:color w:val="000000"/>
          <w:position w:val="0"/>
        </w:rPr>
        <w:t>Článek 4 - Záruka</w:t>
      </w:r>
      <w:bookmarkEnd w:id="6"/>
    </w:p>
    <w:p>
      <w:pPr>
        <w:pStyle w:val="Style8"/>
        <w:framePr w:w="11698" w:h="2874" w:hRule="exact" w:wrap="around" w:vAnchor="page" w:hAnchor="page" w:x="3" w:y="11611"/>
        <w:widowControl w:val="0"/>
        <w:keepNext w:val="0"/>
        <w:keepLines w:val="0"/>
        <w:shd w:val="clear" w:color="auto" w:fill="auto"/>
        <w:bidi w:val="0"/>
        <w:jc w:val="left"/>
        <w:spacing w:before="0" w:after="402"/>
        <w:ind w:left="580" w:right="360" w:firstLine="0"/>
      </w:pPr>
      <w:r>
        <w:rPr>
          <w:lang w:val="cs-CZ" w:eastAsia="cs-CZ" w:bidi="cs-CZ"/>
          <w:w w:val="100"/>
          <w:color w:val="000000"/>
          <w:position w:val="0"/>
        </w:rPr>
        <w:t>Záruční plnění se uskutečňuje dle volby společnosti DMA Praha opravou, výměnou vadného zboží nebo náhradou snížené hodnoty</w:t>
      </w:r>
      <w:r>
        <w:rPr>
          <w:rStyle w:val="CharStyle25"/>
        </w:rPr>
        <w:t xml:space="preserve">. </w:t>
      </w:r>
      <w:r>
        <w:rPr>
          <w:lang w:val="cs-CZ" w:eastAsia="cs-CZ" w:bidi="cs-CZ"/>
          <w:w w:val="100"/>
          <w:color w:val="000000"/>
          <w:position w:val="0"/>
        </w:rPr>
        <w:t>Náhrada nepřímé škody je vyloučena. Ze záručního plnění jsou vyloučeny jak přirozené opotřebení, tak poškození, jež mají původ v nevhodném nebo neodborném zacházení či použití.</w:t>
      </w:r>
    </w:p>
    <w:p>
      <w:pPr>
        <w:pStyle w:val="Style6"/>
        <w:framePr w:w="11698" w:h="2874" w:hRule="exact" w:wrap="around" w:vAnchor="page" w:hAnchor="page" w:x="3" w:y="11611"/>
        <w:widowControl w:val="0"/>
        <w:keepNext w:val="0"/>
        <w:keepLines w:val="0"/>
        <w:shd w:val="clear" w:color="auto" w:fill="auto"/>
        <w:bidi w:val="0"/>
        <w:spacing w:before="0" w:after="173" w:line="140" w:lineRule="exact"/>
        <w:ind w:left="0" w:right="200" w:firstLine="0"/>
      </w:pPr>
      <w:bookmarkStart w:id="7" w:name="bookmark7"/>
      <w:r>
        <w:rPr>
          <w:lang w:val="cs-CZ" w:eastAsia="cs-CZ" w:bidi="cs-CZ"/>
          <w:w w:val="100"/>
          <w:color w:val="000000"/>
          <w:position w:val="0"/>
        </w:rPr>
        <w:t>Článek 5 - Platnost</w:t>
      </w:r>
      <w:bookmarkEnd w:id="7"/>
    </w:p>
    <w:p>
      <w:pPr>
        <w:pStyle w:val="Style8"/>
        <w:framePr w:w="11698" w:h="2874" w:hRule="exact" w:wrap="around" w:vAnchor="page" w:hAnchor="page" w:x="3" w:y="11611"/>
        <w:widowControl w:val="0"/>
        <w:keepNext w:val="0"/>
        <w:keepLines w:val="0"/>
        <w:shd w:val="clear" w:color="auto" w:fill="auto"/>
        <w:bidi w:val="0"/>
        <w:jc w:val="left"/>
        <w:spacing w:before="0" w:after="0"/>
        <w:ind w:left="580" w:right="360" w:firstLine="0"/>
      </w:pPr>
      <w:r>
        <w:rPr>
          <w:lang w:val="cs-CZ" w:eastAsia="cs-CZ" w:bidi="cs-CZ"/>
          <w:w w:val="100"/>
          <w:color w:val="000000"/>
          <w:position w:val="0"/>
        </w:rPr>
        <w:t>Tyto Obchodní a platební podmínky tvoří, není-li ujednáno jinak, nedílnou součást Rámcové prodejní smlouvy společnosti DMA Praha a Obecných prodejních podmínek společnosti DMA Praha.</w:t>
      </w:r>
    </w:p>
    <w:p>
      <w:pPr>
        <w:framePr w:wrap="none" w:vAnchor="page" w:hAnchor="page" w:x="3" w:y="15163"/>
        <w:widowControl w:val="0"/>
        <w:rPr>
          <w:sz w:val="2"/>
          <w:szCs w:val="2"/>
        </w:rPr>
      </w:pPr>
      <w:r>
        <w:pict>
          <v:shape id="_x0000_s1029" type="#_x0000_t75" style="width:595pt;height:84pt;">
            <v:imagedata r:id="rId11" r:href="rId12"/>
          </v:shape>
        </w:pict>
      </w:r>
    </w:p>
    <w:p>
      <w:pPr>
        <w:widowControl w:val="0"/>
        <w:rPr>
          <w:sz w:val="2"/>
          <w:szCs w:val="2"/>
        </w:rPr>
      </w:pPr>
    </w:p>
    <w:sectPr>
      <w:footnotePr>
        <w:pos w:val="pageBottom"/>
        <w:numFmt w:val="decimal"/>
        <w:numRestart w:val="continuous"/>
      </w:footnotePr>
      <w:pgSz w:w="11909" w:h="16838"/>
      <w:pgMar w:top="0" w:left="0" w:right="0" w:bottom="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lowerLetter"/>
      <w:lvlText w:val="%1)"/>
      <w:rPr>
        <w:lang w:val="cs-CZ" w:eastAsia="cs-CZ" w:bidi="cs-CZ"/>
        <w:b/>
        <w:bCs/>
        <w:i w:val="0"/>
        <w:iCs w:val="0"/>
        <w:u w:val="none"/>
        <w:strike w:val="0"/>
        <w:smallCaps w:val="0"/>
        <w:sz w:val="14"/>
        <w:szCs w:val="14"/>
        <w:rFonts w:ascii="Arial" w:eastAsia="Arial" w:hAnsi="Arial" w:cs="Arial"/>
        <w:w w:val="100"/>
        <w:spacing w:val="2"/>
        <w:color w:val="000000"/>
        <w:position w:val="0"/>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cs-CZ" w:eastAsia="cs-CZ" w:bidi="cs-CZ"/>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0080"/>
    </w:rPr>
  </w:style>
  <w:style w:type="character" w:customStyle="1" w:styleId="CharStyle4">
    <w:name w:val="Nadpis #1_"/>
    <w:basedOn w:val="DefaultParagraphFont"/>
    <w:link w:val="Style3"/>
    <w:rPr>
      <w:b w:val="0"/>
      <w:bCs w:val="0"/>
      <w:i w:val="0"/>
      <w:iCs w:val="0"/>
      <w:u w:val="none"/>
      <w:strike w:val="0"/>
      <w:smallCaps w:val="0"/>
      <w:sz w:val="21"/>
      <w:szCs w:val="21"/>
      <w:rFonts w:ascii="Arial" w:eastAsia="Arial" w:hAnsi="Arial" w:cs="Arial"/>
      <w:spacing w:val="6"/>
    </w:rPr>
  </w:style>
  <w:style w:type="character" w:customStyle="1" w:styleId="CharStyle5">
    <w:name w:val="Nadpis #1"/>
    <w:basedOn w:val="CharStyle4"/>
    <w:rPr>
      <w:lang w:val="cs-CZ" w:eastAsia="cs-CZ" w:bidi="cs-CZ"/>
      <w:u w:val="single"/>
      <w:w w:val="100"/>
      <w:color w:val="000000"/>
      <w:position w:val="0"/>
    </w:rPr>
  </w:style>
  <w:style w:type="character" w:customStyle="1" w:styleId="CharStyle7">
    <w:name w:val="Nadpis #2_"/>
    <w:basedOn w:val="DefaultParagraphFont"/>
    <w:link w:val="Style6"/>
    <w:rPr>
      <w:b/>
      <w:bCs/>
      <w:i w:val="0"/>
      <w:iCs w:val="0"/>
      <w:u w:val="none"/>
      <w:strike w:val="0"/>
      <w:smallCaps w:val="0"/>
      <w:sz w:val="14"/>
      <w:szCs w:val="14"/>
      <w:rFonts w:ascii="Arial" w:eastAsia="Arial" w:hAnsi="Arial" w:cs="Arial"/>
      <w:spacing w:val="2"/>
    </w:rPr>
  </w:style>
  <w:style w:type="character" w:customStyle="1" w:styleId="CharStyle9">
    <w:name w:val="Základní text_"/>
    <w:basedOn w:val="DefaultParagraphFont"/>
    <w:link w:val="Style8"/>
    <w:rPr>
      <w:b w:val="0"/>
      <w:bCs w:val="0"/>
      <w:i w:val="0"/>
      <w:iCs w:val="0"/>
      <w:u w:val="none"/>
      <w:strike w:val="0"/>
      <w:smallCaps w:val="0"/>
      <w:sz w:val="13"/>
      <w:szCs w:val="13"/>
      <w:rFonts w:ascii="Arial" w:eastAsia="Arial" w:hAnsi="Arial" w:cs="Arial"/>
      <w:spacing w:val="2"/>
    </w:rPr>
  </w:style>
  <w:style w:type="character" w:customStyle="1" w:styleId="CharStyle10">
    <w:name w:val="Základní text + Tučné,Řádkování 0 pt"/>
    <w:basedOn w:val="CharStyle9"/>
    <w:rPr>
      <w:lang w:val="cs-CZ" w:eastAsia="cs-CZ" w:bidi="cs-CZ"/>
      <w:b/>
      <w:bCs/>
      <w:w w:val="100"/>
      <w:spacing w:val="1"/>
      <w:color w:val="000000"/>
      <w:position w:val="0"/>
    </w:rPr>
  </w:style>
  <w:style w:type="character" w:customStyle="1" w:styleId="CharStyle12">
    <w:name w:val="Titulek tabulky_"/>
    <w:basedOn w:val="DefaultParagraphFont"/>
    <w:link w:val="Style11"/>
    <w:rPr>
      <w:b/>
      <w:bCs/>
      <w:i w:val="0"/>
      <w:iCs w:val="0"/>
      <w:u w:val="none"/>
      <w:strike w:val="0"/>
      <w:smallCaps w:val="0"/>
      <w:sz w:val="13"/>
      <w:szCs w:val="13"/>
      <w:rFonts w:ascii="Arial" w:eastAsia="Arial" w:hAnsi="Arial" w:cs="Arial"/>
      <w:spacing w:val="1"/>
    </w:rPr>
  </w:style>
  <w:style w:type="character" w:customStyle="1" w:styleId="CharStyle13">
    <w:name w:val="Titulek tabulky"/>
    <w:basedOn w:val="CharStyle12"/>
    <w:rPr>
      <w:lang w:val="cs-CZ" w:eastAsia="cs-CZ" w:bidi="cs-CZ"/>
      <w:u w:val="single"/>
      <w:w w:val="100"/>
      <w:color w:val="000000"/>
      <w:position w:val="0"/>
    </w:rPr>
  </w:style>
  <w:style w:type="character" w:customStyle="1" w:styleId="CharStyle14">
    <w:name w:val="Základní text"/>
    <w:basedOn w:val="CharStyle9"/>
    <w:rPr>
      <w:lang w:val="cs-CZ" w:eastAsia="cs-CZ" w:bidi="cs-CZ"/>
      <w:w w:val="100"/>
      <w:color w:val="000000"/>
      <w:position w:val="0"/>
    </w:rPr>
  </w:style>
  <w:style w:type="character" w:customStyle="1" w:styleId="CharStyle16">
    <w:name w:val="Základní text (2)_"/>
    <w:basedOn w:val="DefaultParagraphFont"/>
    <w:link w:val="Style15"/>
    <w:rPr>
      <w:b w:val="0"/>
      <w:bCs w:val="0"/>
      <w:i/>
      <w:iCs/>
      <w:u w:val="none"/>
      <w:strike w:val="0"/>
      <w:smallCaps w:val="0"/>
      <w:sz w:val="12"/>
      <w:szCs w:val="12"/>
      <w:rFonts w:ascii="Arial" w:eastAsia="Arial" w:hAnsi="Arial" w:cs="Arial"/>
      <w:spacing w:val="1"/>
    </w:rPr>
  </w:style>
  <w:style w:type="character" w:customStyle="1" w:styleId="CharStyle18">
    <w:name w:val="Titulek tabulky (2)_"/>
    <w:basedOn w:val="DefaultParagraphFont"/>
    <w:link w:val="Style17"/>
    <w:rPr>
      <w:b w:val="0"/>
      <w:bCs w:val="0"/>
      <w:i/>
      <w:iCs/>
      <w:u w:val="none"/>
      <w:strike w:val="0"/>
      <w:smallCaps w:val="0"/>
      <w:sz w:val="12"/>
      <w:szCs w:val="12"/>
      <w:rFonts w:ascii="Arial" w:eastAsia="Arial" w:hAnsi="Arial" w:cs="Arial"/>
      <w:spacing w:val="1"/>
    </w:rPr>
  </w:style>
  <w:style w:type="character" w:customStyle="1" w:styleId="CharStyle19">
    <w:name w:val="Základní text + Tučné,Řádkování 0 pt"/>
    <w:basedOn w:val="CharStyle9"/>
    <w:rPr>
      <w:lang w:val="cs-CZ" w:eastAsia="cs-CZ" w:bidi="cs-CZ"/>
      <w:b/>
      <w:bCs/>
      <w:w w:val="100"/>
      <w:spacing w:val="1"/>
      <w:color w:val="000000"/>
      <w:position w:val="0"/>
    </w:rPr>
  </w:style>
  <w:style w:type="character" w:customStyle="1" w:styleId="CharStyle21">
    <w:name w:val="Základní text (3)_"/>
    <w:basedOn w:val="DefaultParagraphFont"/>
    <w:link w:val="Style20"/>
    <w:rPr>
      <w:b/>
      <w:bCs/>
      <w:i w:val="0"/>
      <w:iCs w:val="0"/>
      <w:u w:val="none"/>
      <w:strike w:val="0"/>
      <w:smallCaps w:val="0"/>
      <w:sz w:val="13"/>
      <w:szCs w:val="13"/>
      <w:rFonts w:ascii="Arial" w:eastAsia="Arial" w:hAnsi="Arial" w:cs="Arial"/>
      <w:spacing w:val="1"/>
    </w:rPr>
  </w:style>
  <w:style w:type="character" w:customStyle="1" w:styleId="CharStyle23">
    <w:name w:val="Základní text (4)_"/>
    <w:basedOn w:val="DefaultParagraphFont"/>
    <w:link w:val="Style22"/>
    <w:rPr>
      <w:b/>
      <w:bCs/>
      <w:i w:val="0"/>
      <w:iCs w:val="0"/>
      <w:u w:val="none"/>
      <w:strike w:val="0"/>
      <w:smallCaps w:val="0"/>
      <w:sz w:val="14"/>
      <w:szCs w:val="14"/>
      <w:rFonts w:ascii="Arial" w:eastAsia="Arial" w:hAnsi="Arial" w:cs="Arial"/>
      <w:spacing w:val="2"/>
    </w:rPr>
  </w:style>
  <w:style w:type="character" w:customStyle="1" w:styleId="CharStyle24">
    <w:name w:val="Základní text (3)"/>
    <w:basedOn w:val="CharStyle21"/>
    <w:rPr>
      <w:lang w:val="cs-CZ" w:eastAsia="cs-CZ" w:bidi="cs-CZ"/>
      <w:u w:val="single"/>
      <w:w w:val="100"/>
      <w:color w:val="000000"/>
      <w:position w:val="0"/>
    </w:rPr>
  </w:style>
  <w:style w:type="character" w:customStyle="1" w:styleId="CharStyle25">
    <w:name w:val="Základní text"/>
    <w:basedOn w:val="CharStyle9"/>
    <w:rPr>
      <w:lang w:val="cs-CZ" w:eastAsia="cs-CZ" w:bidi="cs-CZ"/>
      <w:w w:val="100"/>
      <w:color w:val="000000"/>
      <w:position w:val="0"/>
    </w:rPr>
  </w:style>
  <w:style w:type="paragraph" w:customStyle="1" w:styleId="Style3">
    <w:name w:val="Nadpis #1"/>
    <w:basedOn w:val="Normal"/>
    <w:link w:val="CharStyle4"/>
    <w:pPr>
      <w:widowControl w:val="0"/>
      <w:shd w:val="clear" w:color="auto" w:fill="FFFFFF"/>
      <w:jc w:val="center"/>
      <w:outlineLvl w:val="0"/>
      <w:spacing w:before="720" w:after="600" w:line="0" w:lineRule="exact"/>
    </w:pPr>
    <w:rPr>
      <w:b w:val="0"/>
      <w:bCs w:val="0"/>
      <w:i w:val="0"/>
      <w:iCs w:val="0"/>
      <w:u w:val="none"/>
      <w:strike w:val="0"/>
      <w:smallCaps w:val="0"/>
      <w:sz w:val="21"/>
      <w:szCs w:val="21"/>
      <w:rFonts w:ascii="Arial" w:eastAsia="Arial" w:hAnsi="Arial" w:cs="Arial"/>
      <w:spacing w:val="6"/>
    </w:rPr>
  </w:style>
  <w:style w:type="paragraph" w:customStyle="1" w:styleId="Style6">
    <w:name w:val="Nadpis #2"/>
    <w:basedOn w:val="Normal"/>
    <w:link w:val="CharStyle7"/>
    <w:pPr>
      <w:widowControl w:val="0"/>
      <w:shd w:val="clear" w:color="auto" w:fill="FFFFFF"/>
      <w:jc w:val="center"/>
      <w:outlineLvl w:val="1"/>
      <w:spacing w:before="600" w:after="180" w:line="0" w:lineRule="exact"/>
    </w:pPr>
    <w:rPr>
      <w:b/>
      <w:bCs/>
      <w:i w:val="0"/>
      <w:iCs w:val="0"/>
      <w:u w:val="none"/>
      <w:strike w:val="0"/>
      <w:smallCaps w:val="0"/>
      <w:sz w:val="14"/>
      <w:szCs w:val="14"/>
      <w:rFonts w:ascii="Arial" w:eastAsia="Arial" w:hAnsi="Arial" w:cs="Arial"/>
      <w:spacing w:val="2"/>
    </w:rPr>
  </w:style>
  <w:style w:type="paragraph" w:customStyle="1" w:styleId="Style8">
    <w:name w:val="Základní text"/>
    <w:basedOn w:val="Normal"/>
    <w:link w:val="CharStyle9"/>
    <w:pPr>
      <w:widowControl w:val="0"/>
      <w:shd w:val="clear" w:color="auto" w:fill="FFFFFF"/>
      <w:jc w:val="center"/>
      <w:spacing w:before="180" w:after="180" w:line="192" w:lineRule="exact"/>
    </w:pPr>
    <w:rPr>
      <w:b w:val="0"/>
      <w:bCs w:val="0"/>
      <w:i w:val="0"/>
      <w:iCs w:val="0"/>
      <w:u w:val="none"/>
      <w:strike w:val="0"/>
      <w:smallCaps w:val="0"/>
      <w:sz w:val="13"/>
      <w:szCs w:val="13"/>
      <w:rFonts w:ascii="Arial" w:eastAsia="Arial" w:hAnsi="Arial" w:cs="Arial"/>
      <w:spacing w:val="2"/>
    </w:rPr>
  </w:style>
  <w:style w:type="paragraph" w:customStyle="1" w:styleId="Style11">
    <w:name w:val="Titulek tabulky"/>
    <w:basedOn w:val="Normal"/>
    <w:link w:val="CharStyle12"/>
    <w:pPr>
      <w:widowControl w:val="0"/>
      <w:shd w:val="clear" w:color="auto" w:fill="FFFFFF"/>
      <w:jc w:val="both"/>
      <w:spacing w:line="0" w:lineRule="exact"/>
    </w:pPr>
    <w:rPr>
      <w:b/>
      <w:bCs/>
      <w:i w:val="0"/>
      <w:iCs w:val="0"/>
      <w:u w:val="none"/>
      <w:strike w:val="0"/>
      <w:smallCaps w:val="0"/>
      <w:sz w:val="13"/>
      <w:szCs w:val="13"/>
      <w:rFonts w:ascii="Arial" w:eastAsia="Arial" w:hAnsi="Arial" w:cs="Arial"/>
      <w:spacing w:val="1"/>
    </w:rPr>
  </w:style>
  <w:style w:type="paragraph" w:customStyle="1" w:styleId="Style15">
    <w:name w:val="Základní text (2)"/>
    <w:basedOn w:val="Normal"/>
    <w:link w:val="CharStyle16"/>
    <w:pPr>
      <w:widowControl w:val="0"/>
      <w:shd w:val="clear" w:color="auto" w:fill="FFFFFF"/>
      <w:jc w:val="both"/>
      <w:spacing w:before="180" w:line="384" w:lineRule="exact"/>
    </w:pPr>
    <w:rPr>
      <w:b w:val="0"/>
      <w:bCs w:val="0"/>
      <w:i/>
      <w:iCs/>
      <w:u w:val="none"/>
      <w:strike w:val="0"/>
      <w:smallCaps w:val="0"/>
      <w:sz w:val="12"/>
      <w:szCs w:val="12"/>
      <w:rFonts w:ascii="Arial" w:eastAsia="Arial" w:hAnsi="Arial" w:cs="Arial"/>
      <w:spacing w:val="1"/>
    </w:rPr>
  </w:style>
  <w:style w:type="paragraph" w:customStyle="1" w:styleId="Style17">
    <w:name w:val="Titulek tabulky (2)"/>
    <w:basedOn w:val="Normal"/>
    <w:link w:val="CharStyle18"/>
    <w:pPr>
      <w:widowControl w:val="0"/>
      <w:shd w:val="clear" w:color="auto" w:fill="FFFFFF"/>
      <w:spacing w:line="0" w:lineRule="exact"/>
    </w:pPr>
    <w:rPr>
      <w:b w:val="0"/>
      <w:bCs w:val="0"/>
      <w:i/>
      <w:iCs/>
      <w:u w:val="none"/>
      <w:strike w:val="0"/>
      <w:smallCaps w:val="0"/>
      <w:sz w:val="12"/>
      <w:szCs w:val="12"/>
      <w:rFonts w:ascii="Arial" w:eastAsia="Arial" w:hAnsi="Arial" w:cs="Arial"/>
      <w:spacing w:val="1"/>
    </w:rPr>
  </w:style>
  <w:style w:type="paragraph" w:customStyle="1" w:styleId="Style20">
    <w:name w:val="Základní text (3)"/>
    <w:basedOn w:val="Normal"/>
    <w:link w:val="CharStyle21"/>
    <w:pPr>
      <w:widowControl w:val="0"/>
      <w:shd w:val="clear" w:color="auto" w:fill="FFFFFF"/>
      <w:spacing w:before="600" w:after="240" w:line="0" w:lineRule="exact"/>
    </w:pPr>
    <w:rPr>
      <w:b/>
      <w:bCs/>
      <w:i w:val="0"/>
      <w:iCs w:val="0"/>
      <w:u w:val="none"/>
      <w:strike w:val="0"/>
      <w:smallCaps w:val="0"/>
      <w:sz w:val="13"/>
      <w:szCs w:val="13"/>
      <w:rFonts w:ascii="Arial" w:eastAsia="Arial" w:hAnsi="Arial" w:cs="Arial"/>
      <w:spacing w:val="1"/>
    </w:rPr>
  </w:style>
  <w:style w:type="paragraph" w:customStyle="1" w:styleId="Style22">
    <w:name w:val="Základní text (4)"/>
    <w:basedOn w:val="Normal"/>
    <w:link w:val="CharStyle23"/>
    <w:pPr>
      <w:widowControl w:val="0"/>
      <w:shd w:val="clear" w:color="auto" w:fill="FFFFFF"/>
      <w:spacing w:line="0" w:lineRule="exact"/>
    </w:pPr>
    <w:rPr>
      <w:b/>
      <w:bCs/>
      <w:i w:val="0"/>
      <w:iCs w:val="0"/>
      <w:u w:val="none"/>
      <w:strike w:val="0"/>
      <w:smallCaps w:val="0"/>
      <w:sz w:val="14"/>
      <w:szCs w:val="14"/>
      <w:rFonts w:ascii="Arial" w:eastAsia="Arial" w:hAnsi="Arial" w:cs="Arial"/>
      <w:spacing w:val="2"/>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Microsoft Word - Obchodni podminky 2016</dc:title>
  <dc:subject/>
  <dc:creator>mlachmann</dc:creator>
  <cp:keywords/>
</cp:coreProperties>
</file>