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0E" w:rsidRDefault="0003210E" w:rsidP="0003210E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03210E" w:rsidRPr="00D47071" w:rsidRDefault="0003210E" w:rsidP="0003210E">
      <w:pPr>
        <w:jc w:val="center"/>
        <w:rPr>
          <w:rFonts w:ascii="Arial CE" w:hAnsi="Arial CE" w:cs="Arial"/>
          <w:b/>
          <w:sz w:val="28"/>
          <w:szCs w:val="28"/>
        </w:rPr>
      </w:pPr>
      <w:proofErr w:type="gramStart"/>
      <w:r w:rsidRPr="00D47071">
        <w:rPr>
          <w:rFonts w:ascii="Arial CE" w:hAnsi="Arial CE" w:cs="Arial"/>
          <w:b/>
          <w:sz w:val="28"/>
          <w:szCs w:val="28"/>
        </w:rPr>
        <w:t>S M L O U V Y   O   D Í L O</w:t>
      </w:r>
      <w:proofErr w:type="gramEnd"/>
      <w:r w:rsidRPr="00D47071">
        <w:rPr>
          <w:rFonts w:ascii="Arial CE" w:hAnsi="Arial CE" w:cs="Arial"/>
          <w:b/>
          <w:sz w:val="28"/>
          <w:szCs w:val="28"/>
        </w:rPr>
        <w:t xml:space="preserve"> </w:t>
      </w:r>
    </w:p>
    <w:p w:rsidR="0003210E" w:rsidRPr="001D7A19" w:rsidRDefault="0003210E" w:rsidP="0003210E">
      <w:pPr>
        <w:ind w:left="4956" w:hanging="1416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03210E" w:rsidRDefault="0003210E" w:rsidP="0003210E">
      <w:pPr>
        <w:ind w:left="3540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721/2017 </w:t>
      </w:r>
    </w:p>
    <w:p w:rsidR="0003210E" w:rsidRPr="001D7A19" w:rsidRDefault="0003210E" w:rsidP="0003210E">
      <w:pPr>
        <w:jc w:val="center"/>
        <w:rPr>
          <w:rFonts w:ascii="Arial CE" w:hAnsi="Arial CE" w:cs="Arial"/>
          <w:b/>
          <w:sz w:val="22"/>
          <w:szCs w:val="22"/>
        </w:rPr>
      </w:pPr>
    </w:p>
    <w:p w:rsidR="0003210E" w:rsidRPr="001D7A19" w:rsidRDefault="0003210E" w:rsidP="0003210E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03210E" w:rsidRPr="00E47395" w:rsidRDefault="0003210E" w:rsidP="0003210E">
      <w:pPr>
        <w:jc w:val="center"/>
        <w:rPr>
          <w:rFonts w:ascii="Arial CE" w:hAnsi="Arial CE" w:cs="Arial"/>
          <w:b/>
          <w:highlight w:val="yellow"/>
        </w:rPr>
      </w:pPr>
    </w:p>
    <w:p w:rsidR="0003210E" w:rsidRDefault="0003210E" w:rsidP="0003210E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3F7355">
        <w:rPr>
          <w:rFonts w:ascii="Arial CE" w:hAnsi="Arial CE" w:cs="Arial"/>
          <w:b/>
          <w:sz w:val="28"/>
          <w:szCs w:val="28"/>
        </w:rPr>
        <w:t>MVE LOKET - oprava zdi přívodního kanálu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03210E" w:rsidRPr="001D7A19" w:rsidRDefault="0003210E" w:rsidP="0003210E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03210E" w:rsidRPr="00E47395" w:rsidRDefault="0003210E" w:rsidP="0003210E">
      <w:pPr>
        <w:tabs>
          <w:tab w:val="left" w:pos="4080"/>
        </w:tabs>
        <w:jc w:val="both"/>
        <w:rPr>
          <w:rFonts w:ascii="Arial CE" w:hAnsi="Arial CE" w:cs="Arial"/>
          <w:b/>
        </w:rPr>
      </w:pPr>
    </w:p>
    <w:p w:rsidR="0003210E" w:rsidRPr="001D7A19" w:rsidRDefault="0003210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3210E" w:rsidRPr="001D7A19" w:rsidRDefault="0003210E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03210E" w:rsidRPr="001D7A19" w:rsidRDefault="0003210E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03210E" w:rsidRPr="001D7A19" w:rsidRDefault="0003210E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03210E" w:rsidRPr="001D7A19" w:rsidRDefault="000321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03210E" w:rsidRPr="001D7A19" w:rsidRDefault="0003210E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3210E" w:rsidRDefault="000321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3210E" w:rsidRPr="001D7A19" w:rsidRDefault="0003210E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03210E" w:rsidRDefault="000321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3210E" w:rsidRDefault="000321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3210E" w:rsidRDefault="000321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3210E" w:rsidRDefault="0003210E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03210E" w:rsidRPr="001D7A19" w:rsidRDefault="0003210E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03210E" w:rsidRDefault="000321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3210E" w:rsidRDefault="000321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3210E" w:rsidRPr="001D7A19" w:rsidRDefault="0003210E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03210E" w:rsidRDefault="000321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03210E" w:rsidRDefault="000321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3210E" w:rsidRDefault="000321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3210E" w:rsidRDefault="000321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03210E" w:rsidRPr="001D7A19" w:rsidRDefault="0003210E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3210E" w:rsidRDefault="00032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3210E" w:rsidRDefault="00032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03210E" w:rsidRDefault="00032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03210E" w:rsidRPr="001D7A19" w:rsidRDefault="0003210E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03210E" w:rsidRDefault="000321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03210E" w:rsidRDefault="000321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03210E" w:rsidRDefault="0003210E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D47071" w:rsidRPr="005E1501" w:rsidRDefault="00D47071" w:rsidP="00D47071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D47071" w:rsidRDefault="00D47071" w:rsidP="00D4707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7071" w:rsidRDefault="00D47071" w:rsidP="00D47071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47071" w:rsidRPr="00F24B2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Zhotovitel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a.s.</w:t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47071" w:rsidRPr="0024633B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Sídlo společnosti: </w:t>
      </w:r>
      <w:r>
        <w:rPr>
          <w:rFonts w:ascii="Arial" w:hAnsi="Arial" w:cs="Arial"/>
          <w:color w:val="000000"/>
          <w:sz w:val="22"/>
          <w:szCs w:val="22"/>
        </w:rPr>
        <w:tab/>
        <w:t>Táborská 31, 140 16 Praha 4</w:t>
      </w:r>
    </w:p>
    <w:p w:rsidR="00D47071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47071" w:rsidRPr="00F24B2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F24B22">
        <w:rPr>
          <w:rFonts w:ascii="Arial" w:hAnsi="Arial" w:cs="Arial"/>
          <w:color w:val="000000"/>
          <w:sz w:val="22"/>
          <w:szCs w:val="22"/>
        </w:rPr>
        <w:t>: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D47071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>DIČ:</w:t>
      </w:r>
      <w:r w:rsidRPr="00F24B22"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color w:val="000000"/>
          <w:sz w:val="22"/>
          <w:szCs w:val="22"/>
        </w:rPr>
        <w:t>26475081</w:t>
      </w:r>
      <w:r w:rsidRPr="00F24B22">
        <w:rPr>
          <w:rFonts w:ascii="Arial" w:hAnsi="Arial" w:cs="Arial"/>
          <w:color w:val="000000"/>
          <w:sz w:val="22"/>
          <w:szCs w:val="22"/>
        </w:rPr>
        <w:tab/>
      </w:r>
    </w:p>
    <w:p w:rsidR="00B032ED" w:rsidRPr="00755B32" w:rsidRDefault="00B032ED" w:rsidP="00B032ED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54155">
        <w:rPr>
          <w:rFonts w:ascii="Arial" w:hAnsi="Arial" w:cs="Arial"/>
          <w:b/>
          <w:color w:val="000000"/>
          <w:sz w:val="22"/>
          <w:szCs w:val="22"/>
        </w:rPr>
        <w:t>Statutární orgán:</w:t>
      </w:r>
      <w:r w:rsidRPr="00755B32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 xml:space="preserve">Milan Moravec, Ph.D., předseda </w:t>
      </w:r>
      <w:r w:rsidRPr="00755B32">
        <w:rPr>
          <w:rFonts w:ascii="Arial" w:hAnsi="Arial" w:cs="Arial"/>
          <w:color w:val="000000"/>
          <w:sz w:val="22"/>
          <w:szCs w:val="22"/>
        </w:rPr>
        <w:t>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  <w:t xml:space="preserve">Ing. Vladimír </w:t>
      </w:r>
      <w:proofErr w:type="spellStart"/>
      <w:r w:rsidRPr="00755B32">
        <w:rPr>
          <w:rFonts w:ascii="Arial" w:hAnsi="Arial" w:cs="Arial"/>
          <w:color w:val="000000"/>
          <w:sz w:val="22"/>
          <w:szCs w:val="22"/>
        </w:rPr>
        <w:t>Mikule</w:t>
      </w:r>
      <w:proofErr w:type="spellEnd"/>
      <w:r w:rsidRPr="00755B32">
        <w:rPr>
          <w:rFonts w:ascii="Arial" w:hAnsi="Arial" w:cs="Arial"/>
          <w:color w:val="000000"/>
          <w:sz w:val="22"/>
          <w:szCs w:val="22"/>
        </w:rPr>
        <w:t>, místopředseda představenstva</w:t>
      </w:r>
      <w:r w:rsidRPr="00755B32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Ing. Nikola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Gorelová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členka představenstva</w:t>
      </w:r>
    </w:p>
    <w:p w:rsidR="00B032ED" w:rsidRPr="00755B32" w:rsidRDefault="00B032ED" w:rsidP="00B032ED">
      <w:pPr>
        <w:tabs>
          <w:tab w:val="left" w:pos="3969"/>
        </w:tabs>
        <w:autoSpaceDE w:val="0"/>
        <w:autoSpaceDN w:val="0"/>
        <w:adjustRightInd w:val="0"/>
        <w:spacing w:line="300" w:lineRule="atLeast"/>
        <w:ind w:left="3969" w:hanging="39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Smluvně oprávněn jednat:</w:t>
      </w:r>
      <w:r>
        <w:rPr>
          <w:rFonts w:ascii="Arial" w:hAnsi="Arial" w:cs="Arial"/>
          <w:spacing w:val="4"/>
          <w:sz w:val="22"/>
          <w:szCs w:val="22"/>
        </w:rPr>
        <w:tab/>
        <w:t>Společnost zastupuje vůči třetím osobám v celém rozsahu představenstvo a to vždy dvěma členy představenstva, nebo písemně pověřeným členem</w:t>
      </w:r>
    </w:p>
    <w:p w:rsidR="00D47071" w:rsidRPr="00F24B22" w:rsidRDefault="00B032ED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Technicky oprávněn jednat: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47071" w:rsidRPr="00755B3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47071" w:rsidRPr="00755B3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5B32">
        <w:rPr>
          <w:rFonts w:ascii="Arial" w:hAnsi="Arial" w:cs="Arial"/>
          <w:color w:val="000000"/>
          <w:sz w:val="22"/>
          <w:szCs w:val="22"/>
        </w:rPr>
        <w:t>číslo účtu:</w:t>
      </w:r>
      <w:r w:rsidRPr="00755B32">
        <w:rPr>
          <w:rFonts w:ascii="Arial" w:hAnsi="Arial" w:cs="Arial"/>
          <w:color w:val="000000"/>
          <w:sz w:val="22"/>
          <w:szCs w:val="22"/>
        </w:rPr>
        <w:tab/>
      </w:r>
    </w:p>
    <w:p w:rsidR="00D47071" w:rsidRPr="00F24B2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47071" w:rsidRPr="00F24B22" w:rsidRDefault="00D47071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F24B22">
        <w:rPr>
          <w:rFonts w:ascii="Arial" w:hAnsi="Arial" w:cs="Arial"/>
          <w:color w:val="000000"/>
          <w:sz w:val="22"/>
          <w:szCs w:val="22"/>
        </w:rPr>
        <w:t xml:space="preserve">Společnost </w:t>
      </w:r>
      <w:proofErr w:type="spellStart"/>
      <w:r w:rsidRPr="00944D0B">
        <w:rPr>
          <w:rFonts w:ascii="Arial" w:hAnsi="Arial" w:cs="Arial"/>
          <w:bCs/>
          <w:color w:val="000000"/>
          <w:sz w:val="22"/>
          <w:szCs w:val="22"/>
        </w:rPr>
        <w:t>Sweco</w:t>
      </w:r>
      <w:proofErr w:type="spellEnd"/>
      <w:r w:rsidRPr="00944D0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44D0B">
        <w:rPr>
          <w:rFonts w:ascii="Arial" w:hAnsi="Arial" w:cs="Arial"/>
          <w:bCs/>
          <w:color w:val="000000"/>
          <w:sz w:val="22"/>
          <w:szCs w:val="22"/>
        </w:rPr>
        <w:t>Hydroprojekt</w:t>
      </w:r>
      <w:proofErr w:type="spellEnd"/>
      <w:r w:rsidRPr="00944D0B">
        <w:rPr>
          <w:rFonts w:ascii="Arial" w:hAnsi="Arial" w:cs="Arial"/>
          <w:bCs/>
          <w:color w:val="000000"/>
          <w:sz w:val="22"/>
          <w:szCs w:val="22"/>
        </w:rPr>
        <w:t xml:space="preserve"> a.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44D0B">
        <w:rPr>
          <w:rFonts w:ascii="Arial" w:hAnsi="Arial" w:cs="Arial"/>
          <w:bCs/>
          <w:color w:val="000000"/>
          <w:sz w:val="22"/>
          <w:szCs w:val="22"/>
        </w:rPr>
        <w:t>s.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je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zapsána u </w:t>
      </w:r>
      <w:r>
        <w:rPr>
          <w:rFonts w:ascii="Arial" w:hAnsi="Arial" w:cs="Arial"/>
          <w:color w:val="000000"/>
          <w:sz w:val="22"/>
          <w:szCs w:val="22"/>
        </w:rPr>
        <w:t>Městského soudu v Praze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 oddíl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F24B22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7326</w:t>
      </w:r>
      <w:r w:rsidRPr="00F24B22">
        <w:rPr>
          <w:rFonts w:ascii="Arial" w:hAnsi="Arial" w:cs="Arial"/>
          <w:color w:val="000000"/>
          <w:sz w:val="22"/>
          <w:szCs w:val="22"/>
        </w:rPr>
        <w:t>.</w:t>
      </w:r>
    </w:p>
    <w:p w:rsidR="00B8283A" w:rsidRPr="00F24B22" w:rsidRDefault="00B8283A" w:rsidP="00D4707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</w:t>
      </w:r>
      <w:r w:rsidR="00D47071">
        <w:rPr>
          <w:rFonts w:ascii="Arial" w:hAnsi="Arial" w:cs="Arial"/>
          <w:color w:val="000000"/>
          <w:sz w:val="22"/>
          <w:szCs w:val="22"/>
        </w:rPr>
        <w:t>zhotovitel</w:t>
      </w:r>
      <w:r>
        <w:rPr>
          <w:rFonts w:ascii="Arial" w:hAnsi="Arial" w:cs="Arial"/>
          <w:color w:val="000000"/>
          <w:sz w:val="22"/>
          <w:szCs w:val="22"/>
        </w:rPr>
        <w:t>“) na straně druhé.</w:t>
      </w:r>
    </w:p>
    <w:p w:rsidR="00A9757F" w:rsidRDefault="00A9757F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dohodly na uzavření tohoto dodatku č.</w:t>
      </w:r>
      <w:r w:rsidR="00D47071">
        <w:rPr>
          <w:rFonts w:ascii="Arial" w:hAnsi="Arial" w:cs="Arial"/>
          <w:color w:val="000000"/>
          <w:sz w:val="22"/>
          <w:szCs w:val="22"/>
        </w:rPr>
        <w:t xml:space="preserve"> 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</w:t>
      </w:r>
      <w:r w:rsidR="00D47071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47071">
        <w:rPr>
          <w:rFonts w:ascii="Arial" w:hAnsi="Arial" w:cs="Arial"/>
          <w:color w:val="000000"/>
          <w:sz w:val="22"/>
          <w:szCs w:val="22"/>
        </w:rPr>
        <w:t>07</w:t>
      </w:r>
      <w:r>
        <w:rPr>
          <w:rFonts w:ascii="Arial" w:hAnsi="Arial" w:cs="Arial"/>
          <w:color w:val="000000"/>
          <w:sz w:val="22"/>
          <w:szCs w:val="22"/>
        </w:rPr>
        <w:t>.201</w:t>
      </w:r>
      <w:r w:rsidR="00D47071">
        <w:rPr>
          <w:rFonts w:ascii="Arial" w:hAnsi="Arial" w:cs="Arial"/>
          <w:color w:val="000000"/>
          <w:sz w:val="22"/>
          <w:szCs w:val="22"/>
        </w:rPr>
        <w:t>7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D47071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D47071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47071">
        <w:rPr>
          <w:rFonts w:ascii="Arial" w:hAnsi="Arial" w:cs="Arial"/>
          <w:color w:val="000000"/>
          <w:sz w:val="22"/>
          <w:szCs w:val="22"/>
          <w:u w:val="single"/>
        </w:rPr>
        <w:t>Část původního znění:</w:t>
      </w:r>
    </w:p>
    <w:p w:rsidR="00216D9C" w:rsidRDefault="00216D9C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47071" w:rsidRPr="001D7A19" w:rsidRDefault="00D47071" w:rsidP="00D47071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47071" w:rsidRDefault="00D47071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</w:t>
      </w:r>
      <w:r>
        <w:rPr>
          <w:rFonts w:ascii="Arial CE" w:hAnsi="Arial CE" w:cs="Arial"/>
          <w:color w:val="000000"/>
          <w:sz w:val="22"/>
          <w:szCs w:val="22"/>
        </w:rPr>
        <w:t>se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 w:rsidRPr="000A37B0">
        <w:rPr>
          <w:rFonts w:ascii="Arial" w:hAnsi="Arial" w:cs="Arial"/>
          <w:color w:val="000000"/>
          <w:sz w:val="22"/>
          <w:szCs w:val="22"/>
        </w:rPr>
        <w:t>zastupuje objednatele:</w:t>
      </w:r>
      <w:r w:rsidRPr="000A37B0">
        <w:rPr>
          <w:rFonts w:ascii="Arial" w:hAnsi="Arial" w:cs="Arial"/>
          <w:color w:val="000000"/>
          <w:sz w:val="22"/>
          <w:szCs w:val="22"/>
        </w:rPr>
        <w:tab/>
      </w:r>
    </w:p>
    <w:p w:rsidR="0003210E" w:rsidRDefault="0003210E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03210E" w:rsidRPr="003A03DC" w:rsidRDefault="0003210E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/>
          <w:sz w:val="22"/>
          <w:szCs w:val="22"/>
        </w:rPr>
      </w:pPr>
    </w:p>
    <w:p w:rsidR="00D47071" w:rsidRPr="00D47071" w:rsidRDefault="00D47071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47071">
        <w:rPr>
          <w:rFonts w:ascii="Arial" w:hAnsi="Arial" w:cs="Arial"/>
          <w:color w:val="000000"/>
          <w:sz w:val="22"/>
          <w:szCs w:val="22"/>
          <w:u w:val="single"/>
        </w:rPr>
        <w:t>Část nového znění:</w:t>
      </w:r>
    </w:p>
    <w:p w:rsidR="00216D9C" w:rsidRPr="001D7A19" w:rsidRDefault="00216D9C" w:rsidP="00216D9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D47071" w:rsidRDefault="00D47071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47071" w:rsidRDefault="00D47071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</w:t>
      </w:r>
      <w:r>
        <w:rPr>
          <w:rFonts w:ascii="Arial CE" w:hAnsi="Arial CE" w:cs="Arial"/>
          <w:color w:val="000000"/>
          <w:sz w:val="22"/>
          <w:szCs w:val="22"/>
        </w:rPr>
        <w:t>se</w:t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 </w:t>
      </w:r>
      <w:r>
        <w:rPr>
          <w:rFonts w:ascii="Arial CE" w:hAnsi="Arial CE" w:cs="Arial"/>
          <w:color w:val="000000"/>
          <w:sz w:val="22"/>
          <w:szCs w:val="22"/>
        </w:rPr>
        <w:t>zhotovitelem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</w:r>
      <w:r w:rsidRPr="001E524E">
        <w:rPr>
          <w:rFonts w:ascii="Arial CE" w:hAnsi="Arial CE" w:cs="Arial"/>
          <w:sz w:val="22"/>
          <w:szCs w:val="22"/>
        </w:rPr>
        <w:lastRenderedPageBreak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zastupuje objednatele: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3210E" w:rsidRDefault="0003210E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03210E" w:rsidRDefault="0003210E" w:rsidP="0003210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47071" w:rsidRPr="00216D9C" w:rsidRDefault="00216D9C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216D9C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216D9C" w:rsidRPr="001D7A19" w:rsidRDefault="00216D9C" w:rsidP="00216D9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16D9C" w:rsidRPr="001D7A19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216D9C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216D9C" w:rsidRPr="00216D9C" w:rsidRDefault="00216D9C" w:rsidP="00216D9C">
      <w:pPr>
        <w:rPr>
          <w:rFonts w:ascii="Arial CE" w:hAnsi="Arial CE"/>
        </w:rPr>
      </w:pPr>
    </w:p>
    <w:p w:rsidR="00216D9C" w:rsidRPr="00B407D7" w:rsidRDefault="00216D9C" w:rsidP="00216D9C">
      <w:pPr>
        <w:pStyle w:val="Odstavecseseznamem"/>
        <w:numPr>
          <w:ilvl w:val="0"/>
          <w:numId w:val="43"/>
        </w:numPr>
        <w:spacing w:line="240" w:lineRule="auto"/>
        <w:ind w:hanging="720"/>
        <w:rPr>
          <w:rFonts w:ascii="Arial CE" w:hAnsi="Arial CE"/>
          <w:b/>
        </w:rPr>
      </w:pPr>
      <w:r w:rsidRPr="00407F67">
        <w:rPr>
          <w:rFonts w:ascii="Arial CE" w:hAnsi="Arial CE"/>
          <w:b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/>
          <w:b/>
        </w:rPr>
        <w:t xml:space="preserve">průzkumných prací, geodetického zaměření, </w:t>
      </w:r>
      <w:r w:rsidRPr="00B407D7">
        <w:rPr>
          <w:rFonts w:ascii="Arial CE" w:hAnsi="Arial CE"/>
          <w:b/>
        </w:rPr>
        <w:t xml:space="preserve">návrhu povodňového a havarijního plánu (dále jen PP a HP), vyhodnocení potřeby zajištění koordinátora BOZP v přípravě a realizaci stavby </w:t>
      </w:r>
    </w:p>
    <w:p w:rsidR="00216D9C" w:rsidRPr="00407F67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16D9C" w:rsidRPr="00F32879" w:rsidRDefault="00216D9C" w:rsidP="00216D9C">
      <w:pPr>
        <w:pStyle w:val="Odstavecseseznamem"/>
        <w:numPr>
          <w:ilvl w:val="0"/>
          <w:numId w:val="43"/>
        </w:numPr>
        <w:spacing w:line="240" w:lineRule="auto"/>
        <w:ind w:hanging="720"/>
        <w:jc w:val="left"/>
        <w:rPr>
          <w:rFonts w:ascii="Arial CE" w:hAnsi="Arial CE"/>
          <w:b/>
        </w:rPr>
      </w:pPr>
      <w:r w:rsidRPr="00F32879">
        <w:rPr>
          <w:rFonts w:ascii="Arial CE" w:hAnsi="Arial CE"/>
          <w:b/>
        </w:rPr>
        <w:t>Autorský dozor (AD)</w:t>
      </w:r>
    </w:p>
    <w:p w:rsidR="00D47071" w:rsidRDefault="00D47071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216D9C" w:rsidRDefault="00216D9C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216D9C">
        <w:rPr>
          <w:rFonts w:ascii="Arial" w:hAnsi="Arial" w:cs="Arial"/>
          <w:color w:val="000000"/>
          <w:sz w:val="22"/>
          <w:szCs w:val="22"/>
          <w:u w:val="single"/>
        </w:rPr>
        <w:t>Nové znění:</w:t>
      </w:r>
    </w:p>
    <w:p w:rsidR="00216D9C" w:rsidRPr="001D7A19" w:rsidRDefault="00216D9C" w:rsidP="00216D9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216D9C" w:rsidRPr="001D7A19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216D9C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>
        <w:rPr>
          <w:rFonts w:ascii="Arial CE" w:hAnsi="Arial CE" w:cs="Arial"/>
          <w:sz w:val="22"/>
          <w:szCs w:val="22"/>
        </w:rPr>
        <w:t xml:space="preserve">kompletní </w:t>
      </w:r>
      <w:r w:rsidRPr="001D7A19">
        <w:rPr>
          <w:rFonts w:ascii="Arial CE" w:hAnsi="Arial CE" w:cs="Arial"/>
          <w:sz w:val="22"/>
          <w:szCs w:val="22"/>
        </w:rPr>
        <w:t>projektovou dokumentaci (dále jen PD) a související výkony:</w:t>
      </w:r>
    </w:p>
    <w:p w:rsidR="00216D9C" w:rsidRPr="00216D9C" w:rsidRDefault="00216D9C" w:rsidP="00216D9C">
      <w:pPr>
        <w:jc w:val="both"/>
        <w:rPr>
          <w:rFonts w:ascii="Arial CE" w:hAnsi="Arial CE"/>
        </w:rPr>
      </w:pPr>
    </w:p>
    <w:p w:rsidR="00216D9C" w:rsidRPr="00B407D7" w:rsidRDefault="00216D9C" w:rsidP="00216D9C">
      <w:pPr>
        <w:pStyle w:val="Odstavecseseznamem"/>
        <w:numPr>
          <w:ilvl w:val="0"/>
          <w:numId w:val="44"/>
        </w:numPr>
        <w:spacing w:line="240" w:lineRule="auto"/>
        <w:rPr>
          <w:rFonts w:ascii="Arial CE" w:hAnsi="Arial CE"/>
          <w:b/>
        </w:rPr>
      </w:pPr>
      <w:r w:rsidRPr="00407F67">
        <w:rPr>
          <w:rFonts w:ascii="Arial CE" w:hAnsi="Arial CE"/>
          <w:b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/>
          <w:b/>
        </w:rPr>
        <w:t>průzkumných prací, geodetického zaměření</w:t>
      </w:r>
      <w:r w:rsidRPr="00216D9C">
        <w:rPr>
          <w:rFonts w:ascii="Arial CE" w:hAnsi="Arial CE"/>
          <w:b/>
        </w:rPr>
        <w:t>, ověřeného geometrického plánu</w:t>
      </w:r>
      <w:r>
        <w:rPr>
          <w:rFonts w:ascii="Arial CE" w:hAnsi="Arial CE"/>
          <w:b/>
        </w:rPr>
        <w:t xml:space="preserve">, </w:t>
      </w:r>
      <w:r w:rsidRPr="00B407D7">
        <w:rPr>
          <w:rFonts w:ascii="Arial CE" w:hAnsi="Arial CE"/>
          <w:b/>
        </w:rPr>
        <w:t xml:space="preserve">návrhu povodňového a havarijního plánu (dále jen PP a HP), vyhodnocení potřeby zajištění koordinátora BOZP v přípravě a realizaci stavby </w:t>
      </w:r>
    </w:p>
    <w:p w:rsidR="00216D9C" w:rsidRPr="00407F67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216D9C" w:rsidRPr="00F32879" w:rsidRDefault="00216D9C" w:rsidP="00216D9C">
      <w:pPr>
        <w:pStyle w:val="Odstavecseseznamem"/>
        <w:numPr>
          <w:ilvl w:val="0"/>
          <w:numId w:val="44"/>
        </w:numPr>
        <w:spacing w:line="240" w:lineRule="auto"/>
        <w:rPr>
          <w:rFonts w:ascii="Arial CE" w:hAnsi="Arial CE"/>
          <w:b/>
        </w:rPr>
      </w:pPr>
      <w:r w:rsidRPr="00F32879">
        <w:rPr>
          <w:rFonts w:ascii="Arial CE" w:hAnsi="Arial CE"/>
          <w:b/>
        </w:rPr>
        <w:t>Autorský dozor (AD)</w:t>
      </w:r>
    </w:p>
    <w:p w:rsidR="00216D9C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6B0DCA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B0DCA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216D9C" w:rsidRPr="001D7A19" w:rsidRDefault="00216D9C" w:rsidP="00216D9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:rsidR="00216D9C" w:rsidRDefault="00216D9C" w:rsidP="00216D9C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216D9C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zavazuje provést dílo v souladu s §159 zákona </w:t>
      </w:r>
      <w:r w:rsidRPr="00043803">
        <w:rPr>
          <w:rFonts w:ascii="Arial CE" w:hAnsi="Arial CE" w:cs="Arial"/>
          <w:sz w:val="22"/>
          <w:szCs w:val="22"/>
        </w:rPr>
        <w:t>č. 183/2006 Sb., o územním</w:t>
      </w:r>
      <w:r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Pr="001D7A19">
        <w:rPr>
          <w:rFonts w:ascii="Arial CE" w:hAnsi="Arial CE" w:cs="Arial"/>
          <w:sz w:val="22"/>
          <w:szCs w:val="22"/>
        </w:rPr>
        <w:t>, v platném znění s odbornou péčí, v rozsahu a kvalitě podle t</w:t>
      </w:r>
      <w:r>
        <w:rPr>
          <w:rFonts w:ascii="Arial CE" w:hAnsi="Arial CE" w:cs="Arial"/>
          <w:sz w:val="22"/>
          <w:szCs w:val="22"/>
        </w:rPr>
        <w:t>éto smlouvy a v termínu plnění, jak je definováno níže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344662">
        <w:rPr>
          <w:rFonts w:ascii="Arial CE" w:hAnsi="Arial CE" w:cs="Arial"/>
          <w:sz w:val="22"/>
          <w:szCs w:val="22"/>
        </w:rPr>
        <w:t xml:space="preserve">Součástí plnění díla je písemné projednání </w:t>
      </w:r>
      <w:r>
        <w:rPr>
          <w:rFonts w:ascii="Arial CE" w:hAnsi="Arial CE" w:cs="Arial"/>
          <w:sz w:val="22"/>
          <w:szCs w:val="22"/>
        </w:rPr>
        <w:t xml:space="preserve">připravované </w:t>
      </w:r>
      <w:r w:rsidRPr="00344662">
        <w:rPr>
          <w:rFonts w:ascii="Arial CE" w:hAnsi="Arial CE" w:cs="Arial"/>
          <w:sz w:val="22"/>
          <w:szCs w:val="22"/>
        </w:rPr>
        <w:t>stavby se všemi přímo dotčenými subjekty.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6D9C" w:rsidRDefault="00216D9C" w:rsidP="00216D9C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16D9C" w:rsidRPr="0038627B" w:rsidRDefault="00216D9C" w:rsidP="00216D9C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16D9C" w:rsidRPr="004A574D" w:rsidRDefault="00216D9C" w:rsidP="00216D9C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216D9C" w:rsidRPr="00B407D7" w:rsidRDefault="00216D9C" w:rsidP="00216D9C">
      <w:pPr>
        <w:pStyle w:val="Odstavecseseznamem"/>
        <w:numPr>
          <w:ilvl w:val="0"/>
          <w:numId w:val="47"/>
        </w:numPr>
        <w:spacing w:line="240" w:lineRule="auto"/>
        <w:ind w:hanging="720"/>
        <w:rPr>
          <w:rFonts w:ascii="Arial CE" w:hAnsi="Arial CE"/>
          <w:b/>
        </w:rPr>
      </w:pPr>
      <w:r w:rsidRPr="00407F67">
        <w:rPr>
          <w:rFonts w:ascii="Arial CE" w:hAnsi="Arial CE"/>
          <w:b/>
        </w:rPr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/>
          <w:b/>
        </w:rPr>
        <w:t xml:space="preserve">průzkumných prací, geodetického zaměření, </w:t>
      </w:r>
      <w:r w:rsidRPr="00B407D7">
        <w:rPr>
          <w:rFonts w:ascii="Arial CE" w:hAnsi="Arial CE"/>
          <w:b/>
        </w:rPr>
        <w:t xml:space="preserve">návrhu povodňového a havarijního plánu (dále jen PP a HP), vyhodnocení potřeby zajištění koordinátora BOZP v přípravě a realizaci stavby </w:t>
      </w:r>
    </w:p>
    <w:p w:rsidR="00216D9C" w:rsidRPr="003F7355" w:rsidRDefault="00216D9C" w:rsidP="00216D9C">
      <w:pPr>
        <w:autoSpaceDE w:val="0"/>
        <w:autoSpaceDN w:val="0"/>
        <w:adjustRightInd w:val="0"/>
        <w:ind w:left="-360"/>
        <w:jc w:val="both"/>
        <w:rPr>
          <w:rFonts w:ascii="Arial CE" w:hAnsi="Arial CE" w:cs="Arial"/>
          <w:sz w:val="22"/>
          <w:szCs w:val="22"/>
        </w:rPr>
      </w:pPr>
    </w:p>
    <w:p w:rsidR="00216D9C" w:rsidRPr="003F7355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F7355">
        <w:rPr>
          <w:rFonts w:ascii="Arial CE" w:hAnsi="Arial CE" w:cs="Arial"/>
          <w:sz w:val="22"/>
          <w:szCs w:val="22"/>
        </w:rPr>
        <w:t>Projektová dokumentace bude zpracována v souladu s vyhláškou č. 62/2013 Sb.</w:t>
      </w:r>
      <w:r w:rsidRPr="003F7355">
        <w:rPr>
          <w:rFonts w:ascii="Arial CE" w:hAnsi="Arial CE" w:cs="Arial"/>
          <w:bCs/>
          <w:sz w:val="22"/>
          <w:szCs w:val="22"/>
        </w:rPr>
        <w:t>, kterou se mění vyhláška č. 499/2006 Sb., o dokumentaci staveb</w:t>
      </w:r>
      <w:r w:rsidRPr="003F7355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F7355">
        <w:rPr>
          <w:rFonts w:ascii="Arial CE" w:hAnsi="Arial CE" w:cs="Arial"/>
          <w:sz w:val="22"/>
          <w:szCs w:val="22"/>
        </w:rPr>
        <w:t>v platném znění, obsah dokumentace bude odpovídat příloze č. 5 a 6 této vyhlášky.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</w:rPr>
        <w:t xml:space="preserve">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 xml:space="preserve">Součástí </w:t>
      </w:r>
      <w:r w:rsidRPr="00216D9C">
        <w:rPr>
          <w:rFonts w:ascii="Arial" w:hAnsi="Arial" w:cs="Arial"/>
          <w:bCs/>
          <w:sz w:val="22"/>
          <w:szCs w:val="22"/>
          <w:u w:val="single"/>
        </w:rPr>
        <w:t>PD</w:t>
      </w:r>
      <w:r w:rsidRPr="00216D9C">
        <w:rPr>
          <w:rFonts w:ascii="Arial" w:hAnsi="Arial" w:cs="Arial"/>
          <w:sz w:val="22"/>
          <w:szCs w:val="22"/>
          <w:u w:val="single"/>
        </w:rPr>
        <w:t xml:space="preserve"> </w:t>
      </w:r>
      <w:r w:rsidRPr="00216D9C">
        <w:rPr>
          <w:rFonts w:ascii="Arial" w:hAnsi="Arial" w:cs="Arial"/>
          <w:bCs/>
          <w:sz w:val="22"/>
          <w:szCs w:val="22"/>
          <w:u w:val="single"/>
        </w:rPr>
        <w:t xml:space="preserve">mj. </w:t>
      </w:r>
      <w:r w:rsidRPr="00216D9C">
        <w:rPr>
          <w:rFonts w:ascii="Arial" w:hAnsi="Arial" w:cs="Arial"/>
          <w:sz w:val="22"/>
          <w:szCs w:val="22"/>
          <w:u w:val="single"/>
        </w:rPr>
        <w:t>bude: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>přehled právních předpisů a technických norem vztahujících se ke stavbě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>zajištění podkladů, průzkumů a zkoušek potřebných pro zpracování PD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 xml:space="preserve">zajištění dokladové části a stanovisek dotčených orgánů státní správy pro následné povolení stavby 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>uvedení předpokládané lhůty výstavby včetně technického popisu postupů a podmínek pro provádění stavebních prací při respektování nutných technologických přestávek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>návrh zásad kontroly kvality prací (KZP)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 xml:space="preserve">charakteristická fotodokumentace stavu konstrukcí a dotčených objektů v období projektové přípravy v počtu 2x </w:t>
      </w:r>
      <w:proofErr w:type="spellStart"/>
      <w:r w:rsidRPr="00B032ED">
        <w:t>paré</w:t>
      </w:r>
      <w:proofErr w:type="spellEnd"/>
      <w:r w:rsidRPr="00B032ED">
        <w:t xml:space="preserve"> tištěné + 1x na elektronickém nosiči dat</w:t>
      </w:r>
    </w:p>
    <w:p w:rsidR="00216D9C" w:rsidRPr="00B032ED" w:rsidRDefault="00216D9C" w:rsidP="00B032ED">
      <w:pPr>
        <w:pStyle w:val="Odstavecseseznamem"/>
        <w:numPr>
          <w:ilvl w:val="0"/>
          <w:numId w:val="49"/>
        </w:numPr>
      </w:pPr>
      <w:r w:rsidRPr="00B032ED">
        <w:t xml:space="preserve">soupis prací, oceněný soupis prací s výkazem výměr pro jednotlivé SO (PS), dle prováděcí vyhlášky č. 169/2016 Sb. k zákonu č. 134/2016 Sb., o zadávání veřejných zakázkách, v platném znění. 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PD. Oceněný soupis prací zpracuje dodavatel v počtu - 2x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a vloží je do </w:t>
      </w:r>
      <w:proofErr w:type="spellStart"/>
      <w:proofErr w:type="gram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proofErr w:type="gramEnd"/>
      <w:r w:rsidRPr="00216D9C">
        <w:rPr>
          <w:rFonts w:ascii="Arial" w:hAnsi="Arial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216D9C">
        <w:rPr>
          <w:rFonts w:ascii="Arial" w:hAnsi="Arial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216D9C">
        <w:rPr>
          <w:rFonts w:ascii="Arial" w:hAnsi="Arial" w:cs="Arial"/>
          <w:sz w:val="22"/>
          <w:szCs w:val="22"/>
        </w:rPr>
        <w:t>www.xc4.cz</w:t>
      </w:r>
      <w:r w:rsidRPr="00216D9C">
        <w:rPr>
          <w:rFonts w:ascii="Arial" w:hAnsi="Arial" w:cs="Arial"/>
          <w:color w:val="000000"/>
          <w:sz w:val="22"/>
          <w:szCs w:val="22"/>
        </w:rPr>
        <w:t>.</w:t>
      </w:r>
    </w:p>
    <w:p w:rsidR="00216D9C" w:rsidRPr="00216D9C" w:rsidRDefault="00216D9C" w:rsidP="00216D9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6D9C">
        <w:rPr>
          <w:rFonts w:ascii="Arial" w:hAnsi="Arial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216D9C">
        <w:rPr>
          <w:rFonts w:ascii="Arial" w:hAnsi="Arial" w:cs="Arial"/>
          <w:b/>
          <w:color w:val="000000"/>
          <w:sz w:val="22"/>
          <w:szCs w:val="22"/>
        </w:rPr>
        <w:t>kalkulace</w:t>
      </w:r>
      <w:r w:rsidRPr="00216D9C">
        <w:rPr>
          <w:rFonts w:ascii="Arial" w:hAnsi="Arial" w:cs="Arial"/>
          <w:color w:val="000000"/>
          <w:sz w:val="22"/>
          <w:szCs w:val="22"/>
        </w:rPr>
        <w:t xml:space="preserve"> každé takovéto položky.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Dokumentace bude předána</w:t>
      </w:r>
      <w:r w:rsidRPr="00216D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16D9C">
        <w:rPr>
          <w:rFonts w:ascii="Arial" w:hAnsi="Arial" w:cs="Arial"/>
          <w:sz w:val="22"/>
          <w:szCs w:val="22"/>
        </w:rPr>
        <w:t xml:space="preserve">MPR v počtu 6x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Geodetické zaměření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Geodetické zaměření lokality pro následné zpracování projektové dokumentace na podkladu platné katastrální mapy dle zákona č. 200/1994 sb., o zeměměřictví v platném znění a vyhlášce č. 357/2013 Sb., o katastru nemovitostí v platném znění. Geodetické zaměření zájmové lokality bude provedeno v souřadnicovém systému Jednotné trigonometrické sítě katastrální (S-JTSK) a výškovém systému baltském - po vyrovnání (</w:t>
      </w:r>
      <w:proofErr w:type="spellStart"/>
      <w:r w:rsidRPr="00216D9C">
        <w:rPr>
          <w:rFonts w:ascii="Arial" w:hAnsi="Arial" w:cs="Arial"/>
          <w:sz w:val="22"/>
          <w:szCs w:val="22"/>
        </w:rPr>
        <w:t>Bpv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Geodetické zaměření</w:t>
      </w:r>
      <w:r w:rsidRPr="00216D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16D9C">
        <w:rPr>
          <w:rFonts w:ascii="Arial" w:hAnsi="Arial" w:cs="Arial"/>
          <w:sz w:val="22"/>
          <w:szCs w:val="22"/>
        </w:rPr>
        <w:t xml:space="preserve">a bude předáno MPR v 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Průzkumné práce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Dodavatel zajistí provedení veškerých průzkumných prací včetně průzkumu trasy vedení </w:t>
      </w:r>
      <w:proofErr w:type="spellStart"/>
      <w:r w:rsidRPr="00216D9C">
        <w:rPr>
          <w:rFonts w:ascii="Arial" w:hAnsi="Arial" w:cs="Arial"/>
          <w:sz w:val="22"/>
          <w:szCs w:val="22"/>
        </w:rPr>
        <w:t>inž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. sítí (IS), kde je předpoklad kolize IS se stavbou a zároveň prohlašuje, že jím nadefinovaný </w:t>
      </w:r>
      <w:r w:rsidRPr="00216D9C">
        <w:rPr>
          <w:rFonts w:ascii="Arial" w:hAnsi="Arial" w:cs="Arial"/>
          <w:sz w:val="22"/>
          <w:szCs w:val="22"/>
        </w:rPr>
        <w:lastRenderedPageBreak/>
        <w:t xml:space="preserve">rozsah průzkumných prací je dostačující jako podklad pro zhotovení kvalitní projektové dokumentace. K provádění průzkumných prací na místě bude přizván TDS prostřednictvím MPR. </w:t>
      </w:r>
    </w:p>
    <w:p w:rsidR="00216D9C" w:rsidRPr="00216D9C" w:rsidRDefault="00216D9C" w:rsidP="00216D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Výsledná zpráva bude předána MPR v 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 xml:space="preserve">Oblast BOZP: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Pokud dodavatel vyhodnotí, že budou na staveništi vykonávány práce a činnosti vystavující fyzickou osobu zvýšenému ohrožení života nebo poškození zdraví (podle § 15 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Objednatel následně zajistí zpracování plánu BOZP koordinátorem BOZP v době přípravy stavby. Dodavatel je povinen v době přípravy, resp. v době zpracovávání PD poskytnout pověřenému koordinátorovi podklady, informace a součinnost.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Pokud dodavatel vyhodnotí, že je nutné ve fázi přípravy a realizace stavby zajistit koordinátora BOZP (dle vyhlášky č. 62/2013 Sb., kterou se mění vyhláška č. 499/2006 Sb., o dokumentaci staveb), je povinen sdělit to neprodleně objednateli, a to prokazatelným způsobem (např. v zápise z výrobního výboru, elektronickou poštou, poštou) ještě v době zpracovávání PD.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Objednatel následně smluvně zajistí činnost koordinátora BOZP oprávněnou osobou pro dobu přípravy a realizace stavby, která zpracuje plán BOZP po dobu přípravy stavby a pro realizaci stavby. Objednavatel/ dodavatel je povinen v době zpracovávání PD poskytnout pověřenému koordinátorovi podklady, informace a součinnost.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Návrh povodňového a havarijního plánu, (PP, HP)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Návrh HP a PP bude předán MPR v 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Výkresy budou na vyžádání objednavatele předány samostatně 1x na elektronickém nosiči dat v editovatelném formátu pro potřeby objednatele </w:t>
      </w:r>
      <w:r w:rsidRPr="00216D9C">
        <w:rPr>
          <w:rFonts w:ascii="Arial" w:hAnsi="Arial" w:cs="Arial"/>
          <w:i/>
          <w:sz w:val="22"/>
          <w:szCs w:val="22"/>
        </w:rPr>
        <w:t xml:space="preserve">(doc,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docx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xls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xlsx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dwg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dgn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dxf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shapefile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 (2D), popř. i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raster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). </w:t>
      </w:r>
      <w:r w:rsidRPr="00216D9C">
        <w:rPr>
          <w:rFonts w:ascii="Arial" w:hAnsi="Arial" w:cs="Arial"/>
          <w:sz w:val="22"/>
          <w:szCs w:val="22"/>
        </w:rPr>
        <w:t xml:space="preserve">Výkresy budou v souřadnicovém systému S-JTSK.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Dokumentace bude předána MPR v počtu 6x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6B0DCA" w:rsidRDefault="00216D9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B0DCA">
        <w:rPr>
          <w:rFonts w:ascii="Arial" w:hAnsi="Arial" w:cs="Arial"/>
          <w:color w:val="000000"/>
          <w:sz w:val="22"/>
          <w:szCs w:val="22"/>
          <w:u w:val="single"/>
        </w:rPr>
        <w:t>Nové znění:</w:t>
      </w:r>
    </w:p>
    <w:p w:rsidR="00216D9C" w:rsidRPr="006B0DCA" w:rsidRDefault="00216D9C" w:rsidP="00216D9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6B0DCA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6B0DCA">
        <w:rPr>
          <w:rFonts w:ascii="Arial CE" w:hAnsi="Arial CE" w:cs="Arial"/>
          <w:b/>
          <w:color w:val="000000"/>
          <w:sz w:val="22"/>
          <w:szCs w:val="22"/>
          <w:u w:val="single"/>
        </w:rPr>
        <w:tab/>
        <w:t>DÍLO A ZPŮSOB PROVEDENÍ DÍLA</w:t>
      </w:r>
    </w:p>
    <w:p w:rsidR="00216D9C" w:rsidRDefault="00216D9C" w:rsidP="00216D9C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216D9C" w:rsidRDefault="00216D9C" w:rsidP="00216D9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zavazuje provést dílo v souladu s §159 zákona </w:t>
      </w:r>
      <w:r w:rsidRPr="00043803">
        <w:rPr>
          <w:rFonts w:ascii="Arial CE" w:hAnsi="Arial CE" w:cs="Arial"/>
          <w:sz w:val="22"/>
          <w:szCs w:val="22"/>
        </w:rPr>
        <w:t>č. 183/2006 Sb., o územním</w:t>
      </w:r>
      <w:r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Pr="001D7A19">
        <w:rPr>
          <w:rFonts w:ascii="Arial CE" w:hAnsi="Arial CE" w:cs="Arial"/>
          <w:sz w:val="22"/>
          <w:szCs w:val="22"/>
        </w:rPr>
        <w:t>, v platném znění s odbornou péčí, v rozsahu a kvalitě podle t</w:t>
      </w:r>
      <w:r>
        <w:rPr>
          <w:rFonts w:ascii="Arial CE" w:hAnsi="Arial CE" w:cs="Arial"/>
          <w:sz w:val="22"/>
          <w:szCs w:val="22"/>
        </w:rPr>
        <w:t>éto smlouvy a v termínu plnění, jak je definováno níže</w:t>
      </w:r>
      <w:r w:rsidRPr="001D7A19">
        <w:rPr>
          <w:rFonts w:ascii="Arial CE" w:hAnsi="Arial CE" w:cs="Arial"/>
          <w:sz w:val="22"/>
          <w:szCs w:val="22"/>
        </w:rPr>
        <w:t>.</w:t>
      </w:r>
      <w:r>
        <w:rPr>
          <w:rFonts w:ascii="Arial CE" w:hAnsi="Arial CE" w:cs="Arial"/>
          <w:sz w:val="22"/>
          <w:szCs w:val="22"/>
        </w:rPr>
        <w:t xml:space="preserve"> </w:t>
      </w:r>
      <w:r w:rsidRPr="00344662">
        <w:rPr>
          <w:rFonts w:ascii="Arial CE" w:hAnsi="Arial CE" w:cs="Arial"/>
          <w:sz w:val="22"/>
          <w:szCs w:val="22"/>
        </w:rPr>
        <w:t xml:space="preserve">Součástí plnění díla je písemné projednání </w:t>
      </w:r>
      <w:r>
        <w:rPr>
          <w:rFonts w:ascii="Arial CE" w:hAnsi="Arial CE" w:cs="Arial"/>
          <w:sz w:val="22"/>
          <w:szCs w:val="22"/>
        </w:rPr>
        <w:t xml:space="preserve">připravované </w:t>
      </w:r>
      <w:r w:rsidRPr="00344662">
        <w:rPr>
          <w:rFonts w:ascii="Arial CE" w:hAnsi="Arial CE" w:cs="Arial"/>
          <w:sz w:val="22"/>
          <w:szCs w:val="22"/>
        </w:rPr>
        <w:t>stavby se všemi přímo dotčenými subjekty.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6D9C" w:rsidRDefault="00216D9C" w:rsidP="00216D9C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216D9C" w:rsidRPr="0038627B" w:rsidRDefault="00216D9C" w:rsidP="00216D9C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16D9C" w:rsidRPr="004A574D" w:rsidRDefault="00216D9C" w:rsidP="00216D9C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216D9C" w:rsidRPr="00B407D7" w:rsidRDefault="00216D9C" w:rsidP="00216D9C">
      <w:pPr>
        <w:pStyle w:val="Odstavecseseznamem"/>
        <w:numPr>
          <w:ilvl w:val="0"/>
          <w:numId w:val="47"/>
        </w:numPr>
        <w:spacing w:line="240" w:lineRule="auto"/>
        <w:ind w:hanging="720"/>
        <w:rPr>
          <w:rFonts w:ascii="Arial CE" w:hAnsi="Arial CE"/>
          <w:b/>
        </w:rPr>
      </w:pPr>
      <w:r w:rsidRPr="00407F67">
        <w:rPr>
          <w:rFonts w:ascii="Arial CE" w:hAnsi="Arial CE"/>
          <w:b/>
        </w:rPr>
        <w:lastRenderedPageBreak/>
        <w:t xml:space="preserve">Dokumentace pro ohlášení stavby nebo pro vydání stavebního povolení v podrobnostech dokumentace pro provedení stavby (dále jen DSJ) včetně </w:t>
      </w:r>
      <w:r>
        <w:rPr>
          <w:rFonts w:ascii="Arial CE" w:hAnsi="Arial CE"/>
          <w:b/>
        </w:rPr>
        <w:t xml:space="preserve">průzkumných prací, geodetického zaměření, ověřeného geometrického plánu, </w:t>
      </w:r>
      <w:r w:rsidRPr="00B407D7">
        <w:rPr>
          <w:rFonts w:ascii="Arial CE" w:hAnsi="Arial CE"/>
          <w:b/>
        </w:rPr>
        <w:t xml:space="preserve">návrhu povodňového a havarijního plánu (dále jen PP a HP), vyhodnocení potřeby zajištění koordinátora BOZP v přípravě a realizaci stavby </w:t>
      </w:r>
    </w:p>
    <w:p w:rsidR="00216D9C" w:rsidRPr="003F7355" w:rsidRDefault="00216D9C" w:rsidP="00216D9C">
      <w:pPr>
        <w:autoSpaceDE w:val="0"/>
        <w:autoSpaceDN w:val="0"/>
        <w:adjustRightInd w:val="0"/>
        <w:ind w:left="-360"/>
        <w:jc w:val="both"/>
        <w:rPr>
          <w:rFonts w:ascii="Arial CE" w:hAnsi="Arial CE" w:cs="Arial"/>
          <w:sz w:val="22"/>
          <w:szCs w:val="22"/>
        </w:rPr>
      </w:pPr>
    </w:p>
    <w:p w:rsidR="00216D9C" w:rsidRPr="004D3EBE" w:rsidRDefault="00216D9C" w:rsidP="004D3EBE">
      <w:pPr>
        <w:jc w:val="both"/>
        <w:rPr>
          <w:rFonts w:ascii="Arial" w:hAnsi="Arial" w:cs="Arial"/>
          <w:sz w:val="22"/>
          <w:szCs w:val="22"/>
        </w:rPr>
      </w:pPr>
      <w:r w:rsidRPr="004D3EBE">
        <w:rPr>
          <w:rFonts w:ascii="Arial" w:hAnsi="Arial" w:cs="Arial"/>
          <w:sz w:val="22"/>
          <w:szCs w:val="22"/>
        </w:rPr>
        <w:t>Projektová dokumentace bude zpracována v souladu s vyhláškou č. 62/2013 Sb., kterou se mění vyhláška č. 499/2006 Sb., o dokumentaci staveb v platném znění, obsah dokumentace bude odpovídat příloze č. 5 a 6 této vyhlášky.</w:t>
      </w:r>
    </w:p>
    <w:p w:rsidR="00216D9C" w:rsidRPr="00216D9C" w:rsidRDefault="00216D9C" w:rsidP="004D3EBE">
      <w:pPr>
        <w:ind w:left="142"/>
        <w:rPr>
          <w:rFonts w:ascii="Arial CE" w:hAnsi="Arial CE"/>
          <w:u w:val="single"/>
        </w:rPr>
      </w:pPr>
      <w:r w:rsidRPr="00216D9C">
        <w:rPr>
          <w:rFonts w:ascii="Arial CE" w:hAnsi="Arial CE"/>
        </w:rPr>
        <w:t xml:space="preserve">.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 xml:space="preserve">Součástí </w:t>
      </w:r>
      <w:r w:rsidRPr="00216D9C">
        <w:rPr>
          <w:rFonts w:ascii="Arial" w:hAnsi="Arial" w:cs="Arial"/>
          <w:bCs/>
          <w:sz w:val="22"/>
          <w:szCs w:val="22"/>
          <w:u w:val="single"/>
        </w:rPr>
        <w:t>PD</w:t>
      </w:r>
      <w:r w:rsidRPr="00216D9C">
        <w:rPr>
          <w:rFonts w:ascii="Arial" w:hAnsi="Arial" w:cs="Arial"/>
          <w:sz w:val="22"/>
          <w:szCs w:val="22"/>
          <w:u w:val="single"/>
        </w:rPr>
        <w:t xml:space="preserve"> </w:t>
      </w:r>
      <w:r w:rsidRPr="00216D9C">
        <w:rPr>
          <w:rFonts w:ascii="Arial" w:hAnsi="Arial" w:cs="Arial"/>
          <w:bCs/>
          <w:sz w:val="22"/>
          <w:szCs w:val="22"/>
          <w:u w:val="single"/>
        </w:rPr>
        <w:t xml:space="preserve">mj. </w:t>
      </w:r>
      <w:r w:rsidRPr="00216D9C">
        <w:rPr>
          <w:rFonts w:ascii="Arial" w:hAnsi="Arial" w:cs="Arial"/>
          <w:sz w:val="22"/>
          <w:szCs w:val="22"/>
          <w:u w:val="single"/>
        </w:rPr>
        <w:t>bude: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přehled právních předpisů a technických norem vztahujících se ke stavbě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zajištění podkladů, průzkumů a zkoušek potřebných pro zpracování PD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zajištění dokladové části a stanovisek dotčených orgánů státní správy pro následné povolení stavby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uvedení předpokládané lhůty výstavby včetně technického popisu postupů a podmínek pro provádění stavebních prací při respektování nutných technologických přestávek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návrh zásad kontroly kvality prací (KZP)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charakteristická fotodokumentace stavu konstrukcí a dotčených objektů v období projektové přípravy v počtu 2x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zadávání veřejných zakázkách, v platném znění. 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PD. Oceněný soupis prací zpracuje dodavatel v počtu - 2x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a vloží je do </w:t>
      </w:r>
      <w:proofErr w:type="spellStart"/>
      <w:proofErr w:type="gram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proofErr w:type="gramEnd"/>
      <w:r w:rsidRPr="00216D9C">
        <w:rPr>
          <w:rFonts w:ascii="Arial" w:hAnsi="Arial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216D9C">
        <w:rPr>
          <w:rFonts w:ascii="Arial" w:hAnsi="Arial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216D9C">
        <w:rPr>
          <w:rFonts w:ascii="Arial" w:hAnsi="Arial" w:cs="Arial"/>
          <w:sz w:val="22"/>
          <w:szCs w:val="22"/>
        </w:rPr>
        <w:t>www.xc4.cz</w:t>
      </w:r>
      <w:r w:rsidRPr="00216D9C">
        <w:rPr>
          <w:rFonts w:ascii="Arial" w:hAnsi="Arial" w:cs="Arial"/>
          <w:color w:val="000000"/>
          <w:sz w:val="22"/>
          <w:szCs w:val="22"/>
        </w:rPr>
        <w:t>.</w:t>
      </w:r>
    </w:p>
    <w:p w:rsidR="00216D9C" w:rsidRPr="00216D9C" w:rsidRDefault="00216D9C" w:rsidP="00216D9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6D9C">
        <w:rPr>
          <w:rFonts w:ascii="Arial" w:hAnsi="Arial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216D9C">
        <w:rPr>
          <w:rFonts w:ascii="Arial" w:hAnsi="Arial" w:cs="Arial"/>
          <w:b/>
          <w:color w:val="000000"/>
          <w:sz w:val="22"/>
          <w:szCs w:val="22"/>
        </w:rPr>
        <w:t>kalkulace</w:t>
      </w:r>
      <w:r w:rsidRPr="00216D9C">
        <w:rPr>
          <w:rFonts w:ascii="Arial" w:hAnsi="Arial" w:cs="Arial"/>
          <w:color w:val="000000"/>
          <w:sz w:val="22"/>
          <w:szCs w:val="22"/>
        </w:rPr>
        <w:t xml:space="preserve"> každé takovéto položky.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Dokumentace bude předána</w:t>
      </w:r>
      <w:r w:rsidRPr="00216D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16D9C">
        <w:rPr>
          <w:rFonts w:ascii="Arial" w:hAnsi="Arial" w:cs="Arial"/>
          <w:sz w:val="22"/>
          <w:szCs w:val="22"/>
        </w:rPr>
        <w:t xml:space="preserve">MPR v počtu 6x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Geodetické zaměření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Geodetické zaměření lokality pro následné zpracování projektové dokumentace na podkladu platné katastrální mapy dle zákona č. 200/1994 sb., o zeměměřictví v platném znění a vyhlášce č. 357/2013 Sb., o katastru nemovitostí v platném znění. Geodetické zaměření zájmové lokality bude provedeno v souřadnicovém systému Jednotné trigonometrické sítě katastrální (S-JTSK) a výškovém systému baltském - po vyrovnání (</w:t>
      </w:r>
      <w:proofErr w:type="spellStart"/>
      <w:r w:rsidRPr="00216D9C">
        <w:rPr>
          <w:rFonts w:ascii="Arial" w:hAnsi="Arial" w:cs="Arial"/>
          <w:sz w:val="22"/>
          <w:szCs w:val="22"/>
        </w:rPr>
        <w:t>Bpv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). Součástí geodetického zaměření budou geodetické podklady včetně geodetických údajů o PBPP.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Geodetické zaměření</w:t>
      </w:r>
      <w:r w:rsidRPr="00216D9C">
        <w:rPr>
          <w:rFonts w:ascii="Arial" w:hAnsi="Arial" w:cs="Arial"/>
          <w:color w:val="FF0000"/>
          <w:sz w:val="22"/>
          <w:szCs w:val="22"/>
        </w:rPr>
        <w:t xml:space="preserve"> </w:t>
      </w:r>
      <w:r w:rsidRPr="00216D9C">
        <w:rPr>
          <w:rFonts w:ascii="Arial" w:hAnsi="Arial" w:cs="Arial"/>
          <w:sz w:val="22"/>
          <w:szCs w:val="22"/>
        </w:rPr>
        <w:t xml:space="preserve">a bude předáno MPR v 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6B0DCA" w:rsidRPr="00216D9C" w:rsidRDefault="006B0DCA" w:rsidP="00216D9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Průzkumné práce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lastRenderedPageBreak/>
        <w:t xml:space="preserve">Dodavatel zajistí provedení veškerých průzkumných prací včetně průzkumu trasy vedení </w:t>
      </w:r>
      <w:proofErr w:type="spellStart"/>
      <w:r w:rsidRPr="00216D9C">
        <w:rPr>
          <w:rFonts w:ascii="Arial" w:hAnsi="Arial" w:cs="Arial"/>
          <w:sz w:val="22"/>
          <w:szCs w:val="22"/>
        </w:rPr>
        <w:t>inž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. sítí (IS), kde je předpoklad kolize IS se stavbou a zároveň prohlašuje, že jím nadefinovaný rozsah průzkumných prací je dostačující jako podklad pro zhotovení kvalitní projektové dokumentace. K provádění průzkumných prací na místě bude přizván TDS prostřednictvím MPR. </w:t>
      </w:r>
    </w:p>
    <w:p w:rsidR="00216D9C" w:rsidRPr="00216D9C" w:rsidRDefault="00216D9C" w:rsidP="00216D9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Výsledná zpráva bude předána MPR v 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 </w:t>
      </w:r>
    </w:p>
    <w:p w:rsid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364DEC" w:rsidRDefault="00216D9C" w:rsidP="006B0DCA">
      <w:pPr>
        <w:rPr>
          <w:rFonts w:ascii="Arial" w:hAnsi="Arial" w:cs="Arial"/>
          <w:b/>
          <w:sz w:val="22"/>
          <w:szCs w:val="22"/>
          <w:u w:val="single"/>
        </w:rPr>
      </w:pPr>
      <w:r w:rsidRPr="00364DEC">
        <w:rPr>
          <w:rFonts w:ascii="Arial" w:hAnsi="Arial" w:cs="Arial"/>
          <w:b/>
          <w:sz w:val="22"/>
          <w:szCs w:val="22"/>
          <w:u w:val="single"/>
        </w:rPr>
        <w:t>Ověřený geometrický plán (dále jen OGP)</w:t>
      </w:r>
    </w:p>
    <w:p w:rsidR="00216D9C" w:rsidRPr="0038627B" w:rsidRDefault="00216D9C" w:rsidP="00216D9C">
      <w:pPr>
        <w:jc w:val="both"/>
        <w:rPr>
          <w:rFonts w:ascii="Arial CE" w:hAnsi="Arial CE" w:cs="Helv"/>
          <w:sz w:val="22"/>
          <w:szCs w:val="22"/>
        </w:rPr>
      </w:pPr>
      <w:r w:rsidRPr="0038627B">
        <w:rPr>
          <w:rFonts w:ascii="Arial CE" w:hAnsi="Arial CE" w:cs="Helv"/>
          <w:sz w:val="22"/>
          <w:szCs w:val="22"/>
        </w:rPr>
        <w:t>Zhotovení geometrického plánu, který svými náležitostmi a přesností bude odpovídat zákonu č. 200/1994 sb., o zeměměřictví v platném znění a vyhlášce č. 357/2013 Sb. o katastru nemovitostí v platném znění. Geometrický plán bude zpracován odbornou osobou, s očíslováním parcel pro zápis vlastnických a dalších věcných práv do katastru nemovitostí, ověřen úředně oprávněným zeměměřickým inženýrem a opatřen souhlasem příslušným katastrálním úřadem.</w:t>
      </w:r>
    </w:p>
    <w:p w:rsidR="00216D9C" w:rsidRDefault="00216D9C" w:rsidP="00216D9C">
      <w:pPr>
        <w:jc w:val="both"/>
        <w:rPr>
          <w:rFonts w:ascii="Arial CE" w:hAnsi="Arial CE" w:cs="Arial"/>
          <w:sz w:val="22"/>
          <w:szCs w:val="22"/>
        </w:rPr>
      </w:pPr>
    </w:p>
    <w:p w:rsidR="00216D9C" w:rsidRPr="0038627B" w:rsidRDefault="00216D9C" w:rsidP="00216D9C">
      <w:pPr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Doporučený postup prací:</w:t>
      </w:r>
      <w:r w:rsidRPr="0038627B">
        <w:rPr>
          <w:rFonts w:ascii="Arial CE" w:hAnsi="Arial CE" w:cs="Arial"/>
          <w:sz w:val="22"/>
          <w:szCs w:val="22"/>
        </w:rPr>
        <w:tab/>
      </w:r>
    </w:p>
    <w:p w:rsidR="00216D9C" w:rsidRPr="0038627B" w:rsidRDefault="00216D9C" w:rsidP="00216D9C">
      <w:pPr>
        <w:pStyle w:val="Odstavecseseznamem"/>
        <w:numPr>
          <w:ilvl w:val="0"/>
          <w:numId w:val="45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>
        <w:rPr>
          <w:rFonts w:ascii="Arial CE" w:hAnsi="Arial CE" w:cs="Helv"/>
        </w:rPr>
        <w:t>zhotovitel</w:t>
      </w:r>
      <w:r w:rsidRPr="00043803">
        <w:rPr>
          <w:rFonts w:ascii="Arial CE" w:hAnsi="Arial CE" w:cs="Helv"/>
        </w:rPr>
        <w:t xml:space="preserve"> v případě potřeby svolá místní šetření se zástupci objednatele a s geodetem</w:t>
      </w:r>
      <w:r w:rsidRPr="0038627B">
        <w:rPr>
          <w:rFonts w:ascii="Arial CE" w:hAnsi="Arial CE"/>
        </w:rPr>
        <w:t xml:space="preserve"> nad návrhem geometrického plánu</w:t>
      </w:r>
    </w:p>
    <w:p w:rsidR="00216D9C" w:rsidRPr="0038627B" w:rsidRDefault="00216D9C" w:rsidP="00216D9C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rozpracovaný geometrický plán bude předán objednateli k odsouhlasení jeho formální a věcné úplnosti nejpozději před schválením PD na ZVV</w:t>
      </w:r>
    </w:p>
    <w:p w:rsidR="00216D9C" w:rsidRPr="0038627B" w:rsidRDefault="00216D9C" w:rsidP="00216D9C">
      <w:pPr>
        <w:suppressAutoHyphens/>
        <w:ind w:left="360" w:hanging="36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­</w:t>
      </w:r>
      <w:r w:rsidRPr="0038627B">
        <w:rPr>
          <w:rFonts w:ascii="Arial CE" w:hAnsi="Arial CE" w:cs="Arial"/>
          <w:sz w:val="22"/>
          <w:szCs w:val="22"/>
        </w:rPr>
        <w:tab/>
        <w:t>dopracování geometrického plánu a jeho podání na katastrální úřad bude po schválení</w:t>
      </w:r>
      <w:r w:rsidRPr="0038627B">
        <w:rPr>
          <w:rFonts w:ascii="Arial CE" w:hAnsi="Arial CE" w:cs="Arial"/>
          <w:strike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PD na  ZVV k termínu ukončení díla</w:t>
      </w:r>
    </w:p>
    <w:p w:rsidR="00216D9C" w:rsidRPr="0038627B" w:rsidRDefault="00216D9C" w:rsidP="00216D9C">
      <w:pPr>
        <w:suppressAutoHyphens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Ověřený geometrický plán bude předán objednateli v tištěné podobě do 1 týdne po ověření KÚ v počtu nezbytně nutném pro vklad do katastru nemovitostí (min. 6 originálů) a následné majetkoprávní vypořádání a 1x na elektronickém nosiči dat.</w:t>
      </w:r>
    </w:p>
    <w:p w:rsidR="00216D9C" w:rsidRPr="00CF4ABF" w:rsidRDefault="00216D9C" w:rsidP="00216D9C">
      <w:pPr>
        <w:suppressAutoHyphens/>
        <w:jc w:val="both"/>
        <w:rPr>
          <w:rFonts w:ascii="Arial CE" w:hAnsi="Arial CE" w:cs="Arial"/>
          <w:b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 xml:space="preserve">Oblast BOZP: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Pokud dodavatel vyhodnotí, že budou na staveništi vykonávány práce a činnosti vystavující fyzickou osobu zvýšenému ohrožení života nebo poškození zdraví (podle § 15 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Objednatel následně zajistí zpracování plánu BOZP koordinátorem BOZP v době přípravy stavby. Dodavatel je povinen v době přípravy, resp. v době zpracovávání PD poskytnout pověřenému koordinátorovi podklady, informace a součinnost.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Pokud dodavatel vyhodnotí, že je nutné ve fázi přípravy a realizace stavby zajistit koordinátora BOZP (dle vyhlášky č. 62/2013 Sb., kterou se mění vyhláška č. 499/2006 Sb., o dokumentaci staveb), je povinen sdělit to neprodleně objednateli, a to prokazatelným způsobem (např. v zápise z výrobního výboru, elektronickou poštou, poštou) ještě v době zpracovávání PD. 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>Objednatel následně smluvně zajistí činnost koordinátora BOZP oprávněnou osobou pro dobu přípravy a realizace stavby, která zpracuje plán BOZP po dobu přípravy stavby a pro realizaci stavby. Objednavatel/ dodavatel je povinen v době zpracovávání PD poskytnout pověřenému koordinátorovi podklady, informace a součinnost.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  <w:u w:val="single"/>
        </w:rPr>
      </w:pPr>
      <w:r w:rsidRPr="00216D9C">
        <w:rPr>
          <w:rFonts w:ascii="Arial" w:hAnsi="Arial" w:cs="Arial"/>
          <w:sz w:val="22"/>
          <w:szCs w:val="22"/>
          <w:u w:val="single"/>
        </w:rPr>
        <w:t>Návrh povodňového a havarijního plánu, (PP, HP)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Návrh povodňového a havarijního plánu bude zpracován dle zákona o vodách č. 150/2010 Sb., v platném znění.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Návrh HP a PP bude předán MPR v počtu 1x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lastRenderedPageBreak/>
        <w:t xml:space="preserve">Výkresy budou na vyžádání objednavatele předány samostatně 1x na elektronickém nosiči dat v editovatelném formátu pro potřeby objednatele </w:t>
      </w:r>
      <w:r w:rsidRPr="00216D9C">
        <w:rPr>
          <w:rFonts w:ascii="Arial" w:hAnsi="Arial" w:cs="Arial"/>
          <w:i/>
          <w:sz w:val="22"/>
          <w:szCs w:val="22"/>
        </w:rPr>
        <w:t xml:space="preserve">(doc,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docx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xls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xlsx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dwg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dgn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dxf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shapefile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 (2D), popř. i </w:t>
      </w:r>
      <w:proofErr w:type="spellStart"/>
      <w:r w:rsidRPr="00216D9C">
        <w:rPr>
          <w:rFonts w:ascii="Arial" w:hAnsi="Arial" w:cs="Arial"/>
          <w:i/>
          <w:sz w:val="22"/>
          <w:szCs w:val="22"/>
        </w:rPr>
        <w:t>raster</w:t>
      </w:r>
      <w:proofErr w:type="spellEnd"/>
      <w:r w:rsidRPr="00216D9C">
        <w:rPr>
          <w:rFonts w:ascii="Arial" w:hAnsi="Arial" w:cs="Arial"/>
          <w:i/>
          <w:sz w:val="22"/>
          <w:szCs w:val="22"/>
        </w:rPr>
        <w:t xml:space="preserve">). </w:t>
      </w:r>
      <w:r w:rsidRPr="00216D9C">
        <w:rPr>
          <w:rFonts w:ascii="Arial" w:hAnsi="Arial" w:cs="Arial"/>
          <w:sz w:val="22"/>
          <w:szCs w:val="22"/>
        </w:rPr>
        <w:t xml:space="preserve">Výkresy budou v souřadnicovém systému S-JTSK. </w:t>
      </w:r>
    </w:p>
    <w:p w:rsidR="00216D9C" w:rsidRPr="00216D9C" w:rsidRDefault="00216D9C" w:rsidP="00216D9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216D9C" w:rsidRPr="00216D9C" w:rsidRDefault="00216D9C" w:rsidP="00216D9C">
      <w:pPr>
        <w:jc w:val="both"/>
        <w:rPr>
          <w:rFonts w:ascii="Arial" w:hAnsi="Arial" w:cs="Arial"/>
          <w:sz w:val="22"/>
          <w:szCs w:val="22"/>
        </w:rPr>
      </w:pPr>
      <w:r w:rsidRPr="00216D9C">
        <w:rPr>
          <w:rFonts w:ascii="Arial" w:hAnsi="Arial" w:cs="Arial"/>
          <w:sz w:val="22"/>
          <w:szCs w:val="22"/>
        </w:rPr>
        <w:t xml:space="preserve">Dokumentace bude předána MPR v počtu 6x </w:t>
      </w:r>
      <w:proofErr w:type="spellStart"/>
      <w:r w:rsidRPr="00216D9C">
        <w:rPr>
          <w:rFonts w:ascii="Arial" w:hAnsi="Arial" w:cs="Arial"/>
          <w:sz w:val="22"/>
          <w:szCs w:val="22"/>
        </w:rPr>
        <w:t>paré</w:t>
      </w:r>
      <w:proofErr w:type="spellEnd"/>
      <w:r w:rsidRPr="00216D9C">
        <w:rPr>
          <w:rFonts w:ascii="Arial" w:hAnsi="Arial" w:cs="Arial"/>
          <w:sz w:val="22"/>
          <w:szCs w:val="22"/>
        </w:rPr>
        <w:t xml:space="preserve"> tištěné + 1x na elektronickém nosiči dat.</w:t>
      </w:r>
    </w:p>
    <w:p w:rsidR="00216D9C" w:rsidRPr="00216D9C" w:rsidRDefault="00216D9C" w:rsidP="00216D9C">
      <w:pPr>
        <w:ind w:left="360"/>
        <w:rPr>
          <w:rFonts w:ascii="Arial" w:hAnsi="Arial" w:cs="Arial"/>
          <w:sz w:val="22"/>
          <w:szCs w:val="22"/>
        </w:rPr>
      </w:pPr>
    </w:p>
    <w:p w:rsidR="00216D9C" w:rsidRDefault="00364DE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64DEC">
        <w:rPr>
          <w:rFonts w:ascii="Arial" w:hAnsi="Arial" w:cs="Arial"/>
          <w:color w:val="000000"/>
          <w:sz w:val="22"/>
          <w:szCs w:val="22"/>
          <w:u w:val="single"/>
        </w:rPr>
        <w:t>Původní znění:</w:t>
      </w:r>
    </w:p>
    <w:p w:rsidR="00364DEC" w:rsidRPr="00BB732C" w:rsidRDefault="00364DEC" w:rsidP="00364DEC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IV.</w:t>
      </w: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  <w:t>TERMÍN PLNĚNÍ</w:t>
      </w:r>
    </w:p>
    <w:p w:rsidR="00364DEC" w:rsidRDefault="00364DE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364DEC" w:rsidRPr="008C1E53" w:rsidRDefault="00364DEC" w:rsidP="00364DEC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3F7355">
        <w:rPr>
          <w:rFonts w:ascii="Arial CE" w:hAnsi="Arial CE" w:cs="Arial"/>
          <w:b/>
          <w:sz w:val="22"/>
          <w:szCs w:val="22"/>
        </w:rPr>
        <w:t>17.07.2017</w:t>
      </w:r>
      <w:proofErr w:type="gramEnd"/>
      <w:r w:rsidRPr="003F7355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31.10.2017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64DEC" w:rsidRPr="0057498B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410D35">
        <w:rPr>
          <w:rFonts w:ascii="Arial CE" w:hAnsi="Arial CE" w:cs="Arial"/>
          <w:b/>
          <w:sz w:val="22"/>
          <w:szCs w:val="22"/>
        </w:rPr>
        <w:t>30.1</w:t>
      </w:r>
      <w:r>
        <w:rPr>
          <w:rFonts w:ascii="Arial CE" w:hAnsi="Arial CE" w:cs="Arial"/>
          <w:b/>
          <w:sz w:val="22"/>
          <w:szCs w:val="22"/>
        </w:rPr>
        <w:t>1</w:t>
      </w:r>
      <w:r w:rsidRPr="00410D35">
        <w:rPr>
          <w:rFonts w:ascii="Arial CE" w:hAnsi="Arial CE" w:cs="Arial"/>
          <w:b/>
          <w:sz w:val="22"/>
          <w:szCs w:val="22"/>
        </w:rPr>
        <w:t>.2017</w:t>
      </w:r>
      <w:r w:rsidRPr="0057498B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Pr="009E7E81" w:rsidRDefault="00364DEC" w:rsidP="00364DEC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364DEC" w:rsidRPr="00067F4D" w:rsidRDefault="00364DEC" w:rsidP="00364DEC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364DEC" w:rsidRPr="005E1501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364DEC" w:rsidRPr="001D7A19" w:rsidRDefault="00364DEC" w:rsidP="00364DEC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364DEC" w:rsidRPr="001D7A19" w:rsidRDefault="00364DEC" w:rsidP="00364DEC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060973" w:rsidRDefault="00060973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64DEC" w:rsidRPr="001D7A19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364DEC" w:rsidRPr="00060973" w:rsidRDefault="00364DEC" w:rsidP="00060973">
      <w:pPr>
        <w:rPr>
          <w:rFonts w:ascii="Arial" w:hAnsi="Arial" w:cs="Arial"/>
          <w:sz w:val="22"/>
          <w:szCs w:val="22"/>
        </w:rPr>
      </w:pPr>
      <w:r w:rsidRPr="00060973">
        <w:rPr>
          <w:rFonts w:ascii="Arial" w:hAnsi="Arial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364DEC" w:rsidRDefault="00364DE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364DEC" w:rsidRPr="00364DEC" w:rsidRDefault="00364DEC" w:rsidP="00216D9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Nové znění:</w:t>
      </w:r>
    </w:p>
    <w:p w:rsidR="00E54502" w:rsidRPr="00BB732C" w:rsidRDefault="00A50937" w:rsidP="007A0548">
      <w:pPr>
        <w:autoSpaceDE w:val="0"/>
        <w:autoSpaceDN w:val="0"/>
        <w:adjustRightInd w:val="0"/>
        <w:spacing w:line="300" w:lineRule="atLeast"/>
        <w:ind w:left="720" w:hanging="72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Čl. I</w:t>
      </w:r>
      <w:r w:rsidR="00965320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V</w:t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E54502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BB732C" w:rsidRPr="00BB732C">
        <w:rPr>
          <w:rFonts w:ascii="Arial" w:hAnsi="Arial" w:cs="Arial"/>
          <w:b/>
          <w:color w:val="000000"/>
          <w:sz w:val="22"/>
          <w:szCs w:val="22"/>
          <w:u w:val="single"/>
        </w:rPr>
        <w:t>TERMÍN PLNĚNÍ</w:t>
      </w:r>
    </w:p>
    <w:p w:rsidR="00364DEC" w:rsidRPr="008C1E53" w:rsidRDefault="00364DEC" w:rsidP="00364DEC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3F7355">
        <w:rPr>
          <w:rFonts w:ascii="Arial CE" w:hAnsi="Arial CE" w:cs="Arial"/>
          <w:b/>
          <w:sz w:val="22"/>
          <w:szCs w:val="22"/>
        </w:rPr>
        <w:t>17.07.2017</w:t>
      </w:r>
      <w:proofErr w:type="gramEnd"/>
      <w:r w:rsidRPr="003F7355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Dílčí plnění</w:t>
      </w:r>
      <w:r w:rsidR="00060973">
        <w:rPr>
          <w:rFonts w:ascii="Arial CE" w:hAnsi="Arial CE" w:cs="Arial"/>
          <w:b/>
          <w:sz w:val="22"/>
          <w:szCs w:val="22"/>
        </w:rPr>
        <w:t xml:space="preserve">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30.11.2017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364DEC" w:rsidRPr="00364DEC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364DEC">
        <w:rPr>
          <w:rFonts w:ascii="Arial CE" w:hAnsi="Arial CE" w:cs="Arial"/>
          <w:b/>
          <w:sz w:val="22"/>
          <w:szCs w:val="22"/>
        </w:rPr>
        <w:t>22.12.2017</w:t>
      </w:r>
      <w:r w:rsidRPr="00364DEC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364DEC" w:rsidRPr="009E7E81" w:rsidRDefault="00364DEC" w:rsidP="00364DEC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364DEC" w:rsidRPr="005E1501" w:rsidRDefault="00364DEC" w:rsidP="00364DEC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364DEC" w:rsidRPr="001D7A19" w:rsidRDefault="00364DEC" w:rsidP="00364DEC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364DEC" w:rsidRPr="001D7A19" w:rsidRDefault="00364DEC" w:rsidP="00364DEC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364DEC" w:rsidRPr="00364DEC" w:rsidRDefault="00364DEC" w:rsidP="00364DEC">
      <w:pPr>
        <w:tabs>
          <w:tab w:val="left" w:pos="284"/>
        </w:tabs>
        <w:ind w:left="-76"/>
        <w:rPr>
          <w:rFonts w:ascii="Arial CE" w:hAnsi="Arial CE"/>
        </w:rPr>
      </w:pPr>
    </w:p>
    <w:p w:rsidR="00364DEC" w:rsidRPr="00364DEC" w:rsidRDefault="00364DEC" w:rsidP="00364DEC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364DEC">
        <w:rPr>
          <w:rFonts w:ascii="Arial CE" w:hAnsi="Arial CE" w:cs="Arial"/>
          <w:b/>
          <w:sz w:val="22"/>
          <w:szCs w:val="22"/>
        </w:rPr>
        <w:t>Autorský dozor:</w:t>
      </w:r>
    </w:p>
    <w:p w:rsidR="00364DEC" w:rsidRPr="00364DEC" w:rsidRDefault="00364DEC" w:rsidP="00364DEC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364DEC">
        <w:rPr>
          <w:rFonts w:ascii="Arial CE" w:hAnsi="Arial CE" w:cs="Arial"/>
          <w:sz w:val="22"/>
          <w:szCs w:val="22"/>
        </w:rPr>
        <w:t>Zahájení AD je dnem zahájení díla a jeho ukončení je v termínu přejímky díla. O zahájení stavby bude dodavatel písemně informován TDS</w:t>
      </w:r>
    </w:p>
    <w:p w:rsidR="00364DEC" w:rsidRDefault="00364DEC" w:rsidP="00364DE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060973" w:rsidRPr="004C15AB" w:rsidRDefault="00060973" w:rsidP="0006097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  <w:u w:val="single"/>
        </w:rPr>
      </w:pPr>
      <w:r w:rsidRPr="004C15AB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4C15AB" w:rsidRDefault="004C15AB" w:rsidP="004C15A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060973" w:rsidRPr="001D7A19" w:rsidRDefault="00060973" w:rsidP="00060973">
      <w:pPr>
        <w:jc w:val="both"/>
        <w:rPr>
          <w:rFonts w:ascii="Arial CE" w:hAnsi="Arial CE" w:cs="Arial"/>
          <w:b/>
          <w:sz w:val="22"/>
          <w:szCs w:val="22"/>
        </w:rPr>
      </w:pPr>
    </w:p>
    <w:p w:rsidR="00060973" w:rsidRPr="00640BCD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dodavatele související s realizací díla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265 880,00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060973" w:rsidRPr="001D7A19" w:rsidRDefault="00060973" w:rsidP="00060973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60973" w:rsidRPr="001D7A19" w:rsidRDefault="00060973" w:rsidP="00060973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highlight w:val="yellow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DSJ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185 450,00</w:t>
      </w:r>
      <w:r w:rsidRPr="0057498B">
        <w:rPr>
          <w:rFonts w:ascii="Arial CE" w:hAnsi="Arial CE" w:cs="Arial"/>
          <w:sz w:val="22"/>
          <w:szCs w:val="22"/>
        </w:rPr>
        <w:t xml:space="preserve"> 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Geodetické zaměření a průzkum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67 230,00 </w:t>
      </w:r>
      <w:r w:rsidRPr="0057498B">
        <w:rPr>
          <w:rFonts w:ascii="Arial CE" w:hAnsi="Arial CE" w:cs="Arial"/>
          <w:sz w:val="22"/>
          <w:szCs w:val="22"/>
        </w:rPr>
        <w:t xml:space="preserve">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13 2</w:t>
      </w:r>
      <w:r w:rsidRPr="0057498B">
        <w:rPr>
          <w:rFonts w:ascii="Arial CE" w:hAnsi="Arial CE" w:cs="Arial"/>
          <w:sz w:val="22"/>
          <w:szCs w:val="22"/>
        </w:rPr>
        <w:t>00,00 Kč bez 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0973" w:rsidRPr="009A13DC" w:rsidRDefault="00060973" w:rsidP="00060973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060973" w:rsidRPr="00F44843" w:rsidRDefault="00060973" w:rsidP="00060973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060973" w:rsidRDefault="00060973" w:rsidP="00060973">
      <w:pPr>
        <w:jc w:val="both"/>
        <w:rPr>
          <w:rFonts w:ascii="Arial CE" w:hAnsi="Arial CE" w:cs="Arial"/>
          <w:b/>
          <w:sz w:val="22"/>
          <w:szCs w:val="22"/>
        </w:rPr>
      </w:pPr>
    </w:p>
    <w:p w:rsidR="00060973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B2C40">
        <w:rPr>
          <w:rFonts w:ascii="Arial CE" w:hAnsi="Arial CE" w:cs="Arial"/>
          <w:sz w:val="22"/>
          <w:szCs w:val="22"/>
        </w:rPr>
        <w:t>9</w:t>
      </w:r>
      <w:r w:rsidRPr="0057498B">
        <w:rPr>
          <w:rFonts w:ascii="Arial CE" w:hAnsi="Arial CE" w:cs="Arial"/>
          <w:sz w:val="22"/>
          <w:szCs w:val="22"/>
        </w:rPr>
        <w:t>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</w:p>
    <w:p w:rsidR="00060973" w:rsidRDefault="00060973" w:rsidP="00060973">
      <w:pPr>
        <w:jc w:val="both"/>
        <w:rPr>
          <w:rFonts w:ascii="Arial CE" w:hAnsi="Arial CE" w:cs="Arial"/>
          <w:sz w:val="22"/>
          <w:szCs w:val="22"/>
        </w:rPr>
      </w:pP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4C15AB" w:rsidRDefault="004C15AB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985A42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znění:</w:t>
      </w:r>
    </w:p>
    <w:p w:rsidR="004C15AB" w:rsidRDefault="00060973" w:rsidP="00060973">
      <w:pPr>
        <w:jc w:val="center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V. CENA</w:t>
      </w:r>
    </w:p>
    <w:p w:rsidR="00060973" w:rsidRDefault="00060973" w:rsidP="00060973">
      <w:pPr>
        <w:jc w:val="center"/>
        <w:rPr>
          <w:rFonts w:ascii="Arial CE" w:hAnsi="Arial CE" w:cs="Arial"/>
          <w:b/>
          <w:sz w:val="22"/>
          <w:szCs w:val="22"/>
        </w:rPr>
      </w:pPr>
    </w:p>
    <w:p w:rsidR="00060973" w:rsidRPr="00640BCD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>Cena díla</w:t>
      </w:r>
      <w:r w:rsidRPr="00640BCD">
        <w:rPr>
          <w:rFonts w:ascii="Arial CE" w:hAnsi="Arial CE" w:cs="Arial"/>
          <w:sz w:val="22"/>
          <w:szCs w:val="22"/>
        </w:rPr>
        <w:t xml:space="preserve"> zahrnuje veškeré náklady dodavatele související s realizací díla a činí </w:t>
      </w:r>
      <w:r w:rsidRPr="00640BCD">
        <w:rPr>
          <w:rFonts w:ascii="Arial CE" w:hAnsi="Arial CE" w:cs="Arial"/>
          <w:b/>
          <w:sz w:val="22"/>
          <w:szCs w:val="22"/>
        </w:rPr>
        <w:t>celkem</w:t>
      </w:r>
      <w:r w:rsidRPr="00640BCD">
        <w:rPr>
          <w:rFonts w:ascii="Arial CE" w:hAnsi="Arial CE" w:cs="Arial"/>
          <w:sz w:val="22"/>
          <w:szCs w:val="22"/>
        </w:rPr>
        <w:t xml:space="preserve">: </w:t>
      </w: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>
        <w:rPr>
          <w:rFonts w:ascii="Arial CE" w:hAnsi="Arial CE" w:cs="Arial"/>
          <w:b/>
          <w:color w:val="000000"/>
          <w:sz w:val="22"/>
          <w:szCs w:val="22"/>
        </w:rPr>
        <w:tab/>
        <w:t xml:space="preserve">275 980,00 </w:t>
      </w:r>
      <w:r w:rsidRPr="001D7A19">
        <w:rPr>
          <w:rFonts w:ascii="Arial CE" w:hAnsi="Arial CE" w:cs="Arial"/>
          <w:b/>
          <w:sz w:val="22"/>
          <w:szCs w:val="22"/>
        </w:rPr>
        <w:t xml:space="preserve">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060973" w:rsidRPr="001D7A19" w:rsidRDefault="00060973" w:rsidP="00060973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60973" w:rsidRPr="001D7A19" w:rsidRDefault="00060973" w:rsidP="00060973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highlight w:val="yellow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DSJ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185 450,00</w:t>
      </w:r>
      <w:r w:rsidRPr="0057498B">
        <w:rPr>
          <w:rFonts w:ascii="Arial CE" w:hAnsi="Arial CE" w:cs="Arial"/>
          <w:sz w:val="22"/>
          <w:szCs w:val="22"/>
        </w:rPr>
        <w:t xml:space="preserve"> 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>Geodetické zaměření a průzkum</w:t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  <w:t xml:space="preserve">  67 230,00 </w:t>
      </w:r>
      <w:r w:rsidRPr="0057498B">
        <w:rPr>
          <w:rFonts w:ascii="Arial CE" w:hAnsi="Arial CE" w:cs="Arial"/>
          <w:sz w:val="22"/>
          <w:szCs w:val="22"/>
        </w:rPr>
        <w:t xml:space="preserve">Kč bez </w:t>
      </w:r>
      <w:r w:rsidRPr="0057498B">
        <w:rPr>
          <w:rFonts w:ascii="Arial CE" w:hAnsi="Arial CE" w:cs="Arial"/>
          <w:color w:val="000000"/>
          <w:sz w:val="22"/>
          <w:szCs w:val="22"/>
        </w:rPr>
        <w:t>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0973" w:rsidRP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  <w:r w:rsidRPr="00060973">
        <w:rPr>
          <w:rFonts w:ascii="Arial CE" w:hAnsi="Arial CE" w:cs="Arial"/>
          <w:b/>
          <w:color w:val="000000"/>
          <w:sz w:val="22"/>
          <w:szCs w:val="22"/>
        </w:rPr>
        <w:t>Ověřený geometrický plán</w:t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</w:r>
      <w:r w:rsidRPr="00060973">
        <w:rPr>
          <w:rFonts w:ascii="Arial CE" w:hAnsi="Arial CE" w:cs="Arial"/>
          <w:b/>
          <w:color w:val="000000"/>
          <w:sz w:val="22"/>
          <w:szCs w:val="22"/>
        </w:rPr>
        <w:tab/>
        <w:t xml:space="preserve">  10 100,00 Kč bez 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 xml:space="preserve">PP, HP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  <w:t xml:space="preserve">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 13 2</w:t>
      </w:r>
      <w:r w:rsidRPr="0057498B">
        <w:rPr>
          <w:rFonts w:ascii="Arial CE" w:hAnsi="Arial CE" w:cs="Arial"/>
          <w:sz w:val="22"/>
          <w:szCs w:val="22"/>
        </w:rPr>
        <w:t>00,00 Kč bez DPH</w:t>
      </w:r>
    </w:p>
    <w:p w:rsidR="00060973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0973" w:rsidRPr="00066F4E" w:rsidRDefault="00060973" w:rsidP="0006097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60973" w:rsidRPr="009A13DC" w:rsidRDefault="00060973" w:rsidP="00060973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  <w:r w:rsidRPr="009A13DC">
        <w:t xml:space="preserve"> </w:t>
      </w:r>
    </w:p>
    <w:p w:rsidR="00060973" w:rsidRPr="00F44843" w:rsidRDefault="00060973" w:rsidP="00060973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060973" w:rsidRDefault="00060973" w:rsidP="00060973">
      <w:pPr>
        <w:jc w:val="both"/>
        <w:rPr>
          <w:rFonts w:ascii="Arial CE" w:hAnsi="Arial CE" w:cs="Arial"/>
          <w:b/>
          <w:sz w:val="22"/>
          <w:szCs w:val="22"/>
        </w:rPr>
      </w:pPr>
    </w:p>
    <w:p w:rsidR="00060973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57498B">
        <w:rPr>
          <w:rFonts w:ascii="Arial CE" w:hAnsi="Arial CE" w:cs="Arial"/>
          <w:sz w:val="22"/>
          <w:szCs w:val="22"/>
        </w:rPr>
        <w:t>Cena za výkon AD</w:t>
      </w:r>
      <w:r w:rsidRPr="0057498B">
        <w:rPr>
          <w:rFonts w:ascii="Arial CE" w:hAnsi="Arial CE" w:cs="Arial"/>
          <w:b/>
          <w:sz w:val="22"/>
          <w:szCs w:val="22"/>
        </w:rPr>
        <w:t xml:space="preserve"> </w:t>
      </w:r>
      <w:r w:rsidRPr="0057498B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57498B">
        <w:rPr>
          <w:rFonts w:ascii="Arial CE" w:hAnsi="Arial CE" w:cs="Arial"/>
          <w:sz w:val="22"/>
          <w:szCs w:val="22"/>
        </w:rPr>
        <w:tab/>
      </w:r>
      <w:r w:rsidRPr="0057498B">
        <w:rPr>
          <w:rFonts w:ascii="Arial CE" w:hAnsi="Arial CE" w:cs="Arial"/>
          <w:sz w:val="22"/>
          <w:szCs w:val="22"/>
        </w:rPr>
        <w:tab/>
      </w:r>
      <w:r w:rsidR="004B2C40">
        <w:rPr>
          <w:rFonts w:ascii="Arial CE" w:hAnsi="Arial CE" w:cs="Arial"/>
          <w:sz w:val="22"/>
          <w:szCs w:val="22"/>
        </w:rPr>
        <w:t>9</w:t>
      </w:r>
      <w:r w:rsidRPr="0057498B">
        <w:rPr>
          <w:rFonts w:ascii="Arial CE" w:hAnsi="Arial CE" w:cs="Arial"/>
          <w:sz w:val="22"/>
          <w:szCs w:val="22"/>
        </w:rPr>
        <w:t>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</w:p>
    <w:p w:rsidR="00060973" w:rsidRDefault="00060973" w:rsidP="00060973">
      <w:pPr>
        <w:jc w:val="both"/>
        <w:rPr>
          <w:rFonts w:ascii="Arial CE" w:hAnsi="Arial CE" w:cs="Arial"/>
          <w:sz w:val="22"/>
          <w:szCs w:val="22"/>
        </w:rPr>
      </w:pPr>
    </w:p>
    <w:p w:rsidR="00060973" w:rsidRPr="001D7A19" w:rsidRDefault="00060973" w:rsidP="00060973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Pr="00640BCD">
        <w:rPr>
          <w:rFonts w:ascii="Arial CE" w:hAnsi="Arial CE" w:cs="Arial"/>
          <w:sz w:val="22"/>
          <w:szCs w:val="22"/>
        </w:rPr>
        <w:t xml:space="preserve">dodavatele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Pr="00640BCD">
        <w:rPr>
          <w:rFonts w:ascii="Arial CE" w:hAnsi="Arial CE" w:cs="Arial"/>
          <w:sz w:val="22"/>
          <w:szCs w:val="22"/>
        </w:rPr>
        <w:t>dodavatelem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</w:t>
      </w:r>
      <w:r w:rsidRPr="001D7A19">
        <w:rPr>
          <w:rFonts w:ascii="Arial CE" w:hAnsi="Arial CE" w:cs="Arial"/>
          <w:sz w:val="22"/>
          <w:szCs w:val="22"/>
        </w:rPr>
        <w:lastRenderedPageBreak/>
        <w:t xml:space="preserve">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</w:p>
    <w:p w:rsidR="004D3EBE" w:rsidRPr="001D7A19" w:rsidRDefault="004D3EBE" w:rsidP="004D3EB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Pr="004C15AB" w:rsidRDefault="004C15AB" w:rsidP="004C15AB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4C15AB">
        <w:rPr>
          <w:rFonts w:ascii="Arial CE" w:hAnsi="Arial CE" w:cs="Arial"/>
          <w:b/>
          <w:sz w:val="22"/>
          <w:szCs w:val="22"/>
        </w:rPr>
        <w:t>Fakturace bude provedena následovně:</w:t>
      </w:r>
    </w:p>
    <w:p w:rsidR="004C15AB" w:rsidRDefault="004C15AB" w:rsidP="004C15AB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</w:p>
    <w:p w:rsidR="004D3EBE" w:rsidRPr="002E610D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2E610D">
        <w:rPr>
          <w:rFonts w:ascii="Arial CE" w:hAnsi="Arial CE"/>
        </w:rPr>
        <w:t xml:space="preserve">Předání průzkumných prací </w:t>
      </w:r>
      <w:r>
        <w:rPr>
          <w:rFonts w:ascii="Arial CE" w:hAnsi="Arial CE"/>
        </w:rPr>
        <w:t>a</w:t>
      </w:r>
      <w:r w:rsidRPr="002E610D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geodetického </w:t>
      </w:r>
      <w:r w:rsidRPr="002E610D">
        <w:rPr>
          <w:rFonts w:ascii="Arial CE" w:hAnsi="Arial CE"/>
        </w:rPr>
        <w:t>zaměření – ve výši 100% ceny</w:t>
      </w:r>
      <w:r>
        <w:rPr>
          <w:rFonts w:ascii="Arial CE" w:hAnsi="Arial CE"/>
        </w:rPr>
        <w:t xml:space="preserve">, tj. </w:t>
      </w:r>
      <w:r w:rsidRPr="00B407D7">
        <w:rPr>
          <w:rFonts w:ascii="Arial CE" w:hAnsi="Arial CE"/>
          <w:b/>
        </w:rPr>
        <w:t>67 230,00 Kč bez DPH.</w:t>
      </w:r>
      <w:r w:rsidRPr="002E610D">
        <w:rPr>
          <w:rFonts w:ascii="Arial CE" w:hAnsi="Arial CE"/>
        </w:rPr>
        <w:t xml:space="preserve"> </w:t>
      </w:r>
    </w:p>
    <w:p w:rsidR="004D3EBE" w:rsidRPr="007901CA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8F1A46">
        <w:rPr>
          <w:rFonts w:ascii="Arial CE" w:hAnsi="Arial CE"/>
        </w:rPr>
        <w:t>V případě</w:t>
      </w:r>
      <w:r w:rsidRPr="008F1A46">
        <w:rPr>
          <w:rFonts w:ascii="Arial CE" w:hAnsi="Arial CE"/>
          <w:b/>
        </w:rPr>
        <w:t xml:space="preserve"> </w:t>
      </w:r>
      <w:r w:rsidRPr="007901CA">
        <w:rPr>
          <w:rFonts w:ascii="Arial CE" w:hAnsi="Arial CE"/>
        </w:rPr>
        <w:t>dílčího plnění</w:t>
      </w:r>
      <w:r>
        <w:rPr>
          <w:rFonts w:ascii="Arial CE" w:hAnsi="Arial CE"/>
          <w:b/>
        </w:rPr>
        <w:t xml:space="preserve"> </w:t>
      </w:r>
      <w:r w:rsidRPr="008F1A46">
        <w:rPr>
          <w:rFonts w:ascii="Arial CE" w:hAnsi="Arial CE"/>
        </w:rPr>
        <w:t>d</w:t>
      </w:r>
      <w:r w:rsidRPr="007A05B4">
        <w:rPr>
          <w:rFonts w:ascii="Arial CE" w:hAnsi="Arial CE"/>
        </w:rPr>
        <w:t xml:space="preserve">nem protokolárního předání a převzetí kompletní </w:t>
      </w:r>
      <w:r>
        <w:rPr>
          <w:rFonts w:ascii="Arial CE" w:hAnsi="Arial CE"/>
        </w:rPr>
        <w:t>PD stupně DSJ</w:t>
      </w:r>
      <w:r w:rsidRPr="009244AD">
        <w:rPr>
          <w:rFonts w:ascii="Arial CE" w:hAnsi="Arial CE"/>
        </w:rPr>
        <w:t xml:space="preserve"> ve výši </w:t>
      </w:r>
      <w:r w:rsidRPr="007901CA">
        <w:rPr>
          <w:rFonts w:ascii="Arial CE" w:hAnsi="Arial CE"/>
        </w:rPr>
        <w:t>80%</w:t>
      </w:r>
      <w:r w:rsidRPr="009244AD">
        <w:rPr>
          <w:rFonts w:ascii="Arial CE" w:hAnsi="Arial CE"/>
        </w:rPr>
        <w:t xml:space="preserve"> ceny</w:t>
      </w:r>
      <w:r>
        <w:rPr>
          <w:rFonts w:ascii="Arial CE" w:hAnsi="Arial CE"/>
        </w:rPr>
        <w:t xml:space="preserve">, </w:t>
      </w:r>
      <w:proofErr w:type="gramStart"/>
      <w:r>
        <w:rPr>
          <w:rFonts w:ascii="Arial CE" w:hAnsi="Arial CE"/>
        </w:rPr>
        <w:t>tj.</w:t>
      </w:r>
      <w:r w:rsidRPr="00407F67">
        <w:rPr>
          <w:rFonts w:ascii="Arial CE" w:hAnsi="Arial CE"/>
          <w:b/>
        </w:rPr>
        <w:t>158 920,00</w:t>
      </w:r>
      <w:proofErr w:type="gramEnd"/>
      <w:r w:rsidRPr="00407F67">
        <w:rPr>
          <w:rFonts w:ascii="Arial CE" w:hAnsi="Arial CE"/>
          <w:b/>
        </w:rPr>
        <w:t xml:space="preserve"> bez</w:t>
      </w:r>
      <w:r w:rsidRPr="00FA3625">
        <w:rPr>
          <w:rFonts w:ascii="Arial CE" w:hAnsi="Arial CE"/>
          <w:b/>
        </w:rPr>
        <w:t xml:space="preserve"> DPH</w:t>
      </w:r>
      <w:r w:rsidRPr="00A07309">
        <w:rPr>
          <w:rFonts w:ascii="Arial CE" w:hAnsi="Arial CE"/>
          <w:color w:val="FF0000"/>
        </w:rPr>
        <w:t xml:space="preserve"> </w:t>
      </w:r>
    </w:p>
    <w:p w:rsidR="004D3EBE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>
        <w:rPr>
          <w:rFonts w:ascii="Arial CE" w:hAnsi="Arial CE"/>
        </w:rPr>
        <w:t>V</w:t>
      </w:r>
      <w:r w:rsidRPr="009244AD">
        <w:rPr>
          <w:rFonts w:ascii="Arial CE" w:hAnsi="Arial CE"/>
        </w:rPr>
        <w:t xml:space="preserve"> případě </w:t>
      </w:r>
      <w:r w:rsidRPr="007901CA">
        <w:rPr>
          <w:rFonts w:ascii="Arial CE" w:hAnsi="Arial CE"/>
        </w:rPr>
        <w:t>celkového plnění</w:t>
      </w:r>
      <w:r>
        <w:rPr>
          <w:rFonts w:ascii="Arial CE" w:hAnsi="Arial CE"/>
        </w:rPr>
        <w:t xml:space="preserve"> </w:t>
      </w:r>
      <w:r w:rsidRPr="009244AD">
        <w:rPr>
          <w:rFonts w:ascii="Arial CE" w:hAnsi="Arial CE"/>
        </w:rPr>
        <w:t xml:space="preserve">dnem podpisu </w:t>
      </w:r>
      <w:r>
        <w:rPr>
          <w:rFonts w:ascii="Arial CE" w:hAnsi="Arial CE"/>
        </w:rPr>
        <w:t xml:space="preserve">„Rozhodnutí“ </w:t>
      </w:r>
      <w:r w:rsidRPr="009244AD">
        <w:rPr>
          <w:rFonts w:ascii="Arial CE" w:hAnsi="Arial CE"/>
        </w:rPr>
        <w:t xml:space="preserve">o schválení </w:t>
      </w:r>
      <w:r>
        <w:rPr>
          <w:rFonts w:ascii="Arial CE" w:hAnsi="Arial CE"/>
        </w:rPr>
        <w:t>PD stupně DSJ</w:t>
      </w:r>
      <w:r w:rsidRPr="009244AD">
        <w:rPr>
          <w:rFonts w:ascii="Arial CE" w:hAnsi="Arial CE"/>
        </w:rPr>
        <w:t xml:space="preserve"> generálním ředitelem Povodí Ohře, s. p., po předchozím projednání v </w:t>
      </w:r>
      <w:r>
        <w:rPr>
          <w:rFonts w:ascii="Arial CE" w:hAnsi="Arial CE"/>
        </w:rPr>
        <w:t xml:space="preserve">investiční </w:t>
      </w:r>
      <w:r w:rsidRPr="009244AD">
        <w:rPr>
          <w:rFonts w:ascii="Arial CE" w:hAnsi="Arial CE"/>
        </w:rPr>
        <w:t xml:space="preserve">komisi ve výši zbývajících </w:t>
      </w:r>
      <w:r w:rsidRPr="007901CA">
        <w:rPr>
          <w:rFonts w:ascii="Arial CE" w:hAnsi="Arial CE"/>
        </w:rPr>
        <w:t>20%</w:t>
      </w:r>
      <w:r w:rsidRPr="009244AD">
        <w:rPr>
          <w:rFonts w:ascii="Arial CE" w:hAnsi="Arial CE"/>
        </w:rPr>
        <w:t xml:space="preserve"> ceny</w:t>
      </w:r>
      <w:r>
        <w:rPr>
          <w:rFonts w:ascii="Arial CE" w:hAnsi="Arial CE"/>
        </w:rPr>
        <w:t xml:space="preserve">, tj. </w:t>
      </w:r>
      <w:r w:rsidRPr="00407F67">
        <w:rPr>
          <w:rFonts w:ascii="Arial CE" w:hAnsi="Arial CE"/>
          <w:b/>
        </w:rPr>
        <w:t>39 730,00</w:t>
      </w:r>
      <w:r w:rsidRPr="00FA3625">
        <w:rPr>
          <w:rFonts w:ascii="Arial CE" w:hAnsi="Arial CE"/>
          <w:b/>
        </w:rPr>
        <w:t xml:space="preserve"> bez DPH</w:t>
      </w:r>
      <w:r>
        <w:rPr>
          <w:rFonts w:ascii="Arial CE" w:hAnsi="Arial CE"/>
        </w:rPr>
        <w:t xml:space="preserve">. </w:t>
      </w:r>
    </w:p>
    <w:p w:rsidR="004D3EBE" w:rsidRDefault="004D3EBE" w:rsidP="004D3EBE">
      <w:pPr>
        <w:pStyle w:val="Odstavecseseznamem"/>
        <w:suppressAutoHyphens/>
        <w:ind w:left="720"/>
        <w:rPr>
          <w:rFonts w:ascii="Arial CE" w:hAnsi="Arial CE"/>
        </w:rPr>
      </w:pPr>
      <w:r>
        <w:rPr>
          <w:rFonts w:ascii="Arial CE" w:hAnsi="Arial CE"/>
        </w:rPr>
        <w:t>S</w:t>
      </w:r>
      <w:r w:rsidRPr="009244AD">
        <w:rPr>
          <w:rFonts w:ascii="Arial CE" w:hAnsi="Arial CE"/>
        </w:rPr>
        <w:t xml:space="preserve">chválení </w:t>
      </w:r>
      <w:r>
        <w:rPr>
          <w:rFonts w:ascii="Arial CE" w:hAnsi="Arial CE"/>
        </w:rPr>
        <w:t>PD v IK</w:t>
      </w:r>
      <w:r w:rsidRPr="009244AD">
        <w:rPr>
          <w:rFonts w:ascii="Arial CE" w:hAnsi="Arial CE"/>
        </w:rPr>
        <w:t xml:space="preserve"> je povinen</w:t>
      </w:r>
      <w:r>
        <w:rPr>
          <w:rFonts w:ascii="Arial CE" w:hAnsi="Arial CE"/>
        </w:rPr>
        <w:t xml:space="preserve"> objednavatel</w:t>
      </w:r>
      <w:r w:rsidRPr="009244AD">
        <w:rPr>
          <w:rFonts w:ascii="Arial CE" w:hAnsi="Arial CE"/>
        </w:rPr>
        <w:t xml:space="preserve"> oznámit </w:t>
      </w:r>
      <w:r>
        <w:rPr>
          <w:rFonts w:ascii="Arial CE" w:hAnsi="Arial CE"/>
        </w:rPr>
        <w:t>dodavateli</w:t>
      </w:r>
      <w:r w:rsidRPr="009244AD">
        <w:rPr>
          <w:rFonts w:ascii="Arial CE" w:hAnsi="Arial CE"/>
        </w:rPr>
        <w:t xml:space="preserve"> do 5 pracovních dnů po podpisu Rozhodnutí generálním ředitelem Povodí Ohře, s. p.</w:t>
      </w:r>
    </w:p>
    <w:p w:rsidR="004D3EBE" w:rsidRPr="009244AD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7901CA">
        <w:rPr>
          <w:rFonts w:ascii="Arial CE" w:hAnsi="Arial CE"/>
        </w:rPr>
        <w:t>Autorský dozor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je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uskutečněný výkon na stavbě dle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skutečného rozsahu prací (počtu hodin) odsouhlasený TDS – čtvrtletně.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D3EBE" w:rsidRPr="001D7A19" w:rsidRDefault="004D3EBE" w:rsidP="004D3EB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VI. PLATEBNÍ PODMÍNKY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 znění</w:t>
      </w:r>
    </w:p>
    <w:p w:rsidR="004C15AB" w:rsidRDefault="004C15AB" w:rsidP="00111BF1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Pr="004C15AB" w:rsidRDefault="004C15AB" w:rsidP="004C15AB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b/>
          <w:sz w:val="22"/>
          <w:szCs w:val="22"/>
        </w:rPr>
      </w:pPr>
      <w:r w:rsidRPr="004C15AB">
        <w:rPr>
          <w:rFonts w:ascii="Arial CE" w:hAnsi="Arial CE" w:cs="Arial"/>
          <w:b/>
          <w:sz w:val="22"/>
          <w:szCs w:val="22"/>
        </w:rPr>
        <w:t>Fakturace bude provedena následovně:</w:t>
      </w:r>
    </w:p>
    <w:p w:rsidR="004C15AB" w:rsidRDefault="004C15AB" w:rsidP="004C15AB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  <w:u w:val="single"/>
        </w:rPr>
      </w:pPr>
    </w:p>
    <w:p w:rsidR="004D3EBE" w:rsidRPr="002E610D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2E610D">
        <w:rPr>
          <w:rFonts w:ascii="Arial CE" w:hAnsi="Arial CE"/>
        </w:rPr>
        <w:t>Předání průzkumných prací</w:t>
      </w:r>
      <w:r w:rsidR="004C7773">
        <w:rPr>
          <w:rFonts w:ascii="Arial CE" w:hAnsi="Arial CE"/>
        </w:rPr>
        <w:t xml:space="preserve"> a</w:t>
      </w:r>
      <w:r w:rsidRPr="002E610D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geodetického </w:t>
      </w:r>
      <w:r w:rsidRPr="002E610D">
        <w:rPr>
          <w:rFonts w:ascii="Arial CE" w:hAnsi="Arial CE"/>
        </w:rPr>
        <w:t>zaměření</w:t>
      </w:r>
      <w:r w:rsidR="004C7773">
        <w:rPr>
          <w:rFonts w:ascii="Arial CE" w:hAnsi="Arial CE"/>
        </w:rPr>
        <w:t xml:space="preserve"> </w:t>
      </w:r>
      <w:r w:rsidRPr="002E610D">
        <w:rPr>
          <w:rFonts w:ascii="Arial CE" w:hAnsi="Arial CE"/>
        </w:rPr>
        <w:t>– ve výši 100% ceny</w:t>
      </w:r>
      <w:r>
        <w:rPr>
          <w:rFonts w:ascii="Arial CE" w:hAnsi="Arial CE"/>
        </w:rPr>
        <w:t xml:space="preserve">, tj. </w:t>
      </w:r>
      <w:r w:rsidR="00B032ED" w:rsidRPr="00B032ED">
        <w:rPr>
          <w:rFonts w:ascii="Arial CE" w:hAnsi="Arial CE"/>
          <w:b/>
        </w:rPr>
        <w:t>6</w:t>
      </w:r>
      <w:r w:rsidRPr="00B032ED">
        <w:rPr>
          <w:rFonts w:ascii="Arial CE" w:hAnsi="Arial CE"/>
          <w:b/>
        </w:rPr>
        <w:t>7 </w:t>
      </w:r>
      <w:r w:rsidR="00B032ED" w:rsidRPr="00B032ED">
        <w:rPr>
          <w:rFonts w:ascii="Arial CE" w:hAnsi="Arial CE"/>
          <w:b/>
        </w:rPr>
        <w:t>2</w:t>
      </w:r>
      <w:r w:rsidRPr="00B032ED">
        <w:rPr>
          <w:rFonts w:ascii="Arial CE" w:hAnsi="Arial CE"/>
          <w:b/>
        </w:rPr>
        <w:t>30,00 Kč bez DPH</w:t>
      </w:r>
      <w:r w:rsidRPr="00B407D7">
        <w:rPr>
          <w:rFonts w:ascii="Arial CE" w:hAnsi="Arial CE"/>
          <w:b/>
        </w:rPr>
        <w:t>.</w:t>
      </w:r>
      <w:r w:rsidRPr="002E610D">
        <w:rPr>
          <w:rFonts w:ascii="Arial CE" w:hAnsi="Arial CE"/>
        </w:rPr>
        <w:t xml:space="preserve"> </w:t>
      </w:r>
    </w:p>
    <w:p w:rsidR="004D3EBE" w:rsidRPr="007901CA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8F1A46">
        <w:rPr>
          <w:rFonts w:ascii="Arial CE" w:hAnsi="Arial CE"/>
        </w:rPr>
        <w:t>V případě</w:t>
      </w:r>
      <w:r w:rsidRPr="008F1A46">
        <w:rPr>
          <w:rFonts w:ascii="Arial CE" w:hAnsi="Arial CE"/>
          <w:b/>
        </w:rPr>
        <w:t xml:space="preserve"> </w:t>
      </w:r>
      <w:r w:rsidRPr="007901CA">
        <w:rPr>
          <w:rFonts w:ascii="Arial CE" w:hAnsi="Arial CE"/>
        </w:rPr>
        <w:t>dílčího plnění</w:t>
      </w:r>
      <w:r>
        <w:rPr>
          <w:rFonts w:ascii="Arial CE" w:hAnsi="Arial CE"/>
          <w:b/>
        </w:rPr>
        <w:t xml:space="preserve"> </w:t>
      </w:r>
      <w:r w:rsidRPr="008F1A46">
        <w:rPr>
          <w:rFonts w:ascii="Arial CE" w:hAnsi="Arial CE"/>
        </w:rPr>
        <w:t>d</w:t>
      </w:r>
      <w:r w:rsidRPr="007A05B4">
        <w:rPr>
          <w:rFonts w:ascii="Arial CE" w:hAnsi="Arial CE"/>
        </w:rPr>
        <w:t xml:space="preserve">nem protokolárního předání a převzetí kompletní </w:t>
      </w:r>
      <w:r>
        <w:rPr>
          <w:rFonts w:ascii="Arial CE" w:hAnsi="Arial CE"/>
        </w:rPr>
        <w:t>PD stupně DSJ</w:t>
      </w:r>
      <w:r w:rsidRPr="009244AD">
        <w:rPr>
          <w:rFonts w:ascii="Arial CE" w:hAnsi="Arial CE"/>
        </w:rPr>
        <w:t xml:space="preserve"> ve výši </w:t>
      </w:r>
      <w:r w:rsidRPr="007901CA">
        <w:rPr>
          <w:rFonts w:ascii="Arial CE" w:hAnsi="Arial CE"/>
        </w:rPr>
        <w:t>80%</w:t>
      </w:r>
      <w:r w:rsidRPr="009244AD">
        <w:rPr>
          <w:rFonts w:ascii="Arial CE" w:hAnsi="Arial CE"/>
        </w:rPr>
        <w:t xml:space="preserve"> ceny</w:t>
      </w:r>
      <w:r w:rsidR="00B032ED">
        <w:rPr>
          <w:rFonts w:ascii="Arial CE" w:hAnsi="Arial CE"/>
        </w:rPr>
        <w:t xml:space="preserve"> a předání ověřeného geometrického plánu ve výši 100%</w:t>
      </w:r>
      <w:r>
        <w:rPr>
          <w:rFonts w:ascii="Arial CE" w:hAnsi="Arial CE"/>
        </w:rPr>
        <w:t xml:space="preserve">, </w:t>
      </w:r>
      <w:proofErr w:type="gramStart"/>
      <w:r>
        <w:rPr>
          <w:rFonts w:ascii="Arial CE" w:hAnsi="Arial CE"/>
        </w:rPr>
        <w:t>tj.</w:t>
      </w:r>
      <w:r w:rsidRPr="00407F67">
        <w:rPr>
          <w:rFonts w:ascii="Arial CE" w:hAnsi="Arial CE"/>
          <w:b/>
        </w:rPr>
        <w:t>1</w:t>
      </w:r>
      <w:r w:rsidR="004C7773">
        <w:rPr>
          <w:rFonts w:ascii="Arial CE" w:hAnsi="Arial CE"/>
          <w:b/>
        </w:rPr>
        <w:t>58</w:t>
      </w:r>
      <w:r w:rsidRPr="00407F67">
        <w:rPr>
          <w:rFonts w:ascii="Arial CE" w:hAnsi="Arial CE"/>
          <w:b/>
        </w:rPr>
        <w:t xml:space="preserve"> </w:t>
      </w:r>
      <w:r w:rsidR="004C7773">
        <w:rPr>
          <w:rFonts w:ascii="Arial CE" w:hAnsi="Arial CE"/>
          <w:b/>
        </w:rPr>
        <w:t>9</w:t>
      </w:r>
      <w:r w:rsidRPr="00407F67">
        <w:rPr>
          <w:rFonts w:ascii="Arial CE" w:hAnsi="Arial CE"/>
          <w:b/>
        </w:rPr>
        <w:t>20,00</w:t>
      </w:r>
      <w:proofErr w:type="gramEnd"/>
      <w:r w:rsidRPr="00407F67">
        <w:rPr>
          <w:rFonts w:ascii="Arial CE" w:hAnsi="Arial CE"/>
          <w:b/>
        </w:rPr>
        <w:t xml:space="preserve"> bez</w:t>
      </w:r>
      <w:r w:rsidRPr="00FA3625">
        <w:rPr>
          <w:rFonts w:ascii="Arial CE" w:hAnsi="Arial CE"/>
          <w:b/>
        </w:rPr>
        <w:t xml:space="preserve"> DPH</w:t>
      </w:r>
      <w:r w:rsidRPr="00A07309">
        <w:rPr>
          <w:rFonts w:ascii="Arial CE" w:hAnsi="Arial CE"/>
          <w:color w:val="FF0000"/>
        </w:rPr>
        <w:t xml:space="preserve"> </w:t>
      </w:r>
    </w:p>
    <w:p w:rsidR="004D3EBE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>
        <w:rPr>
          <w:rFonts w:ascii="Arial CE" w:hAnsi="Arial CE"/>
        </w:rPr>
        <w:t>V</w:t>
      </w:r>
      <w:r w:rsidRPr="009244AD">
        <w:rPr>
          <w:rFonts w:ascii="Arial CE" w:hAnsi="Arial CE"/>
        </w:rPr>
        <w:t xml:space="preserve"> případě </w:t>
      </w:r>
      <w:r w:rsidRPr="007901CA">
        <w:rPr>
          <w:rFonts w:ascii="Arial CE" w:hAnsi="Arial CE"/>
        </w:rPr>
        <w:t>celkového plnění</w:t>
      </w:r>
      <w:r>
        <w:rPr>
          <w:rFonts w:ascii="Arial CE" w:hAnsi="Arial CE"/>
        </w:rPr>
        <w:t xml:space="preserve"> </w:t>
      </w:r>
      <w:r w:rsidRPr="009244AD">
        <w:rPr>
          <w:rFonts w:ascii="Arial CE" w:hAnsi="Arial CE"/>
        </w:rPr>
        <w:t xml:space="preserve">dnem podpisu </w:t>
      </w:r>
      <w:r>
        <w:rPr>
          <w:rFonts w:ascii="Arial CE" w:hAnsi="Arial CE"/>
        </w:rPr>
        <w:t xml:space="preserve">„Rozhodnutí“ </w:t>
      </w:r>
      <w:r w:rsidRPr="009244AD">
        <w:rPr>
          <w:rFonts w:ascii="Arial CE" w:hAnsi="Arial CE"/>
        </w:rPr>
        <w:t xml:space="preserve">o schválení </w:t>
      </w:r>
      <w:r>
        <w:rPr>
          <w:rFonts w:ascii="Arial CE" w:hAnsi="Arial CE"/>
        </w:rPr>
        <w:t>PD stupně DSJ</w:t>
      </w:r>
      <w:r w:rsidRPr="009244AD">
        <w:rPr>
          <w:rFonts w:ascii="Arial CE" w:hAnsi="Arial CE"/>
        </w:rPr>
        <w:t xml:space="preserve"> generálním ředitelem Povodí Ohře, s. p., po předchozím projednání v </w:t>
      </w:r>
      <w:r>
        <w:rPr>
          <w:rFonts w:ascii="Arial CE" w:hAnsi="Arial CE"/>
        </w:rPr>
        <w:t xml:space="preserve">investiční </w:t>
      </w:r>
      <w:r w:rsidRPr="009244AD">
        <w:rPr>
          <w:rFonts w:ascii="Arial CE" w:hAnsi="Arial CE"/>
        </w:rPr>
        <w:t xml:space="preserve">komisi ve výši zbývajících </w:t>
      </w:r>
      <w:r w:rsidRPr="007901CA">
        <w:rPr>
          <w:rFonts w:ascii="Arial CE" w:hAnsi="Arial CE"/>
        </w:rPr>
        <w:t>20%</w:t>
      </w:r>
      <w:r w:rsidRPr="009244AD">
        <w:rPr>
          <w:rFonts w:ascii="Arial CE" w:hAnsi="Arial CE"/>
        </w:rPr>
        <w:t xml:space="preserve"> ceny</w:t>
      </w:r>
      <w:r>
        <w:rPr>
          <w:rFonts w:ascii="Arial CE" w:hAnsi="Arial CE"/>
        </w:rPr>
        <w:t xml:space="preserve">, tj. </w:t>
      </w:r>
      <w:r w:rsidRPr="00407F67">
        <w:rPr>
          <w:rFonts w:ascii="Arial CE" w:hAnsi="Arial CE"/>
          <w:b/>
        </w:rPr>
        <w:t>39 730,00</w:t>
      </w:r>
      <w:r w:rsidRPr="00FA3625">
        <w:rPr>
          <w:rFonts w:ascii="Arial CE" w:hAnsi="Arial CE"/>
          <w:b/>
        </w:rPr>
        <w:t xml:space="preserve"> bez DPH</w:t>
      </w:r>
      <w:r>
        <w:rPr>
          <w:rFonts w:ascii="Arial CE" w:hAnsi="Arial CE"/>
        </w:rPr>
        <w:t xml:space="preserve">. </w:t>
      </w:r>
    </w:p>
    <w:p w:rsidR="004C7773" w:rsidRDefault="004C7773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>
        <w:rPr>
          <w:rFonts w:ascii="Arial CE" w:hAnsi="Arial CE"/>
        </w:rPr>
        <w:t xml:space="preserve">Předání ověřeného geometrického plánu – ve výši 100% ceny, tj. </w:t>
      </w:r>
      <w:r w:rsidRPr="004C7773">
        <w:rPr>
          <w:rFonts w:ascii="Arial CE" w:hAnsi="Arial CE"/>
          <w:b/>
        </w:rPr>
        <w:t>10 100 Kč bez DPH</w:t>
      </w:r>
      <w:r>
        <w:rPr>
          <w:rFonts w:ascii="Arial CE" w:hAnsi="Arial CE"/>
          <w:b/>
        </w:rPr>
        <w:t>.</w:t>
      </w:r>
    </w:p>
    <w:p w:rsidR="004D3EBE" w:rsidRDefault="004D3EBE" w:rsidP="004D3EBE">
      <w:pPr>
        <w:pStyle w:val="Odstavecseseznamem"/>
        <w:suppressAutoHyphens/>
        <w:ind w:left="720"/>
        <w:rPr>
          <w:rFonts w:ascii="Arial CE" w:hAnsi="Arial CE"/>
        </w:rPr>
      </w:pPr>
      <w:r>
        <w:rPr>
          <w:rFonts w:ascii="Arial CE" w:hAnsi="Arial CE"/>
        </w:rPr>
        <w:t>S</w:t>
      </w:r>
      <w:r w:rsidRPr="009244AD">
        <w:rPr>
          <w:rFonts w:ascii="Arial CE" w:hAnsi="Arial CE"/>
        </w:rPr>
        <w:t xml:space="preserve">chválení </w:t>
      </w:r>
      <w:r>
        <w:rPr>
          <w:rFonts w:ascii="Arial CE" w:hAnsi="Arial CE"/>
        </w:rPr>
        <w:t>PD v IK</w:t>
      </w:r>
      <w:r w:rsidRPr="009244AD">
        <w:rPr>
          <w:rFonts w:ascii="Arial CE" w:hAnsi="Arial CE"/>
        </w:rPr>
        <w:t xml:space="preserve"> je povinen</w:t>
      </w:r>
      <w:r>
        <w:rPr>
          <w:rFonts w:ascii="Arial CE" w:hAnsi="Arial CE"/>
        </w:rPr>
        <w:t xml:space="preserve"> objednavatel</w:t>
      </w:r>
      <w:r w:rsidRPr="009244AD">
        <w:rPr>
          <w:rFonts w:ascii="Arial CE" w:hAnsi="Arial CE"/>
        </w:rPr>
        <w:t xml:space="preserve"> oznámit </w:t>
      </w:r>
      <w:r>
        <w:rPr>
          <w:rFonts w:ascii="Arial CE" w:hAnsi="Arial CE"/>
        </w:rPr>
        <w:t>dodavateli</w:t>
      </w:r>
      <w:r w:rsidRPr="009244AD">
        <w:rPr>
          <w:rFonts w:ascii="Arial CE" w:hAnsi="Arial CE"/>
        </w:rPr>
        <w:t xml:space="preserve"> do 5 pracovních dnů po podpisu Rozhodnutí generálním ředitelem Povodí Ohře, s. p.</w:t>
      </w:r>
    </w:p>
    <w:p w:rsidR="004D3EBE" w:rsidRPr="009244AD" w:rsidRDefault="004D3EBE" w:rsidP="004D3EBE">
      <w:pPr>
        <w:pStyle w:val="Odstavecseseznamem"/>
        <w:numPr>
          <w:ilvl w:val="0"/>
          <w:numId w:val="23"/>
        </w:numPr>
        <w:suppressAutoHyphens/>
        <w:autoSpaceDE/>
        <w:autoSpaceDN/>
        <w:adjustRightInd/>
        <w:spacing w:line="240" w:lineRule="auto"/>
        <w:rPr>
          <w:rFonts w:ascii="Arial CE" w:hAnsi="Arial CE"/>
        </w:rPr>
      </w:pPr>
      <w:r w:rsidRPr="007901CA">
        <w:rPr>
          <w:rFonts w:ascii="Arial CE" w:hAnsi="Arial CE"/>
        </w:rPr>
        <w:t>Autorský dozor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je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uskutečněný výkon na stavbě dle</w:t>
      </w:r>
      <w:r w:rsidRPr="009244AD">
        <w:rPr>
          <w:rFonts w:ascii="Arial CE" w:hAnsi="Arial CE"/>
          <w:b/>
        </w:rPr>
        <w:t xml:space="preserve"> </w:t>
      </w:r>
      <w:r w:rsidRPr="009244AD">
        <w:rPr>
          <w:rFonts w:ascii="Arial CE" w:hAnsi="Arial CE"/>
        </w:rPr>
        <w:t>skutečného rozsahu prací (počtu hodin) odsouhlasený TDS – čtvrtletně.</w:t>
      </w: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9E498B" w:rsidRDefault="009E498B" w:rsidP="009E498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XI. COMPLIANCE DOLOŽKA</w:t>
      </w:r>
    </w:p>
    <w:p w:rsidR="009E498B" w:rsidRDefault="009E498B" w:rsidP="009E498B">
      <w:pPr>
        <w:pStyle w:val="Zkladntext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0"/>
        <w:ind w:left="567" w:hanging="567"/>
        <w:jc w:val="both"/>
        <w:textAlignment w:val="baseline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  <w:r>
        <w:rPr>
          <w:rFonts w:ascii="Arial CE" w:hAnsi="Arial CE" w:cs="Arial"/>
          <w:sz w:val="22"/>
          <w:szCs w:val="22"/>
        </w:rPr>
        <w:br/>
      </w:r>
    </w:p>
    <w:p w:rsidR="009E498B" w:rsidRDefault="009E498B" w:rsidP="009E498B">
      <w:pPr>
        <w:pStyle w:val="Zkladntext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0"/>
        <w:ind w:left="567" w:hanging="567"/>
        <w:jc w:val="both"/>
        <w:textAlignment w:val="baseline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</w:t>
      </w:r>
      <w:r>
        <w:rPr>
          <w:rFonts w:ascii="Arial CE" w:hAnsi="Arial CE" w:cs="Arial"/>
          <w:sz w:val="22"/>
          <w:szCs w:val="22"/>
        </w:rPr>
        <w:lastRenderedPageBreak/>
        <w:t xml:space="preserve">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9E498B" w:rsidRDefault="009E498B" w:rsidP="009E498B">
      <w:pPr>
        <w:pStyle w:val="Zkladntext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0"/>
        <w:ind w:left="567" w:hanging="567"/>
        <w:jc w:val="both"/>
        <w:textAlignment w:val="baseline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Druhá smluvní strana (zhotovitel, kupující, prodávající, pronajímatel, nájemce, atd.) prohlašuje, že se seznámila se zásadami, hodnotami a cíli </w:t>
      </w:r>
      <w:proofErr w:type="spellStart"/>
      <w:r>
        <w:rPr>
          <w:rFonts w:ascii="Arial CE" w:hAnsi="Arial CE" w:cs="Arial"/>
          <w:sz w:val="22"/>
          <w:szCs w:val="22"/>
        </w:rPr>
        <w:t>Compliance</w:t>
      </w:r>
      <w:proofErr w:type="spellEnd"/>
      <w:r>
        <w:rPr>
          <w:rFonts w:ascii="Arial CE" w:hAnsi="Arial CE" w:cs="Arial"/>
          <w:sz w:val="22"/>
          <w:szCs w:val="22"/>
        </w:rPr>
        <w:t xml:space="preserve"> programu Povodí Ohře, státní podnik (viz </w:t>
      </w:r>
      <w:proofErr w:type="gramStart"/>
      <w:r>
        <w:rPr>
          <w:rFonts w:ascii="Arial CE" w:hAnsi="Arial CE" w:cs="Arial"/>
          <w:sz w:val="22"/>
          <w:szCs w:val="22"/>
        </w:rPr>
        <w:t>www</w:t>
      </w:r>
      <w:proofErr w:type="gramEnd"/>
      <w:r>
        <w:rPr>
          <w:rFonts w:ascii="Arial CE" w:hAnsi="Arial CE" w:cs="Arial"/>
          <w:sz w:val="22"/>
          <w:szCs w:val="22"/>
        </w:rPr>
        <w:t>.</w:t>
      </w:r>
      <w:proofErr w:type="gramStart"/>
      <w:r>
        <w:rPr>
          <w:rFonts w:ascii="Arial CE" w:hAnsi="Arial CE" w:cs="Arial"/>
          <w:sz w:val="22"/>
          <w:szCs w:val="22"/>
        </w:rPr>
        <w:t>poh</w:t>
      </w:r>
      <w:proofErr w:type="gramEnd"/>
      <w:r>
        <w:rPr>
          <w:rFonts w:ascii="Arial CE" w:hAnsi="Arial CE" w:cs="Arial"/>
          <w:sz w:val="22"/>
          <w:szCs w:val="22"/>
        </w:rPr>
        <w:t>.cz), dále s Etickým kodexem Povodí Ohře, státní podnik a Protikorupčním programem Povodí Ohře, státní podnik. Druhá smluvní strana se při plnění této Smlouvy zavazuje po celou dobu jejího trvání dodržovat zásady a hodnoty obsažené v uvedených dokumentech, pokud to jejich povaha umožňuje.</w:t>
      </w:r>
    </w:p>
    <w:p w:rsidR="009E498B" w:rsidRDefault="009E498B" w:rsidP="009E498B">
      <w:pPr>
        <w:pStyle w:val="Zkladntext"/>
        <w:numPr>
          <w:ilvl w:val="0"/>
          <w:numId w:val="41"/>
        </w:numPr>
        <w:overflowPunct w:val="0"/>
        <w:autoSpaceDE w:val="0"/>
        <w:autoSpaceDN w:val="0"/>
        <w:adjustRightInd w:val="0"/>
        <w:spacing w:before="120" w:after="0"/>
        <w:ind w:left="567" w:hanging="567"/>
        <w:jc w:val="both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4D3EBE" w:rsidRDefault="004D3EBE" w:rsidP="009E498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9E498B" w:rsidRDefault="009E498B" w:rsidP="009E498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1</w:t>
      </w:r>
    </w:p>
    <w:p w:rsidR="009E498B" w:rsidRPr="007A4D01" w:rsidRDefault="009E498B" w:rsidP="009E498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E498B" w:rsidRPr="0077712F" w:rsidRDefault="009E498B" w:rsidP="00DC1545">
      <w:pPr>
        <w:pStyle w:val="Odstavecseseznamem"/>
        <w:numPr>
          <w:ilvl w:val="0"/>
          <w:numId w:val="42"/>
        </w:numPr>
        <w:spacing w:after="120" w:line="240" w:lineRule="auto"/>
        <w:ind w:left="567" w:hanging="567"/>
        <w:rPr>
          <w:bCs/>
        </w:rPr>
      </w:pPr>
      <w:r w:rsidRPr="0077712F">
        <w:rPr>
          <w:bCs/>
        </w:rPr>
        <w:t>Ostatní ujednání předmětné smlouvy zůstávají beze změn.</w:t>
      </w:r>
    </w:p>
    <w:p w:rsidR="009E498B" w:rsidRPr="0077712F" w:rsidRDefault="009E498B" w:rsidP="00DC1545">
      <w:pPr>
        <w:pStyle w:val="Odstavecseseznamem"/>
        <w:numPr>
          <w:ilvl w:val="0"/>
          <w:numId w:val="42"/>
        </w:numPr>
        <w:spacing w:after="120" w:line="240" w:lineRule="auto"/>
        <w:ind w:left="567" w:hanging="567"/>
        <w:rPr>
          <w:bCs/>
        </w:rPr>
      </w:pPr>
      <w:r w:rsidRPr="0077712F">
        <w:rPr>
          <w:bCs/>
        </w:rPr>
        <w:t xml:space="preserve">Smluvní strany prohlašují, že se s obsahem dodatku č. </w:t>
      </w:r>
      <w:r>
        <w:rPr>
          <w:bCs/>
        </w:rPr>
        <w:t>1</w:t>
      </w:r>
      <w:r w:rsidRPr="0077712F">
        <w:rPr>
          <w:bCs/>
        </w:rPr>
        <w:t xml:space="preserve"> seznámily, s ním souhlasí, neboť tento odpovídá jejich projevené vůli a na důkaz připojují svoje podpisy.</w:t>
      </w:r>
    </w:p>
    <w:p w:rsidR="009E498B" w:rsidRPr="00240A9C" w:rsidRDefault="009E498B" w:rsidP="00DC1545">
      <w:pPr>
        <w:pStyle w:val="Odstavecseseznamem"/>
        <w:numPr>
          <w:ilvl w:val="0"/>
          <w:numId w:val="42"/>
        </w:numPr>
        <w:spacing w:after="120" w:line="240" w:lineRule="auto"/>
        <w:ind w:left="567" w:hanging="567"/>
        <w:rPr>
          <w:rFonts w:ascii="Arial CE" w:hAnsi="Arial CE"/>
          <w:bCs/>
        </w:rPr>
      </w:pPr>
      <w:r w:rsidRPr="00067F4D">
        <w:rPr>
          <w:rFonts w:ascii="Arial CE" w:hAnsi="Arial CE"/>
          <w:bCs/>
          <w:color w:val="000000"/>
        </w:rPr>
        <w:t xml:space="preserve">Na svědectví tohoto smluvní strany tímto podepisují </w:t>
      </w:r>
      <w:r>
        <w:rPr>
          <w:rFonts w:ascii="Arial CE" w:hAnsi="Arial CE"/>
          <w:bCs/>
          <w:color w:val="000000"/>
        </w:rPr>
        <w:t xml:space="preserve">dodatek č. 1 </w:t>
      </w:r>
      <w:r w:rsidRPr="00067F4D">
        <w:rPr>
          <w:rFonts w:ascii="Arial CE" w:hAnsi="Arial CE"/>
          <w:bCs/>
          <w:color w:val="000000"/>
        </w:rPr>
        <w:t>smlouv</w:t>
      </w:r>
      <w:r>
        <w:rPr>
          <w:rFonts w:ascii="Arial CE" w:hAnsi="Arial CE"/>
          <w:bCs/>
          <w:color w:val="000000"/>
        </w:rPr>
        <w:t>y</w:t>
      </w:r>
      <w:r w:rsidRPr="00067F4D">
        <w:rPr>
          <w:rFonts w:ascii="Arial CE" w:hAnsi="Arial CE"/>
          <w:bCs/>
          <w:color w:val="000000"/>
        </w:rPr>
        <w:t xml:space="preserve">. Tato smlouva je vyhotovena ve </w:t>
      </w:r>
      <w:r w:rsidRPr="00067F4D">
        <w:rPr>
          <w:rFonts w:ascii="Arial CE" w:hAnsi="Arial CE"/>
          <w:bCs/>
        </w:rPr>
        <w:t>dvou</w:t>
      </w:r>
      <w:r w:rsidRPr="00067F4D">
        <w:rPr>
          <w:rFonts w:ascii="Arial CE" w:hAnsi="Arial CE"/>
          <w:bCs/>
          <w:color w:val="000000"/>
        </w:rPr>
        <w:t xml:space="preserve"> vyhotoveních, z nichž každé má platnost originálu. Každá ze smluvních stran obdrží </w:t>
      </w:r>
      <w:r w:rsidRPr="00067F4D">
        <w:rPr>
          <w:rFonts w:ascii="Arial CE" w:hAnsi="Arial CE"/>
          <w:bCs/>
        </w:rPr>
        <w:t>jedno</w:t>
      </w:r>
      <w:r w:rsidRPr="00067F4D">
        <w:rPr>
          <w:rFonts w:ascii="Arial CE" w:hAnsi="Arial CE"/>
          <w:bCs/>
          <w:color w:val="000000"/>
        </w:rPr>
        <w:t xml:space="preserve"> vyhotovení smlouvy. </w:t>
      </w:r>
    </w:p>
    <w:p w:rsidR="009E498B" w:rsidRPr="00240A9C" w:rsidRDefault="009E498B" w:rsidP="00DC1545">
      <w:pPr>
        <w:pStyle w:val="Odstavecseseznamem"/>
        <w:numPr>
          <w:ilvl w:val="0"/>
          <w:numId w:val="42"/>
        </w:numPr>
        <w:spacing w:after="120" w:line="240" w:lineRule="auto"/>
        <w:ind w:left="567" w:hanging="567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>S</w:t>
      </w:r>
      <w:r w:rsidRPr="00240A9C">
        <w:rPr>
          <w:rFonts w:ascii="Arial CE" w:hAnsi="Arial CE"/>
          <w:bCs/>
          <w:color w:val="000000"/>
        </w:rPr>
        <w:t>mluvní strany nepovažují žádné ustanovení smlouvy za obchodní tajemství.</w:t>
      </w:r>
    </w:p>
    <w:p w:rsidR="009E498B" w:rsidRPr="00240A9C" w:rsidRDefault="009E498B" w:rsidP="00DC1545">
      <w:pPr>
        <w:pStyle w:val="Odstavecseseznamem"/>
        <w:numPr>
          <w:ilvl w:val="0"/>
          <w:numId w:val="42"/>
        </w:numPr>
        <w:spacing w:after="120" w:line="240" w:lineRule="auto"/>
        <w:ind w:left="567" w:hanging="567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>Dodatek č. 1 s</w:t>
      </w:r>
      <w:r w:rsidRPr="00240A9C">
        <w:rPr>
          <w:rFonts w:ascii="Arial CE" w:hAnsi="Arial CE"/>
          <w:bCs/>
          <w:color w:val="000000"/>
        </w:rPr>
        <w:t>mlouv</w:t>
      </w:r>
      <w:r>
        <w:rPr>
          <w:rFonts w:ascii="Arial CE" w:hAnsi="Arial CE"/>
          <w:bCs/>
          <w:color w:val="000000"/>
        </w:rPr>
        <w:t>y</w:t>
      </w:r>
      <w:r w:rsidRPr="00240A9C">
        <w:rPr>
          <w:rFonts w:ascii="Arial CE" w:hAnsi="Arial CE"/>
          <w:bCs/>
          <w:color w:val="000000"/>
        </w:rPr>
        <w:t xml:space="preserve"> nabývá platnosti dnem jejího podpisu poslední ze smluvních stran a účinnosti zveřejněním v Registru smluv, pokud této účinnosti dle příslušných ustanovení smlouvy nenabude později.</w:t>
      </w:r>
    </w:p>
    <w:p w:rsidR="00DC1545" w:rsidRDefault="00DC1545" w:rsidP="00DC1545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Chomutově dne: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 Praze dne:</w:t>
      </w:r>
    </w:p>
    <w:p w:rsidR="00DC1545" w:rsidRDefault="00DC1545" w:rsidP="00DC1545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tabs>
          <w:tab w:val="center" w:pos="1800"/>
          <w:tab w:val="center" w:pos="612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…………………………………….</w:t>
      </w:r>
    </w:p>
    <w:p w:rsidR="00DC1545" w:rsidRDefault="00DC1545" w:rsidP="00DC1545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</w:p>
    <w:p w:rsidR="00DC1545" w:rsidRDefault="00DC1545" w:rsidP="00DC1545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Investiční ředitel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předseda představenstva</w:t>
      </w:r>
    </w:p>
    <w:p w:rsidR="00DC1545" w:rsidRDefault="00DC1545" w:rsidP="00DC1545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Povodí Ohře, státní podnik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p w:rsidR="00DC1545" w:rsidRDefault="00DC1545" w:rsidP="00DC1545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DC1545" w:rsidRDefault="00DC1545" w:rsidP="00DC1545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DC1545" w:rsidRDefault="00DC1545" w:rsidP="00DC1545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…………………………………….</w:t>
      </w:r>
    </w:p>
    <w:p w:rsidR="00DC1545" w:rsidRDefault="00DC1545" w:rsidP="00DC1545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místopředseda představenstva</w:t>
      </w:r>
    </w:p>
    <w:p w:rsidR="00DC1545" w:rsidRDefault="00DC1545" w:rsidP="00DC1545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Sweco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Hydroprojekt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a.s.</w:t>
      </w:r>
    </w:p>
    <w:sectPr w:rsidR="00DC1545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AB" w:rsidRDefault="000C18AB">
      <w:r>
        <w:separator/>
      </w:r>
    </w:p>
  </w:endnote>
  <w:endnote w:type="continuationSeparator" w:id="0">
    <w:p w:rsidR="000C18AB" w:rsidRDefault="000C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AB" w:rsidRDefault="000C18AB">
      <w:r>
        <w:separator/>
      </w:r>
    </w:p>
  </w:footnote>
  <w:footnote w:type="continuationSeparator" w:id="0">
    <w:p w:rsidR="000C18AB" w:rsidRDefault="000C1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0E5B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1841CFC"/>
    <w:multiLevelType w:val="hybridMultilevel"/>
    <w:tmpl w:val="172436C0"/>
    <w:lvl w:ilvl="0" w:tplc="50DC5FA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882AE4"/>
    <w:multiLevelType w:val="hybridMultilevel"/>
    <w:tmpl w:val="63262E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D4B17"/>
    <w:multiLevelType w:val="hybridMultilevel"/>
    <w:tmpl w:val="10DE726E"/>
    <w:lvl w:ilvl="0" w:tplc="0BF61B6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605CBF"/>
    <w:multiLevelType w:val="hybridMultilevel"/>
    <w:tmpl w:val="D2464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5"/>
  </w:num>
  <w:num w:numId="5">
    <w:abstractNumId w:val="6"/>
  </w:num>
  <w:num w:numId="6">
    <w:abstractNumId w:val="4"/>
  </w:num>
  <w:num w:numId="7">
    <w:abstractNumId w:val="32"/>
  </w:num>
  <w:num w:numId="8">
    <w:abstractNumId w:val="28"/>
  </w:num>
  <w:num w:numId="9">
    <w:abstractNumId w:val="32"/>
  </w:num>
  <w:num w:numId="10">
    <w:abstractNumId w:val="32"/>
    <w:lvlOverride w:ilvl="0">
      <w:startOverride w:val="1"/>
    </w:lvlOverride>
  </w:num>
  <w:num w:numId="11">
    <w:abstractNumId w:val="32"/>
    <w:lvlOverride w:ilvl="0">
      <w:startOverride w:val="1"/>
    </w:lvlOverride>
  </w:num>
  <w:num w:numId="12">
    <w:abstractNumId w:val="25"/>
  </w:num>
  <w:num w:numId="13">
    <w:abstractNumId w:val="30"/>
  </w:num>
  <w:num w:numId="14">
    <w:abstractNumId w:val="32"/>
  </w:num>
  <w:num w:numId="15">
    <w:abstractNumId w:val="32"/>
  </w:num>
  <w:num w:numId="16">
    <w:abstractNumId w:val="1"/>
  </w:num>
  <w:num w:numId="17">
    <w:abstractNumId w:val="32"/>
  </w:num>
  <w:num w:numId="18">
    <w:abstractNumId w:val="33"/>
  </w:num>
  <w:num w:numId="19">
    <w:abstractNumId w:val="19"/>
  </w:num>
  <w:num w:numId="20">
    <w:abstractNumId w:val="10"/>
  </w:num>
  <w:num w:numId="21">
    <w:abstractNumId w:val="35"/>
  </w:num>
  <w:num w:numId="22">
    <w:abstractNumId w:val="7"/>
  </w:num>
  <w:num w:numId="23">
    <w:abstractNumId w:val="34"/>
  </w:num>
  <w:num w:numId="24">
    <w:abstractNumId w:val="14"/>
  </w:num>
  <w:num w:numId="25">
    <w:abstractNumId w:val="32"/>
  </w:num>
  <w:num w:numId="26">
    <w:abstractNumId w:val="32"/>
  </w:num>
  <w:num w:numId="27">
    <w:abstractNumId w:val="32"/>
  </w:num>
  <w:num w:numId="28">
    <w:abstractNumId w:val="26"/>
  </w:num>
  <w:num w:numId="29">
    <w:abstractNumId w:val="22"/>
  </w:num>
  <w:num w:numId="30">
    <w:abstractNumId w:val="32"/>
  </w:num>
  <w:num w:numId="31">
    <w:abstractNumId w:val="13"/>
  </w:num>
  <w:num w:numId="32">
    <w:abstractNumId w:val="32"/>
  </w:num>
  <w:num w:numId="33">
    <w:abstractNumId w:val="20"/>
  </w:num>
  <w:num w:numId="34">
    <w:abstractNumId w:val="31"/>
  </w:num>
  <w:num w:numId="35">
    <w:abstractNumId w:val="2"/>
  </w:num>
  <w:num w:numId="36">
    <w:abstractNumId w:val="32"/>
  </w:num>
  <w:num w:numId="37">
    <w:abstractNumId w:val="24"/>
  </w:num>
  <w:num w:numId="38">
    <w:abstractNumId w:val="8"/>
  </w:num>
  <w:num w:numId="39">
    <w:abstractNumId w:val="21"/>
  </w:num>
  <w:num w:numId="40">
    <w:abstractNumId w:val="12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6"/>
  </w:num>
  <w:num w:numId="44">
    <w:abstractNumId w:val="0"/>
  </w:num>
  <w:num w:numId="45">
    <w:abstractNumId w:val="11"/>
  </w:num>
  <w:num w:numId="46">
    <w:abstractNumId w:val="3"/>
  </w:num>
  <w:num w:numId="47">
    <w:abstractNumId w:val="18"/>
  </w:num>
  <w:num w:numId="48">
    <w:abstractNumId w:val="27"/>
  </w:num>
  <w:num w:numId="4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210E"/>
    <w:rsid w:val="00034BA8"/>
    <w:rsid w:val="000430D0"/>
    <w:rsid w:val="00044C72"/>
    <w:rsid w:val="0005023D"/>
    <w:rsid w:val="00050B22"/>
    <w:rsid w:val="0005263F"/>
    <w:rsid w:val="00060973"/>
    <w:rsid w:val="00063463"/>
    <w:rsid w:val="00071590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C18AB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687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6D9C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4DEC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2C40"/>
    <w:rsid w:val="004B38C0"/>
    <w:rsid w:val="004C15AB"/>
    <w:rsid w:val="004C25FB"/>
    <w:rsid w:val="004C338C"/>
    <w:rsid w:val="004C7773"/>
    <w:rsid w:val="004D3EBE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4E47"/>
    <w:rsid w:val="00555373"/>
    <w:rsid w:val="005570AB"/>
    <w:rsid w:val="005637D5"/>
    <w:rsid w:val="00565903"/>
    <w:rsid w:val="005678E6"/>
    <w:rsid w:val="0057495F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41FE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0DCA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C2B9A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0CF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435F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498B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32ED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168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47071"/>
    <w:rsid w:val="00D51F12"/>
    <w:rsid w:val="00D5438A"/>
    <w:rsid w:val="00D57311"/>
    <w:rsid w:val="00D61C2C"/>
    <w:rsid w:val="00D62719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1545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075F3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D4707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47071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D47071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D47071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3694</Words>
  <Characters>21795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25439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2017-11-06T08:04:00Z</dcterms:created>
  <dcterms:modified xsi:type="dcterms:W3CDTF">2017-11-06T08:04:00Z</dcterms:modified>
</cp:coreProperties>
</file>