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BD13D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BD13D6">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00042944">
              <w:rPr>
                <w:sz w:val="24"/>
              </w:rPr>
              <w:t>, tel.:</w:t>
            </w:r>
            <w:r w:rsidR="000344C5">
              <w:rPr>
                <w:sz w:val="24"/>
              </w:rPr>
              <w:t xml:space="preserve"> </w:t>
            </w:r>
            <w:r w:rsidR="0045068D" w:rsidRPr="0045068D">
              <w:rPr>
                <w:sz w:val="24"/>
              </w:rPr>
              <w:t>973 204 091</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45068D" w:rsidP="007E52DD">
            <w:pPr>
              <w:rPr>
                <w:sz w:val="24"/>
              </w:rPr>
            </w:pPr>
            <w:r>
              <w:rPr>
                <w:sz w:val="24"/>
              </w:rPr>
              <w:t>Blanka Olejníková</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45 8</w:t>
            </w:r>
            <w:r w:rsidR="00605041">
              <w:rPr>
                <w:sz w:val="24"/>
              </w:rPr>
              <w:t>44</w:t>
            </w:r>
            <w:r w:rsidR="00E869EB">
              <w:rPr>
                <w:sz w:val="24"/>
              </w:rPr>
              <w:t xml:space="preserve">, </w:t>
            </w:r>
            <w:r w:rsidR="00D711E4">
              <w:rPr>
                <w:sz w:val="24"/>
              </w:rPr>
              <w:t>602 </w:t>
            </w:r>
            <w:r w:rsidR="00605041">
              <w:rPr>
                <w:sz w:val="24"/>
              </w:rPr>
              <w:t>285</w:t>
            </w:r>
            <w:r w:rsidR="00D711E4">
              <w:rPr>
                <w:sz w:val="24"/>
              </w:rPr>
              <w:t xml:space="preserve"> </w:t>
            </w:r>
            <w:r w:rsidR="00605041">
              <w:rPr>
                <w:sz w:val="24"/>
              </w:rPr>
              <w:t>377</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r w:rsidR="007E52DD" w:rsidRPr="00FF331D" w:rsidTr="00C75984">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C75984" w:rsidRDefault="00C75984" w:rsidP="00C56950">
            <w:pPr>
              <w:spacing w:before="120"/>
              <w:rPr>
                <w:b/>
                <w:bCs/>
                <w:sz w:val="24"/>
              </w:rPr>
            </w:pPr>
            <w:r>
              <w:rPr>
                <w:b/>
                <w:bCs/>
                <w:sz w:val="24"/>
              </w:rPr>
              <w:t>MOZIS s. r. o.</w:t>
            </w:r>
          </w:p>
        </w:tc>
      </w:tr>
      <w:tr w:rsidR="007E52DD" w:rsidRPr="00FF331D" w:rsidTr="00C75984">
        <w:trPr>
          <w:trHeight w:val="80"/>
          <w:jc w:val="center"/>
        </w:trPr>
        <w:tc>
          <w:tcPr>
            <w:tcW w:w="3615" w:type="dxa"/>
          </w:tcPr>
          <w:p w:rsidR="007E52DD" w:rsidRPr="00FF331D" w:rsidRDefault="007E52DD" w:rsidP="00C56950">
            <w:pPr>
              <w:rPr>
                <w:i/>
                <w:sz w:val="24"/>
              </w:rPr>
            </w:pPr>
            <w:r w:rsidRPr="00FF331D">
              <w:rPr>
                <w:bCs/>
                <w:i/>
                <w:sz w:val="24"/>
              </w:rPr>
              <w:t>Zapsaný v obchodním rejstříku u:</w:t>
            </w:r>
          </w:p>
        </w:tc>
        <w:tc>
          <w:tcPr>
            <w:tcW w:w="6163" w:type="dxa"/>
            <w:shd w:val="clear" w:color="auto" w:fill="auto"/>
          </w:tcPr>
          <w:p w:rsidR="007E52DD" w:rsidRPr="00C75984" w:rsidRDefault="00C75984" w:rsidP="00C56950">
            <w:pPr>
              <w:rPr>
                <w:sz w:val="24"/>
                <w:szCs w:val="24"/>
              </w:rPr>
            </w:pPr>
            <w:r>
              <w:rPr>
                <w:sz w:val="24"/>
                <w:szCs w:val="24"/>
              </w:rPr>
              <w:t>Městského soudu v Praze, oddíl C, vložka 154512</w:t>
            </w:r>
          </w:p>
        </w:tc>
      </w:tr>
      <w:tr w:rsidR="007E52DD" w:rsidRPr="00FF331D" w:rsidTr="00C75984">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C75984" w:rsidRDefault="00C75984" w:rsidP="00C56950">
            <w:pPr>
              <w:rPr>
                <w:sz w:val="24"/>
                <w:szCs w:val="24"/>
              </w:rPr>
            </w:pPr>
            <w:r>
              <w:rPr>
                <w:sz w:val="24"/>
                <w:szCs w:val="24"/>
              </w:rPr>
              <w:t>Pavlínou Trčkovou, jednatelkou</w:t>
            </w:r>
          </w:p>
        </w:tc>
      </w:tr>
      <w:tr w:rsidR="007E52DD" w:rsidRPr="00FF331D" w:rsidTr="00C75984">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C75984" w:rsidRDefault="00C75984" w:rsidP="00C56950">
            <w:pPr>
              <w:pStyle w:val="Nadpis3"/>
              <w:spacing w:before="0"/>
              <w:rPr>
                <w:rFonts w:ascii="Times New Roman" w:hAnsi="Times New Roman"/>
              </w:rPr>
            </w:pPr>
            <w:r>
              <w:rPr>
                <w:rFonts w:ascii="Times New Roman" w:hAnsi="Times New Roman"/>
              </w:rPr>
              <w:t>Slezská 856/74, 130 00 Praha 3</w:t>
            </w:r>
          </w:p>
        </w:tc>
      </w:tr>
      <w:tr w:rsidR="007E52DD" w:rsidRPr="00FF331D" w:rsidTr="00C75984">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C75984" w:rsidRDefault="00C75984" w:rsidP="00C56950">
            <w:pPr>
              <w:rPr>
                <w:sz w:val="24"/>
                <w:szCs w:val="24"/>
              </w:rPr>
            </w:pPr>
            <w:r>
              <w:rPr>
                <w:sz w:val="24"/>
                <w:szCs w:val="24"/>
              </w:rPr>
              <w:t>28940083, CZ28940083</w:t>
            </w:r>
          </w:p>
        </w:tc>
      </w:tr>
      <w:tr w:rsidR="007E52DD" w:rsidRPr="00FF331D" w:rsidTr="00C75984">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7E52DD" w:rsidRDefault="00C75984" w:rsidP="00C56950">
            <w:pPr>
              <w:rPr>
                <w:sz w:val="24"/>
              </w:rPr>
            </w:pPr>
            <w:proofErr w:type="spellStart"/>
            <w:r>
              <w:rPr>
                <w:sz w:val="24"/>
              </w:rPr>
              <w:t>Raiffeisenbank</w:t>
            </w:r>
            <w:proofErr w:type="spellEnd"/>
            <w:r>
              <w:rPr>
                <w:sz w:val="24"/>
              </w:rPr>
              <w:t xml:space="preserve"> a. s. </w:t>
            </w:r>
          </w:p>
          <w:p w:rsidR="00C75984" w:rsidRDefault="00C75984" w:rsidP="00C56950">
            <w:pPr>
              <w:rPr>
                <w:sz w:val="24"/>
              </w:rPr>
            </w:pPr>
            <w:r>
              <w:rPr>
                <w:sz w:val="24"/>
              </w:rPr>
              <w:t>4917207001/5500</w:t>
            </w:r>
          </w:p>
          <w:p w:rsidR="00C75984" w:rsidRPr="00C75984" w:rsidRDefault="00C75984" w:rsidP="00C56950">
            <w:pPr>
              <w:rPr>
                <w:sz w:val="24"/>
              </w:rPr>
            </w:pPr>
            <w:r>
              <w:rPr>
                <w:sz w:val="24"/>
              </w:rPr>
              <w:t>fpri52y</w:t>
            </w:r>
          </w:p>
        </w:tc>
      </w:tr>
      <w:tr w:rsidR="007E52DD" w:rsidRPr="00FF331D" w:rsidTr="00C75984">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C75984" w:rsidRDefault="007E52DD" w:rsidP="00C56950">
            <w:pPr>
              <w:rPr>
                <w:sz w:val="24"/>
              </w:rPr>
            </w:pPr>
          </w:p>
        </w:tc>
      </w:tr>
      <w:tr w:rsidR="007E52DD" w:rsidRPr="00FF331D" w:rsidTr="00C75984">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C75984" w:rsidRDefault="00C75984" w:rsidP="00C56950">
            <w:pPr>
              <w:rPr>
                <w:sz w:val="24"/>
              </w:rPr>
            </w:pPr>
            <w:r>
              <w:rPr>
                <w:sz w:val="24"/>
              </w:rPr>
              <w:t>Rudolf Sedlák, tel: 603 584 943</w:t>
            </w:r>
          </w:p>
        </w:tc>
      </w:tr>
      <w:tr w:rsidR="007E52DD" w:rsidRPr="00FF331D" w:rsidTr="00C75984">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C75984" w:rsidRDefault="00C75984" w:rsidP="00C56950">
            <w:pPr>
              <w:rPr>
                <w:bCs/>
                <w:sz w:val="24"/>
                <w:szCs w:val="24"/>
              </w:rPr>
            </w:pPr>
            <w:r>
              <w:rPr>
                <w:bCs/>
                <w:sz w:val="24"/>
                <w:szCs w:val="24"/>
              </w:rPr>
              <w:t>Petr Novák, tel: 724 594 249</w:t>
            </w:r>
          </w:p>
        </w:tc>
      </w:tr>
    </w:tbl>
    <w:p w:rsidR="007E52DD" w:rsidRPr="00FF13ED" w:rsidRDefault="007E52DD" w:rsidP="007E52DD">
      <w:pPr>
        <w:spacing w:beforeLines="20" w:before="48"/>
        <w:ind w:left="-284"/>
        <w:jc w:val="both"/>
        <w:rPr>
          <w:i/>
          <w:sz w:val="24"/>
        </w:rPr>
      </w:pPr>
      <w:r>
        <w:rPr>
          <w:i/>
          <w:sz w:val="24"/>
        </w:rPr>
        <w:t>(dále jen „zhotovitel“)</w:t>
      </w:r>
    </w:p>
    <w:p w:rsidR="00AE2642" w:rsidRPr="007B268E" w:rsidRDefault="00AE2642" w:rsidP="00BD13D6">
      <w:pPr>
        <w:spacing w:beforeLines="20" w:before="48"/>
        <w:ind w:left="-284"/>
        <w:jc w:val="both"/>
        <w:rPr>
          <w:sz w:val="24"/>
        </w:rPr>
      </w:pPr>
      <w:r w:rsidRPr="007B268E">
        <w:rPr>
          <w:sz w:val="24"/>
        </w:rPr>
        <w:t>za takto dohodnutých podmínek:</w:t>
      </w:r>
    </w:p>
    <w:p w:rsidR="00857513" w:rsidRPr="00095FDB" w:rsidRDefault="00857513" w:rsidP="00BD13D6">
      <w:pPr>
        <w:shd w:val="clear" w:color="00FFFF" w:fill="auto"/>
        <w:spacing w:beforeLines="20" w:before="48"/>
        <w:jc w:val="center"/>
        <w:rPr>
          <w:b/>
          <w:sz w:val="24"/>
        </w:rPr>
      </w:pPr>
    </w:p>
    <w:p w:rsidR="00AE2642" w:rsidRDefault="00DE2030" w:rsidP="00DE2030">
      <w:pPr>
        <w:shd w:val="clear" w:color="00FFFF" w:fill="auto"/>
        <w:spacing w:after="120"/>
        <w:jc w:val="center"/>
        <w:rPr>
          <w:b/>
          <w:bCs/>
          <w:sz w:val="24"/>
          <w:u w:val="single"/>
        </w:rPr>
      </w:pPr>
      <w:proofErr w:type="gramStart"/>
      <w:r>
        <w:rPr>
          <w:b/>
          <w:bCs/>
          <w:sz w:val="24"/>
          <w:szCs w:val="24"/>
          <w:u w:val="single"/>
        </w:rPr>
        <w:t xml:space="preserve">I.  </w:t>
      </w:r>
      <w:r w:rsidR="00AE2642" w:rsidRPr="00DE2030">
        <w:rPr>
          <w:b/>
          <w:bCs/>
          <w:sz w:val="24"/>
          <w:szCs w:val="24"/>
          <w:u w:val="single"/>
        </w:rPr>
        <w:t>PŘEDMĚT</w:t>
      </w:r>
      <w:proofErr w:type="gramEnd"/>
      <w:r w:rsidR="00053D8D" w:rsidRPr="00DE2030">
        <w:rPr>
          <w:b/>
          <w:bCs/>
          <w:sz w:val="24"/>
          <w:u w:val="single"/>
        </w:rPr>
        <w:t xml:space="preserve"> </w:t>
      </w:r>
      <w:r w:rsidR="00AE2642" w:rsidRPr="00DE2030">
        <w:rPr>
          <w:b/>
          <w:bCs/>
          <w:sz w:val="24"/>
          <w:u w:val="single"/>
        </w:rPr>
        <w:t>DÍLA</w:t>
      </w:r>
    </w:p>
    <w:p w:rsidR="0099589C" w:rsidRPr="00A25DC7" w:rsidRDefault="0024417C" w:rsidP="0024417C">
      <w:pPr>
        <w:jc w:val="both"/>
        <w:rPr>
          <w:bCs/>
          <w:sz w:val="24"/>
          <w:szCs w:val="24"/>
        </w:rPr>
      </w:pPr>
      <w:r w:rsidRPr="00A25DC7">
        <w:rPr>
          <w:sz w:val="24"/>
          <w:szCs w:val="24"/>
        </w:rPr>
        <w:t xml:space="preserve">Předmětem </w:t>
      </w:r>
      <w:r w:rsidR="003E47D3" w:rsidRPr="00A25DC7">
        <w:rPr>
          <w:sz w:val="24"/>
          <w:szCs w:val="24"/>
        </w:rPr>
        <w:t>díla</w:t>
      </w:r>
      <w:r w:rsidRPr="00A25DC7">
        <w:rPr>
          <w:sz w:val="24"/>
          <w:szCs w:val="24"/>
        </w:rPr>
        <w:t xml:space="preserve"> je </w:t>
      </w:r>
      <w:r w:rsidR="0099589C" w:rsidRPr="00A25DC7">
        <w:rPr>
          <w:sz w:val="24"/>
          <w:szCs w:val="24"/>
        </w:rPr>
        <w:t xml:space="preserve">realizace </w:t>
      </w:r>
      <w:r w:rsidR="00023EB1" w:rsidRPr="00A25DC7">
        <w:rPr>
          <w:bCs/>
          <w:sz w:val="24"/>
          <w:szCs w:val="24"/>
        </w:rPr>
        <w:t>„</w:t>
      </w:r>
      <w:r w:rsidR="00342C97" w:rsidRPr="00A25DC7">
        <w:rPr>
          <w:sz w:val="24"/>
          <w:szCs w:val="24"/>
        </w:rPr>
        <w:t>Výměna sprchových koutů včetně výměny dlažby v koupelnách a místností WC ve VUZ Čáslav</w:t>
      </w:r>
      <w:r w:rsidR="00023EB1" w:rsidRPr="00A25DC7">
        <w:rPr>
          <w:bCs/>
          <w:iCs/>
          <w:sz w:val="24"/>
          <w:szCs w:val="24"/>
        </w:rPr>
        <w:t>“</w:t>
      </w:r>
      <w:r w:rsidR="002051CA" w:rsidRPr="00A25DC7">
        <w:rPr>
          <w:bCs/>
          <w:sz w:val="24"/>
          <w:szCs w:val="24"/>
        </w:rPr>
        <w:t>.</w:t>
      </w:r>
    </w:p>
    <w:p w:rsidR="0099589C" w:rsidRDefault="0099589C" w:rsidP="0024417C">
      <w:pPr>
        <w:jc w:val="both"/>
        <w:rPr>
          <w:sz w:val="24"/>
          <w:szCs w:val="24"/>
        </w:rPr>
      </w:pPr>
    </w:p>
    <w:p w:rsidR="0024417C" w:rsidRPr="00944DE0" w:rsidRDefault="0024417C" w:rsidP="0024417C">
      <w:pPr>
        <w:spacing w:after="120" w:line="288" w:lineRule="auto"/>
        <w:jc w:val="both"/>
        <w:rPr>
          <w:sz w:val="24"/>
          <w:szCs w:val="24"/>
          <w:u w:val="single"/>
        </w:rPr>
      </w:pPr>
      <w:r w:rsidRPr="00944DE0">
        <w:rPr>
          <w:sz w:val="24"/>
          <w:szCs w:val="24"/>
          <w:u w:val="single"/>
        </w:rPr>
        <w:t>Rozsah požadovaných prací:</w:t>
      </w:r>
    </w:p>
    <w:p w:rsidR="00A25DC7" w:rsidRDefault="00A25DC7" w:rsidP="00A25DC7">
      <w:pPr>
        <w:jc w:val="both"/>
        <w:rPr>
          <w:color w:val="00B0F0"/>
          <w:sz w:val="24"/>
          <w:szCs w:val="24"/>
        </w:rPr>
      </w:pPr>
      <w:r>
        <w:rPr>
          <w:sz w:val="24"/>
          <w:szCs w:val="24"/>
        </w:rPr>
        <w:t>Demontáž stávajících prahů ve dveřích</w:t>
      </w:r>
      <w:r w:rsidRPr="00362FC8">
        <w:rPr>
          <w:sz w:val="24"/>
          <w:szCs w:val="24"/>
        </w:rPr>
        <w:t>,</w:t>
      </w:r>
      <w:r>
        <w:rPr>
          <w:sz w:val="24"/>
          <w:szCs w:val="24"/>
        </w:rPr>
        <w:t xml:space="preserve"> sprchových koutů a WC </w:t>
      </w:r>
      <w:proofErr w:type="spellStart"/>
      <w:r>
        <w:rPr>
          <w:sz w:val="24"/>
          <w:szCs w:val="24"/>
        </w:rPr>
        <w:t>Combi</w:t>
      </w:r>
      <w:proofErr w:type="spellEnd"/>
      <w:r>
        <w:rPr>
          <w:sz w:val="24"/>
          <w:szCs w:val="24"/>
        </w:rPr>
        <w:t xml:space="preserve">, vybourání stávající dlažby v koupelnách, </w:t>
      </w:r>
      <w:r w:rsidRPr="00F90196">
        <w:rPr>
          <w:color w:val="000000"/>
          <w:sz w:val="24"/>
          <w:szCs w:val="24"/>
        </w:rPr>
        <w:t xml:space="preserve">prádelnách </w:t>
      </w:r>
      <w:r>
        <w:rPr>
          <w:sz w:val="24"/>
          <w:szCs w:val="24"/>
        </w:rPr>
        <w:t>a WC místností. Provedení vyčištění odpadních přípojek až do stoupačky, provedení hydroizolace, penetrace. Položení nové dlažby</w:t>
      </w:r>
      <w:r w:rsidRPr="00362FC8">
        <w:rPr>
          <w:sz w:val="24"/>
          <w:szCs w:val="24"/>
        </w:rPr>
        <w:t>,</w:t>
      </w:r>
      <w:r>
        <w:rPr>
          <w:sz w:val="24"/>
          <w:szCs w:val="24"/>
        </w:rPr>
        <w:t xml:space="preserve"> montáž nových sprchových koutů, nových prahů a montáž stávajících WC </w:t>
      </w:r>
      <w:proofErr w:type="spellStart"/>
      <w:r>
        <w:rPr>
          <w:sz w:val="24"/>
          <w:szCs w:val="24"/>
        </w:rPr>
        <w:t>Combi</w:t>
      </w:r>
      <w:proofErr w:type="spellEnd"/>
      <w:r>
        <w:rPr>
          <w:sz w:val="24"/>
          <w:szCs w:val="24"/>
        </w:rPr>
        <w:t>. O</w:t>
      </w:r>
      <w:r w:rsidRPr="00362FC8">
        <w:rPr>
          <w:sz w:val="24"/>
          <w:szCs w:val="24"/>
        </w:rPr>
        <w:t>dpojení a následné zapojení 4 ks praček.</w:t>
      </w:r>
    </w:p>
    <w:p w:rsidR="00B864A1" w:rsidRPr="00877C89" w:rsidRDefault="00B864A1" w:rsidP="00B864A1">
      <w:pPr>
        <w:jc w:val="both"/>
        <w:rPr>
          <w:color w:val="000000"/>
          <w:sz w:val="24"/>
          <w:szCs w:val="24"/>
        </w:rPr>
      </w:pPr>
    </w:p>
    <w:p w:rsidR="00044372" w:rsidRPr="00B864A1" w:rsidRDefault="00B864A1" w:rsidP="00B864A1">
      <w:pPr>
        <w:shd w:val="clear" w:color="00FFFF" w:fill="auto"/>
        <w:spacing w:beforeLines="20" w:before="48" w:after="120"/>
        <w:jc w:val="both"/>
        <w:rPr>
          <w:sz w:val="24"/>
          <w:szCs w:val="24"/>
        </w:rPr>
      </w:pPr>
      <w:r w:rsidRPr="00B864A1">
        <w:rPr>
          <w:sz w:val="24"/>
          <w:szCs w:val="24"/>
        </w:rPr>
        <w:t>Uvedené práce budou probíhat za běžného provozu ubytovny, veškeré práce je nutno provádět s ohledem na tuto skutečnost.</w:t>
      </w:r>
    </w:p>
    <w:p w:rsidR="0058150E" w:rsidRDefault="00023EB1" w:rsidP="00044372">
      <w:pPr>
        <w:shd w:val="clear" w:color="00FFFF" w:fill="auto"/>
        <w:spacing w:beforeLines="20" w:before="48" w:after="120"/>
        <w:jc w:val="both"/>
        <w:rPr>
          <w:bCs/>
          <w:iCs/>
          <w:sz w:val="24"/>
          <w:szCs w:val="24"/>
        </w:rPr>
      </w:pPr>
      <w:r>
        <w:rPr>
          <w:bCs/>
          <w:iCs/>
          <w:sz w:val="24"/>
          <w:szCs w:val="24"/>
        </w:rPr>
        <w:t>Soupis stavebních prací a dodávek</w:t>
      </w:r>
      <w:r w:rsidR="0058150E">
        <w:rPr>
          <w:bCs/>
          <w:iCs/>
          <w:sz w:val="24"/>
          <w:szCs w:val="24"/>
        </w:rPr>
        <w:t xml:space="preserve"> je</w:t>
      </w:r>
      <w:r w:rsidR="000713CD">
        <w:rPr>
          <w:bCs/>
          <w:iCs/>
          <w:sz w:val="24"/>
          <w:szCs w:val="24"/>
        </w:rPr>
        <w:t xml:space="preserve"> nedílnou P</w:t>
      </w:r>
      <w:r w:rsidR="0058150E">
        <w:rPr>
          <w:bCs/>
          <w:iCs/>
          <w:sz w:val="24"/>
          <w:szCs w:val="24"/>
        </w:rPr>
        <w:t>řílohou č. 2.</w:t>
      </w:r>
    </w:p>
    <w:p w:rsidR="00AE2642" w:rsidRPr="00095FDB" w:rsidRDefault="00F866AD" w:rsidP="00DC69D1">
      <w:pPr>
        <w:shd w:val="clear" w:color="00FFFF" w:fill="auto"/>
        <w:spacing w:beforeLines="20" w:before="48" w:after="120"/>
        <w:jc w:val="center"/>
        <w:rPr>
          <w:b/>
          <w:sz w:val="24"/>
          <w:u w:val="single"/>
        </w:rPr>
      </w:pPr>
      <w:r w:rsidRPr="00095FDB">
        <w:rPr>
          <w:b/>
          <w:caps/>
          <w:sz w:val="24"/>
          <w:szCs w:val="24"/>
          <w:u w:val="single"/>
        </w:rPr>
        <w:lastRenderedPageBreak/>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DC69D1">
      <w:pPr>
        <w:shd w:val="clear" w:color="00FFFF" w:fill="auto"/>
        <w:spacing w:beforeLines="20" w:before="48"/>
        <w:jc w:val="center"/>
        <w:rPr>
          <w:b/>
          <w:sz w:val="24"/>
          <w:u w:val="single"/>
        </w:rPr>
      </w:pPr>
    </w:p>
    <w:p w:rsidR="0024417C" w:rsidRPr="003015EC" w:rsidRDefault="00C828E5" w:rsidP="00DC69D1">
      <w:pPr>
        <w:tabs>
          <w:tab w:val="left" w:pos="3686"/>
        </w:tabs>
        <w:spacing w:after="120"/>
        <w:jc w:val="both"/>
        <w:rPr>
          <w:bCs/>
          <w:sz w:val="24"/>
          <w:szCs w:val="24"/>
        </w:rPr>
      </w:pPr>
      <w:r w:rsidRPr="003015EC">
        <w:rPr>
          <w:bCs/>
          <w:sz w:val="24"/>
          <w:szCs w:val="24"/>
        </w:rPr>
        <w:t>Termín zahájení plnění:</w:t>
      </w:r>
      <w:r w:rsidRPr="003015EC">
        <w:rPr>
          <w:bCs/>
          <w:sz w:val="24"/>
          <w:szCs w:val="24"/>
        </w:rPr>
        <w:tab/>
      </w:r>
      <w:r w:rsidR="00B046AC">
        <w:rPr>
          <w:bCs/>
          <w:sz w:val="24"/>
          <w:szCs w:val="24"/>
        </w:rPr>
        <w:t>dle čl. XI (Závěrečná ustanovení), odst. 11.2</w:t>
      </w:r>
    </w:p>
    <w:p w:rsidR="00352D92" w:rsidRPr="003015EC" w:rsidRDefault="00D711E4" w:rsidP="00DC69D1">
      <w:pPr>
        <w:tabs>
          <w:tab w:val="left" w:pos="3686"/>
        </w:tabs>
        <w:rPr>
          <w:bCs/>
          <w:color w:val="000000"/>
          <w:sz w:val="24"/>
          <w:szCs w:val="24"/>
        </w:rPr>
      </w:pPr>
      <w:r w:rsidRPr="003015EC">
        <w:rPr>
          <w:bCs/>
          <w:color w:val="000000"/>
          <w:sz w:val="24"/>
          <w:szCs w:val="24"/>
        </w:rPr>
        <w:t>Termín ukončení plnění</w:t>
      </w:r>
      <w:r w:rsidR="009A3F58" w:rsidRPr="003015EC">
        <w:rPr>
          <w:bCs/>
          <w:color w:val="000000"/>
          <w:sz w:val="24"/>
          <w:szCs w:val="24"/>
        </w:rPr>
        <w:t>:</w:t>
      </w:r>
      <w:r w:rsidR="00605041" w:rsidRPr="003015EC">
        <w:rPr>
          <w:bCs/>
          <w:color w:val="000000"/>
          <w:sz w:val="24"/>
          <w:szCs w:val="24"/>
        </w:rPr>
        <w:tab/>
      </w:r>
      <w:r w:rsidR="00B52F8A">
        <w:rPr>
          <w:bCs/>
          <w:color w:val="000000"/>
          <w:sz w:val="24"/>
          <w:szCs w:val="24"/>
        </w:rPr>
        <w:t>12</w:t>
      </w:r>
      <w:r w:rsidR="00E34799" w:rsidRPr="003015EC">
        <w:rPr>
          <w:bCs/>
          <w:color w:val="000000"/>
          <w:sz w:val="24"/>
          <w:szCs w:val="24"/>
        </w:rPr>
        <w:t xml:space="preserve">. </w:t>
      </w:r>
      <w:r w:rsidR="0018698E" w:rsidRPr="003015EC">
        <w:rPr>
          <w:bCs/>
          <w:color w:val="000000"/>
          <w:sz w:val="24"/>
          <w:szCs w:val="24"/>
        </w:rPr>
        <w:t>1</w:t>
      </w:r>
      <w:r w:rsidR="00B52F8A">
        <w:rPr>
          <w:bCs/>
          <w:color w:val="000000"/>
          <w:sz w:val="24"/>
          <w:szCs w:val="24"/>
        </w:rPr>
        <w:t>2</w:t>
      </w:r>
      <w:r w:rsidR="00E34799" w:rsidRPr="003015EC">
        <w:rPr>
          <w:bCs/>
          <w:color w:val="000000"/>
          <w:sz w:val="24"/>
          <w:szCs w:val="24"/>
        </w:rPr>
        <w:t>. 201</w:t>
      </w:r>
      <w:r w:rsidR="00C56950" w:rsidRPr="003015EC">
        <w:rPr>
          <w:bCs/>
          <w:color w:val="000000"/>
          <w:sz w:val="24"/>
          <w:szCs w:val="24"/>
        </w:rPr>
        <w:t>6</w:t>
      </w:r>
      <w:r w:rsidR="00560BF2" w:rsidRPr="003015EC">
        <w:rPr>
          <w:bCs/>
          <w:color w:val="000000"/>
          <w:sz w:val="24"/>
          <w:szCs w:val="24"/>
        </w:rPr>
        <w:tab/>
      </w:r>
      <w:r w:rsidR="00560BF2" w:rsidRPr="003015EC">
        <w:rPr>
          <w:bCs/>
          <w:color w:val="000000"/>
          <w:sz w:val="24"/>
          <w:szCs w:val="24"/>
        </w:rPr>
        <w:tab/>
      </w:r>
      <w:r w:rsidRPr="003015EC">
        <w:rPr>
          <w:bCs/>
          <w:color w:val="000000"/>
          <w:sz w:val="24"/>
          <w:szCs w:val="24"/>
        </w:rPr>
        <w:tab/>
      </w:r>
    </w:p>
    <w:p w:rsidR="00B477C5" w:rsidRPr="003015EC" w:rsidRDefault="00B477C5" w:rsidP="00DC69D1">
      <w:pPr>
        <w:rPr>
          <w:bCs/>
          <w:sz w:val="24"/>
          <w:szCs w:val="24"/>
        </w:rPr>
      </w:pPr>
    </w:p>
    <w:p w:rsidR="00654A49" w:rsidRPr="003015EC" w:rsidRDefault="00406998" w:rsidP="00DC69D1">
      <w:pPr>
        <w:rPr>
          <w:bCs/>
          <w:color w:val="000000"/>
          <w:sz w:val="24"/>
          <w:szCs w:val="24"/>
        </w:rPr>
      </w:pPr>
      <w:r w:rsidRPr="003015EC">
        <w:rPr>
          <w:bCs/>
          <w:color w:val="000000"/>
          <w:sz w:val="24"/>
          <w:szCs w:val="24"/>
        </w:rPr>
        <w:t xml:space="preserve">Místo plnění </w:t>
      </w:r>
      <w:r w:rsidR="00BF2F1E" w:rsidRPr="003015EC">
        <w:rPr>
          <w:bCs/>
          <w:color w:val="000000"/>
          <w:sz w:val="24"/>
          <w:szCs w:val="24"/>
        </w:rPr>
        <w:t xml:space="preserve">díla: </w:t>
      </w:r>
      <w:r w:rsidR="00E34799" w:rsidRPr="003015EC">
        <w:rPr>
          <w:bCs/>
          <w:color w:val="000000"/>
          <w:sz w:val="24"/>
          <w:szCs w:val="24"/>
        </w:rPr>
        <w:tab/>
      </w:r>
      <w:r w:rsidR="00F32B51" w:rsidRPr="003015EC">
        <w:rPr>
          <w:bCs/>
          <w:color w:val="000000"/>
          <w:sz w:val="24"/>
          <w:szCs w:val="24"/>
        </w:rPr>
        <w:tab/>
      </w:r>
      <w:r w:rsidR="00F32B51" w:rsidRPr="003015EC">
        <w:rPr>
          <w:bCs/>
          <w:color w:val="000000"/>
          <w:sz w:val="24"/>
          <w:szCs w:val="24"/>
        </w:rPr>
        <w:tab/>
      </w:r>
      <w:r w:rsidR="00E34799" w:rsidRPr="003015EC">
        <w:rPr>
          <w:bCs/>
          <w:color w:val="000000"/>
          <w:sz w:val="24"/>
          <w:szCs w:val="24"/>
        </w:rPr>
        <w:t xml:space="preserve">VUZ </w:t>
      </w:r>
      <w:r w:rsidR="009C09BA">
        <w:rPr>
          <w:bCs/>
          <w:color w:val="000000"/>
          <w:sz w:val="24"/>
          <w:szCs w:val="24"/>
        </w:rPr>
        <w:t>Čáslav, Filipovská</w:t>
      </w:r>
      <w:r w:rsidR="00EE317E">
        <w:rPr>
          <w:bCs/>
          <w:color w:val="000000"/>
          <w:sz w:val="24"/>
          <w:szCs w:val="24"/>
        </w:rPr>
        <w:t xml:space="preserve"> č. p. 1</w:t>
      </w:r>
      <w:r w:rsidR="009C09BA">
        <w:rPr>
          <w:bCs/>
          <w:color w:val="000000"/>
          <w:sz w:val="24"/>
          <w:szCs w:val="24"/>
        </w:rPr>
        <w:t>4</w:t>
      </w:r>
      <w:r w:rsidR="00EE317E">
        <w:rPr>
          <w:bCs/>
          <w:color w:val="000000"/>
          <w:sz w:val="24"/>
          <w:szCs w:val="24"/>
        </w:rPr>
        <w:t>3</w:t>
      </w:r>
      <w:r w:rsidR="009C09BA">
        <w:rPr>
          <w:bCs/>
          <w:color w:val="000000"/>
          <w:sz w:val="24"/>
          <w:szCs w:val="24"/>
        </w:rPr>
        <w:t>8</w:t>
      </w:r>
    </w:p>
    <w:p w:rsidR="00EA3BE5" w:rsidRPr="003015EC" w:rsidRDefault="00EA3BE5" w:rsidP="00DC69D1"/>
    <w:p w:rsidR="00E34799" w:rsidRDefault="00E34799" w:rsidP="00DC69D1"/>
    <w:p w:rsidR="00E34799" w:rsidRDefault="00E34799" w:rsidP="00DC69D1"/>
    <w:p w:rsidR="00AE2642" w:rsidRPr="00095FDB" w:rsidRDefault="00F866AD" w:rsidP="00DC69D1">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9A3F58" w:rsidRPr="003015EC" w:rsidRDefault="009A3F58" w:rsidP="00DC69D1">
      <w:pPr>
        <w:jc w:val="both"/>
        <w:rPr>
          <w:sz w:val="24"/>
        </w:rPr>
      </w:pPr>
      <w:r w:rsidRPr="003015EC">
        <w:rPr>
          <w:sz w:val="24"/>
        </w:rPr>
        <w:t>Cena za předmět díla bez DPH je cenou konečnou, nejvýše přípustnou, ve které jsou zahrnuty veškeré náklady dle článku I této smlouvy a činí:</w:t>
      </w:r>
      <w:r w:rsidR="00C75984">
        <w:rPr>
          <w:sz w:val="24"/>
        </w:rPr>
        <w:t xml:space="preserve"> 542.035</w:t>
      </w:r>
      <w:r w:rsidR="00A77C83" w:rsidRPr="003015EC">
        <w:rPr>
          <w:sz w:val="24"/>
        </w:rPr>
        <w:t xml:space="preserve">,- </w:t>
      </w:r>
      <w:r w:rsidRPr="003015EC">
        <w:rPr>
          <w:sz w:val="24"/>
        </w:rPr>
        <w:t>Kč</w:t>
      </w:r>
    </w:p>
    <w:p w:rsidR="009A3F58" w:rsidRPr="00756BB0" w:rsidRDefault="009A3F58" w:rsidP="00DC69D1">
      <w:pPr>
        <w:tabs>
          <w:tab w:val="left" w:pos="1080"/>
          <w:tab w:val="right" w:pos="7740"/>
        </w:tabs>
        <w:ind w:left="540"/>
        <w:jc w:val="both"/>
        <w:rPr>
          <w:b/>
          <w:sz w:val="24"/>
        </w:rPr>
      </w:pPr>
    </w:p>
    <w:p w:rsidR="009A3F58" w:rsidRPr="00756BB0" w:rsidRDefault="009A3F58" w:rsidP="00DC69D1">
      <w:pPr>
        <w:tabs>
          <w:tab w:val="left" w:pos="1080"/>
          <w:tab w:val="right" w:pos="7740"/>
        </w:tabs>
        <w:jc w:val="both"/>
        <w:rPr>
          <w:sz w:val="24"/>
        </w:rPr>
      </w:pPr>
      <w:r w:rsidRPr="00566F27">
        <w:rPr>
          <w:sz w:val="24"/>
        </w:rPr>
        <w:t>slovy:</w:t>
      </w:r>
      <w:r w:rsidRPr="00566F27">
        <w:rPr>
          <w:sz w:val="24"/>
        </w:rPr>
        <w:tab/>
        <w:t>„</w:t>
      </w:r>
      <w:proofErr w:type="spellStart"/>
      <w:r w:rsidR="00C75984">
        <w:rPr>
          <w:sz w:val="24"/>
        </w:rPr>
        <w:t>pětsetčtyřicetdvatisíctřicetpět</w:t>
      </w:r>
      <w:proofErr w:type="spellEnd"/>
      <w:r w:rsidR="00C75984">
        <w:rPr>
          <w:sz w:val="24"/>
        </w:rPr>
        <w:t xml:space="preserve"> </w:t>
      </w:r>
      <w:proofErr w:type="spellStart"/>
      <w:r w:rsidR="00C75984">
        <w:rPr>
          <w:sz w:val="24"/>
        </w:rPr>
        <w:t>korunčeských</w:t>
      </w:r>
      <w:proofErr w:type="spellEnd"/>
      <w:r w:rsidRPr="00566F27">
        <w:rPr>
          <w:sz w:val="24"/>
        </w:rPr>
        <w:t>“</w:t>
      </w:r>
    </w:p>
    <w:p w:rsidR="009A3F58" w:rsidRPr="00756BB0" w:rsidRDefault="009A3F58" w:rsidP="00B46B1D">
      <w:pPr>
        <w:jc w:val="center"/>
        <w:rPr>
          <w:sz w:val="24"/>
        </w:rPr>
      </w:pPr>
    </w:p>
    <w:p w:rsidR="009A3F58" w:rsidRPr="00944DE0" w:rsidRDefault="009A3F58" w:rsidP="00B46B1D">
      <w:pPr>
        <w:rPr>
          <w:sz w:val="24"/>
          <w:szCs w:val="24"/>
        </w:rPr>
      </w:pPr>
      <w:r w:rsidRPr="00944DE0">
        <w:rPr>
          <w:sz w:val="24"/>
          <w:szCs w:val="24"/>
        </w:rPr>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E929A1" w:rsidRDefault="00E929A1" w:rsidP="00BD13D6">
      <w:pPr>
        <w:spacing w:beforeLines="20" w:before="48" w:after="120"/>
        <w:jc w:val="center"/>
        <w:rPr>
          <w:b/>
          <w:caps/>
          <w:sz w:val="24"/>
          <w:u w:val="single"/>
        </w:rPr>
      </w:pPr>
    </w:p>
    <w:p w:rsidR="00AE2642" w:rsidRPr="00095FDB" w:rsidRDefault="00F866AD" w:rsidP="00BD13D6">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776A70" w:rsidRPr="00D876A8" w:rsidRDefault="009304BA" w:rsidP="003C4F1A">
      <w:pPr>
        <w:pStyle w:val="Zkladntext3"/>
        <w:numPr>
          <w:ilvl w:val="0"/>
          <w:numId w:val="2"/>
        </w:numPr>
        <w:jc w:val="both"/>
        <w:rPr>
          <w:bCs/>
          <w:szCs w:val="24"/>
        </w:rPr>
      </w:pPr>
      <w:r>
        <w:rPr>
          <w:szCs w:val="24"/>
        </w:rPr>
        <w:t>Skutečně provedené a oboustranně odsouhlasené práce budou fakturovány měsíčními daňovými doklady na základě měsíčních dílčích zjišťovacích protokolů.</w:t>
      </w:r>
      <w:r w:rsidR="00D876A8" w:rsidRPr="00E02268">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BD13D6">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3015EC">
        <w:rPr>
          <w:sz w:val="24"/>
        </w:rPr>
        <w:t>3</w:t>
      </w:r>
      <w:r w:rsidR="00F634A8" w:rsidRPr="003015EC">
        <w:rPr>
          <w:sz w:val="24"/>
        </w:rPr>
        <w:t>0</w:t>
      </w:r>
      <w:r w:rsidRPr="003015EC">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 Pardubice</w:t>
      </w:r>
      <w:r w:rsidR="0075034C" w:rsidRPr="00095FDB">
        <w:rPr>
          <w:color w:val="000000"/>
          <w:sz w:val="24"/>
        </w:rPr>
        <w:t>.</w:t>
      </w:r>
    </w:p>
    <w:p w:rsidR="00AE2642" w:rsidRPr="002354D1" w:rsidRDefault="00AE2642" w:rsidP="0075034C">
      <w:pPr>
        <w:numPr>
          <w:ilvl w:val="0"/>
          <w:numId w:val="2"/>
        </w:numPr>
        <w:tabs>
          <w:tab w:val="left" w:pos="0"/>
        </w:tabs>
        <w:spacing w:before="120"/>
        <w:jc w:val="both"/>
        <w:rPr>
          <w:b/>
          <w:sz w:val="24"/>
        </w:rPr>
      </w:pPr>
      <w:r w:rsidRPr="00095FDB">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F32B51" w:rsidRPr="00095FDB" w:rsidRDefault="00F32B51" w:rsidP="00095FDB">
      <w:pPr>
        <w:tabs>
          <w:tab w:val="right" w:pos="4253"/>
        </w:tabs>
        <w:spacing w:after="120" w:line="288" w:lineRule="auto"/>
        <w:ind w:left="851"/>
        <w:jc w:val="both"/>
        <w:rPr>
          <w:sz w:val="24"/>
          <w:szCs w:val="24"/>
        </w:rPr>
      </w:pPr>
    </w:p>
    <w:p w:rsidR="00AE2642" w:rsidRDefault="00F866AD" w:rsidP="00BD13D6">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Pr="00095FDB"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lastRenderedPageBreak/>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095FDB"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455900" w:rsidRPr="00E929A1"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E929A1" w:rsidRPr="00095FDB" w:rsidRDefault="00E929A1" w:rsidP="00E929A1">
      <w:pPr>
        <w:tabs>
          <w:tab w:val="left" w:pos="0"/>
        </w:tabs>
        <w:spacing w:before="120"/>
        <w:ind w:left="851"/>
        <w:jc w:val="both"/>
        <w:rPr>
          <w:b/>
          <w:sz w:val="24"/>
        </w:rPr>
      </w:pPr>
    </w:p>
    <w:p w:rsidR="00BD13D6" w:rsidRPr="00BD13D6" w:rsidRDefault="00BD13D6" w:rsidP="00BD13D6"/>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2354D1" w:rsidRDefault="002354D1" w:rsidP="002354D1"/>
    <w:p w:rsidR="00AE2642" w:rsidRPr="0028112E" w:rsidRDefault="00AE2642" w:rsidP="00BD13D6">
      <w:pPr>
        <w:numPr>
          <w:ilvl w:val="0"/>
          <w:numId w:val="6"/>
        </w:numPr>
        <w:spacing w:beforeLines="20" w:before="48"/>
        <w:jc w:val="both"/>
        <w:rPr>
          <w:sz w:val="24"/>
        </w:rPr>
      </w:pPr>
      <w:r w:rsidRPr="00095FDB">
        <w:rPr>
          <w:sz w:val="24"/>
        </w:rPr>
        <w:t xml:space="preserve">Záruční doba na provedené dílo </w:t>
      </w:r>
      <w:r w:rsidRPr="0028112E">
        <w:rPr>
          <w:sz w:val="24"/>
        </w:rPr>
        <w:t xml:space="preserve">je </w:t>
      </w:r>
      <w:r w:rsidR="00EB528D">
        <w:rPr>
          <w:sz w:val="24"/>
        </w:rPr>
        <w:t>60</w:t>
      </w:r>
      <w:r w:rsidR="00D02105" w:rsidRPr="0028112E">
        <w:rPr>
          <w:sz w:val="24"/>
        </w:rPr>
        <w:t xml:space="preserve"> </w:t>
      </w:r>
      <w:r w:rsidR="00783D5E" w:rsidRPr="0028112E">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A90520"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A90520" w:rsidRPr="00ED1D7F" w:rsidRDefault="00A90520" w:rsidP="00A90520">
      <w:pPr>
        <w:spacing w:before="120"/>
        <w:ind w:left="851"/>
        <w:jc w:val="both"/>
        <w:rPr>
          <w:b/>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lastRenderedPageBreak/>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e-tržišti Tendermarket (případně na webových stránkách objednatele).</w:t>
      </w:r>
    </w:p>
    <w:p w:rsidR="001A6F2A" w:rsidRPr="00E34799" w:rsidRDefault="00371726" w:rsidP="00C56950">
      <w:pPr>
        <w:numPr>
          <w:ilvl w:val="0"/>
          <w:numId w:val="17"/>
        </w:numPr>
        <w:autoSpaceDE w:val="0"/>
        <w:autoSpaceDN w:val="0"/>
        <w:adjustRightInd w:val="0"/>
        <w:spacing w:after="120"/>
        <w:rPr>
          <w:sz w:val="24"/>
          <w:szCs w:val="24"/>
        </w:rPr>
      </w:pPr>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zhotovitelem třetí osobě ve výši minimálně </w:t>
      </w:r>
      <w:r w:rsidR="000E20F6" w:rsidRPr="0028112E">
        <w:rPr>
          <w:bCs/>
          <w:sz w:val="24"/>
          <w:szCs w:val="24"/>
        </w:rPr>
        <w:t>1</w:t>
      </w:r>
      <w:r w:rsidRPr="0028112E">
        <w:rPr>
          <w:bCs/>
          <w:sz w:val="24"/>
          <w:szCs w:val="24"/>
        </w:rPr>
        <w:t> 000 000,- Kč</w:t>
      </w:r>
      <w:r w:rsidRPr="00E34799">
        <w:rPr>
          <w:bCs/>
          <w:sz w:val="24"/>
          <w:szCs w:val="24"/>
        </w:rPr>
        <w:t>. Tato smlouva bude platná po celou dobu realizace předmětu díla.</w:t>
      </w:r>
    </w:p>
    <w:p w:rsidR="00703EE5" w:rsidRPr="00EE5368" w:rsidRDefault="00703EE5" w:rsidP="001A6F2A">
      <w:pPr>
        <w:autoSpaceDE w:val="0"/>
        <w:autoSpaceDN w:val="0"/>
        <w:adjustRightInd w:val="0"/>
        <w:rPr>
          <w:sz w:val="24"/>
          <w:szCs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Default="00F634A8" w:rsidP="00F634A8">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BD13D6" w:rsidRPr="00095FDB" w:rsidRDefault="00BD13D6" w:rsidP="00F634A8">
      <w:pPr>
        <w:shd w:val="clear" w:color="00FFFF" w:fill="auto"/>
        <w:ind w:left="720" w:hanging="720"/>
        <w:jc w:val="both"/>
        <w:rPr>
          <w:sz w:val="24"/>
        </w:rPr>
      </w:pPr>
    </w:p>
    <w:p w:rsidR="00197CB7" w:rsidRPr="00095FDB" w:rsidRDefault="00197CB7" w:rsidP="007D4A64">
      <w:pPr>
        <w:shd w:val="clear" w:color="00FFFF" w:fill="auto"/>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C85501" w:rsidRDefault="00E61848" w:rsidP="007D4A64">
      <w:pPr>
        <w:numPr>
          <w:ilvl w:val="0"/>
          <w:numId w:val="8"/>
        </w:numPr>
        <w:tabs>
          <w:tab w:val="right" w:pos="9071"/>
        </w:tabs>
        <w:spacing w:after="120"/>
        <w:jc w:val="both"/>
        <w:rPr>
          <w:sz w:val="24"/>
        </w:rPr>
      </w:pPr>
      <w:r>
        <w:rPr>
          <w:sz w:val="24"/>
        </w:rPr>
        <w:t>Při neplnění podmínek smlouvy nebo</w:t>
      </w:r>
      <w:r w:rsidR="00C85501" w:rsidRPr="00095FDB">
        <w:rPr>
          <w:sz w:val="24"/>
        </w:rPr>
        <w:t xml:space="preserve"> porušování zákonných povinností</w:t>
      </w:r>
      <w:r w:rsidR="00524874" w:rsidRPr="00095FDB">
        <w:rPr>
          <w:sz w:val="24"/>
        </w:rPr>
        <w:t xml:space="preserve"> (</w:t>
      </w:r>
      <w:r w:rsidR="00C85501" w:rsidRPr="00095FDB">
        <w:rPr>
          <w:sz w:val="24"/>
        </w:rPr>
        <w:t>při zpoždění větším než 10</w:t>
      </w:r>
      <w:r w:rsidR="00524874" w:rsidRPr="00095FDB">
        <w:rPr>
          <w:sz w:val="24"/>
        </w:rPr>
        <w:t xml:space="preserve"> kalendářních</w:t>
      </w:r>
      <w:r w:rsidR="00C85501" w:rsidRPr="00095FDB">
        <w:rPr>
          <w:sz w:val="24"/>
        </w:rPr>
        <w:t xml:space="preserve"> dnů</w:t>
      </w:r>
      <w:r w:rsidR="00524874" w:rsidRPr="00095FDB">
        <w:rPr>
          <w:sz w:val="24"/>
        </w:rPr>
        <w:t>)</w:t>
      </w:r>
      <w:r w:rsidR="00C85501" w:rsidRPr="00095FDB">
        <w:rPr>
          <w:sz w:val="24"/>
        </w:rPr>
        <w:t xml:space="preserve">, má právo objednatel na smluvní pokutu ve výši </w:t>
      </w:r>
      <w:r w:rsidR="001A6F2A">
        <w:rPr>
          <w:sz w:val="24"/>
        </w:rPr>
        <w:t>0,05</w:t>
      </w:r>
      <w:r w:rsidR="006375DA">
        <w:rPr>
          <w:sz w:val="24"/>
        </w:rPr>
        <w:t xml:space="preserve"> % z celkové smluvní ceny díla</w:t>
      </w:r>
      <w:r w:rsidR="00C85501"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prostředí se řídí dle sazebníku pokut (příloha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226B4C" w:rsidRPr="00E34799"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84259A" w:rsidRDefault="0084259A" w:rsidP="00EA3BE5">
      <w:pPr>
        <w:tabs>
          <w:tab w:val="right" w:pos="9071"/>
        </w:tabs>
        <w:spacing w:after="120"/>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lastRenderedPageBreak/>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E34799">
      <w:pPr>
        <w:spacing w:beforeLines="20" w:before="48"/>
        <w:jc w:val="both"/>
        <w:rPr>
          <w:sz w:val="24"/>
        </w:rPr>
      </w:pPr>
    </w:p>
    <w:p w:rsidR="00E929A1" w:rsidRPr="00095FDB" w:rsidRDefault="00E929A1" w:rsidP="00E34799">
      <w:pPr>
        <w:spacing w:beforeLines="20" w:before="48"/>
        <w:jc w:val="both"/>
        <w:rPr>
          <w:sz w:val="24"/>
        </w:rPr>
      </w:pPr>
    </w:p>
    <w:p w:rsidR="00AE2642" w:rsidRDefault="00F866AD" w:rsidP="00781AC5">
      <w:pPr>
        <w:pStyle w:val="Nadpis6"/>
        <w:keepNext w:val="0"/>
        <w:spacing w:beforeLines="20" w:before="48"/>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F32B51" w:rsidRPr="00F32B51" w:rsidRDefault="00F32B51" w:rsidP="00781AC5"/>
    <w:p w:rsidR="00806F68" w:rsidRPr="00095FDB" w:rsidRDefault="00806F68" w:rsidP="00781AC5">
      <w:pPr>
        <w:numPr>
          <w:ilvl w:val="0"/>
          <w:numId w:val="10"/>
        </w:numPr>
        <w:tabs>
          <w:tab w:val="left" w:pos="0"/>
          <w:tab w:val="right" w:pos="4253"/>
        </w:tabs>
        <w:spacing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2E7612" w:rsidRPr="00474E5C" w:rsidRDefault="002E7612" w:rsidP="002E7612">
      <w:pPr>
        <w:numPr>
          <w:ilvl w:val="0"/>
          <w:numId w:val="10"/>
        </w:numPr>
        <w:shd w:val="clear" w:color="00FFFF" w:fill="auto"/>
        <w:spacing w:after="120"/>
        <w:jc w:val="both"/>
        <w:rPr>
          <w:sz w:val="24"/>
          <w:szCs w:val="24"/>
        </w:rPr>
      </w:pPr>
      <w:r w:rsidRPr="00474E5C">
        <w:rPr>
          <w:sz w:val="24"/>
          <w:szCs w:val="24"/>
        </w:rPr>
        <w:t>Smlouva nabývá platnosti dnem podpisu oběma smluvními stranami a účinnosti d</w:t>
      </w:r>
      <w:r w:rsidR="00565FAB">
        <w:rPr>
          <w:sz w:val="24"/>
          <w:szCs w:val="24"/>
        </w:rPr>
        <w:t>nem uveřejnění v registru smluv</w:t>
      </w:r>
      <w:bookmarkStart w:id="0" w:name="_GoBack"/>
      <w:bookmarkEnd w:id="0"/>
      <w:r w:rsidRPr="00474E5C">
        <w:rPr>
          <w:sz w:val="24"/>
          <w:szCs w:val="24"/>
        </w:rPr>
        <w:t>. Zhotovitel bere na vědomí, že uveřejnění v tomto registru zajistí objednatel</w:t>
      </w:r>
      <w:r>
        <w:rPr>
          <w:sz w:val="24"/>
          <w:szCs w:val="24"/>
        </w:rPr>
        <w:t>.</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703EE5" w:rsidRDefault="00B46B1D" w:rsidP="004B5948">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5D1CD8" w:rsidRDefault="005D1CD8" w:rsidP="002354D1">
      <w:pPr>
        <w:rPr>
          <w:b/>
          <w:sz w:val="24"/>
          <w:szCs w:val="24"/>
          <w:u w:val="single"/>
        </w:rPr>
      </w:pPr>
    </w:p>
    <w:p w:rsidR="002354D1" w:rsidRPr="002354D1" w:rsidRDefault="002354D1" w:rsidP="00BE67B6">
      <w:pPr>
        <w:rPr>
          <w:b/>
          <w:sz w:val="24"/>
          <w:szCs w:val="24"/>
          <w:u w:val="single"/>
        </w:rPr>
      </w:pPr>
      <w:r w:rsidRPr="002354D1">
        <w:rPr>
          <w:b/>
          <w:sz w:val="24"/>
          <w:szCs w:val="24"/>
          <w:u w:val="single"/>
        </w:rPr>
        <w:t>Přílohy</w:t>
      </w:r>
    </w:p>
    <w:p w:rsidR="004B15D8" w:rsidRDefault="004B15D8" w:rsidP="00BE67B6">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4B15D8" w:rsidRDefault="004B15D8" w:rsidP="00BE67B6">
      <w:pPr>
        <w:pStyle w:val="Zkladntext3"/>
        <w:ind w:left="284" w:hanging="284"/>
        <w:jc w:val="both"/>
        <w:rPr>
          <w:szCs w:val="24"/>
        </w:rPr>
      </w:pPr>
      <w:r>
        <w:rPr>
          <w:szCs w:val="24"/>
        </w:rPr>
        <w:t>Přílo</w:t>
      </w:r>
      <w:r w:rsidR="000C1543">
        <w:rPr>
          <w:szCs w:val="24"/>
        </w:rPr>
        <w:t>ha</w:t>
      </w:r>
      <w:r>
        <w:rPr>
          <w:szCs w:val="24"/>
        </w:rPr>
        <w:t xml:space="preserve"> č. 2: </w:t>
      </w:r>
      <w:r>
        <w:rPr>
          <w:szCs w:val="24"/>
        </w:rPr>
        <w:tab/>
      </w:r>
      <w:r w:rsidR="00BE67B6">
        <w:rPr>
          <w:szCs w:val="24"/>
        </w:rPr>
        <w:t>Soupis stavebních prací a dodávek</w:t>
      </w:r>
      <w:r>
        <w:rPr>
          <w:szCs w:val="24"/>
        </w:rPr>
        <w:t xml:space="preserve"> (</w:t>
      </w:r>
      <w:r w:rsidR="00BE67B6">
        <w:rPr>
          <w:szCs w:val="24"/>
        </w:rPr>
        <w:t>1</w:t>
      </w:r>
      <w:r w:rsidR="006348F8">
        <w:rPr>
          <w:szCs w:val="24"/>
        </w:rPr>
        <w:t xml:space="preserve"> </w:t>
      </w:r>
      <w:r>
        <w:rPr>
          <w:szCs w:val="24"/>
        </w:rPr>
        <w:t>list)</w:t>
      </w:r>
    </w:p>
    <w:p w:rsidR="007B268E" w:rsidRDefault="007B268E" w:rsidP="00EA3BE5">
      <w:pPr>
        <w:rPr>
          <w:sz w:val="24"/>
          <w:szCs w:val="24"/>
        </w:rPr>
      </w:pPr>
    </w:p>
    <w:p w:rsidR="00AE2642" w:rsidRPr="00095FDB" w:rsidRDefault="00F32B51" w:rsidP="00BD13D6">
      <w:pPr>
        <w:tabs>
          <w:tab w:val="left" w:pos="5250"/>
        </w:tabs>
        <w:spacing w:beforeLines="20" w:before="48"/>
        <w:rPr>
          <w:sz w:val="24"/>
        </w:rPr>
      </w:pPr>
      <w:r>
        <w:rPr>
          <w:sz w:val="24"/>
        </w:rPr>
        <w:t xml:space="preserve">V </w:t>
      </w:r>
      <w:r w:rsidR="00AE2642" w:rsidRPr="00095FDB">
        <w:rPr>
          <w:sz w:val="24"/>
        </w:rPr>
        <w:t>Praze dne:</w:t>
      </w:r>
      <w:r w:rsidR="0012112F" w:rsidRPr="00095FDB">
        <w:rPr>
          <w:sz w:val="24"/>
        </w:rPr>
        <w:t xml:space="preserve"> </w:t>
      </w:r>
      <w:r w:rsidR="00AE2642"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B82F02">
        <w:rPr>
          <w:sz w:val="24"/>
        </w:rPr>
        <w:t>Praze</w:t>
      </w:r>
      <w:r w:rsidR="002B5D75">
        <w:rPr>
          <w:sz w:val="24"/>
        </w:rPr>
        <w:t xml:space="preserve"> </w:t>
      </w:r>
      <w:r w:rsidR="00783D5E">
        <w:rPr>
          <w:sz w:val="24"/>
        </w:rPr>
        <w:t>d</w:t>
      </w:r>
      <w:r w:rsidR="006A2A29" w:rsidRPr="00095FDB">
        <w:rPr>
          <w:sz w:val="24"/>
        </w:rPr>
        <w:t>ne</w:t>
      </w:r>
      <w:r w:rsidR="00AE2642" w:rsidRPr="00095FDB">
        <w:rPr>
          <w:sz w:val="24"/>
        </w:rPr>
        <w:t>:</w:t>
      </w:r>
      <w:r w:rsidR="0012112F" w:rsidRPr="00095FDB">
        <w:rPr>
          <w:sz w:val="24"/>
        </w:rPr>
        <w:t xml:space="preserve">    </w:t>
      </w:r>
      <w:r w:rsidR="00636C4C" w:rsidRPr="00095FDB">
        <w:rPr>
          <w:sz w:val="24"/>
        </w:rPr>
        <w:t xml:space="preserve"> </w:t>
      </w:r>
    </w:p>
    <w:p w:rsidR="007B268E" w:rsidRDefault="007B268E" w:rsidP="00BD13D6">
      <w:pPr>
        <w:spacing w:beforeLines="20" w:before="48"/>
        <w:rPr>
          <w:sz w:val="24"/>
        </w:rPr>
      </w:pPr>
    </w:p>
    <w:p w:rsidR="002354D1" w:rsidRDefault="002354D1" w:rsidP="00BD13D6">
      <w:pPr>
        <w:spacing w:beforeLines="20" w:before="48"/>
        <w:rPr>
          <w:sz w:val="24"/>
        </w:rPr>
      </w:pPr>
    </w:p>
    <w:p w:rsidR="00F95D12" w:rsidRPr="00095FDB" w:rsidRDefault="00F95D12" w:rsidP="00BD13D6">
      <w:pPr>
        <w:spacing w:beforeLines="20" w:before="48"/>
        <w:rPr>
          <w:sz w:val="24"/>
        </w:rPr>
      </w:pPr>
    </w:p>
    <w:p w:rsidR="001A5AF0" w:rsidRDefault="001A5AF0" w:rsidP="00BD13D6">
      <w:pPr>
        <w:spacing w:beforeLines="20" w:before="48"/>
        <w:rPr>
          <w:sz w:val="24"/>
        </w:rPr>
      </w:pPr>
    </w:p>
    <w:p w:rsidR="001018CF" w:rsidRPr="00095FDB" w:rsidRDefault="001018CF"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AE2642" w:rsidRPr="00095FDB">
        <w:rPr>
          <w:sz w:val="24"/>
        </w:rPr>
        <w:t>............................................................</w:t>
      </w:r>
      <w:r w:rsidR="00226B4C">
        <w:rPr>
          <w:sz w:val="24"/>
        </w:rPr>
        <w:t>............</w:t>
      </w:r>
    </w:p>
    <w:p w:rsidR="00226B4C" w:rsidRDefault="00226B4C" w:rsidP="00226B4C">
      <w:pPr>
        <w:pStyle w:val="Odstavecseseznamem"/>
        <w:tabs>
          <w:tab w:val="center" w:pos="1843"/>
          <w:tab w:val="center" w:pos="6804"/>
        </w:tabs>
        <w:spacing w:after="0" w:line="240" w:lineRule="auto"/>
        <w:ind w:left="-567"/>
        <w:rPr>
          <w:rFonts w:ascii="Times New Roman" w:hAnsi="Times New Roman"/>
          <w:sz w:val="24"/>
        </w:rPr>
      </w:pPr>
      <w:proofErr w:type="gramStart"/>
      <w:r>
        <w:rPr>
          <w:rFonts w:ascii="Times New Roman" w:hAnsi="Times New Roman"/>
          <w:sz w:val="24"/>
        </w:rPr>
        <w:t>ARMÁDNÍ  SERVISNÍ</w:t>
      </w:r>
      <w:proofErr w:type="gramEnd"/>
      <w:r>
        <w:rPr>
          <w:rFonts w:ascii="Times New Roman" w:hAnsi="Times New Roman"/>
          <w:sz w:val="24"/>
        </w:rPr>
        <w:t>, příspěvková organizace</w:t>
      </w:r>
      <w:r w:rsidR="00654A49" w:rsidRPr="00B82F02">
        <w:rPr>
          <w:rFonts w:ascii="Times New Roman" w:hAnsi="Times New Roman"/>
          <w:sz w:val="24"/>
        </w:rPr>
        <w:t xml:space="preserve">      </w:t>
      </w:r>
      <w:r w:rsidR="00B82F02">
        <w:rPr>
          <w:rFonts w:ascii="Times New Roman" w:hAnsi="Times New Roman"/>
          <w:sz w:val="24"/>
        </w:rPr>
        <w:t xml:space="preserve">                            </w:t>
      </w:r>
      <w:r w:rsidR="00B82F02" w:rsidRPr="00B82F02">
        <w:rPr>
          <w:rFonts w:ascii="Times New Roman" w:hAnsi="Times New Roman"/>
          <w:sz w:val="24"/>
        </w:rPr>
        <w:t>MOZIS s. r. o.</w:t>
      </w:r>
    </w:p>
    <w:p w:rsidR="00226B4C" w:rsidRDefault="00226B4C" w:rsidP="00E929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Ing. Martin Lehký</w:t>
      </w:r>
      <w:r w:rsidR="00B82F02">
        <w:rPr>
          <w:rFonts w:ascii="Times New Roman" w:hAnsi="Times New Roman"/>
          <w:sz w:val="24"/>
        </w:rPr>
        <w:t xml:space="preserve">   </w:t>
      </w:r>
      <w:r w:rsidR="00B82F02">
        <w:rPr>
          <w:rFonts w:ascii="Times New Roman" w:hAnsi="Times New Roman"/>
          <w:sz w:val="24"/>
        </w:rPr>
        <w:tab/>
        <w:t xml:space="preserve">       Pavlína Trčková</w:t>
      </w:r>
    </w:p>
    <w:p w:rsidR="00E929A1" w:rsidRDefault="00226B4C" w:rsidP="00F32B51">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ředitel</w:t>
      </w:r>
      <w:r w:rsidR="00654A49">
        <w:rPr>
          <w:rFonts w:ascii="Times New Roman" w:hAnsi="Times New Roman"/>
          <w:sz w:val="24"/>
        </w:rPr>
        <w:t xml:space="preserve">                                                                      </w:t>
      </w:r>
      <w:r w:rsidR="00E929A1">
        <w:rPr>
          <w:rFonts w:ascii="Times New Roman" w:hAnsi="Times New Roman"/>
          <w:sz w:val="24"/>
        </w:rPr>
        <w:t xml:space="preserve"> </w:t>
      </w:r>
      <w:r w:rsidR="00B82F02">
        <w:rPr>
          <w:rFonts w:ascii="Times New Roman" w:hAnsi="Times New Roman"/>
          <w:sz w:val="24"/>
        </w:rPr>
        <w:t xml:space="preserve">  jednatelka</w:t>
      </w:r>
      <w:proofErr w:type="gramEnd"/>
      <w:r w:rsidR="002B5D75">
        <w:rPr>
          <w:rFonts w:ascii="Times New Roman" w:hAnsi="Times New Roman"/>
          <w:sz w:val="24"/>
        </w:rPr>
        <w:t xml:space="preserve"> </w:t>
      </w:r>
      <w:r w:rsidR="002B5D75" w:rsidRPr="002B5D75">
        <w:rPr>
          <w:rFonts w:ascii="Times New Roman" w:hAnsi="Times New Roman"/>
          <w:sz w:val="24"/>
          <w:shd w:val="clear" w:color="auto" w:fill="FFFF00"/>
        </w:rPr>
        <w:t xml:space="preserve">         </w:t>
      </w:r>
      <w:r w:rsidR="002B5D75">
        <w:rPr>
          <w:rFonts w:ascii="Times New Roman" w:hAnsi="Times New Roman"/>
          <w:sz w:val="24"/>
        </w:rPr>
        <w:t xml:space="preserve"> </w:t>
      </w:r>
    </w:p>
    <w:p w:rsidR="002E7612" w:rsidRPr="00F32B51" w:rsidRDefault="002E7612" w:rsidP="00F32B51">
      <w:pPr>
        <w:pStyle w:val="Odstavecseseznamem"/>
        <w:tabs>
          <w:tab w:val="center" w:pos="1843"/>
          <w:tab w:val="center" w:pos="7230"/>
        </w:tabs>
        <w:spacing w:after="0" w:line="240" w:lineRule="auto"/>
        <w:ind w:left="0"/>
        <w:rPr>
          <w:rFonts w:ascii="Times New Roman" w:hAnsi="Times New Roman"/>
          <w:sz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lastRenderedPageBreak/>
        <w:t>Příloha č. 1</w:t>
      </w:r>
    </w:p>
    <w:p w:rsidR="00DE2030" w:rsidRPr="00595E50" w:rsidRDefault="00DE2030" w:rsidP="00DE203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938"/>
        <w:gridCol w:w="2838"/>
        <w:gridCol w:w="1285"/>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DE2030" w:rsidRDefault="00DE2030" w:rsidP="00DE2030">
      <w:pPr>
        <w:jc w:val="both"/>
        <w:rPr>
          <w:b/>
          <w:sz w:val="24"/>
          <w:szCs w:val="24"/>
        </w:rPr>
      </w:pPr>
    </w:p>
    <w:p w:rsidR="00DE2030" w:rsidRDefault="00DE2030"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9C203A" w:rsidRDefault="009C203A" w:rsidP="00595E50">
      <w:pPr>
        <w:autoSpaceDE w:val="0"/>
        <w:autoSpaceDN w:val="0"/>
        <w:adjustRightInd w:val="0"/>
        <w:rPr>
          <w:bCs/>
          <w:sz w:val="24"/>
        </w:rPr>
        <w:sectPr w:rsidR="009C203A"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pPr>
    </w:p>
    <w:p w:rsidR="00C04861" w:rsidRDefault="00C04861" w:rsidP="00595E50">
      <w:pPr>
        <w:autoSpaceDE w:val="0"/>
        <w:autoSpaceDN w:val="0"/>
        <w:adjustRightInd w:val="0"/>
        <w:rPr>
          <w:bCs/>
          <w:sz w:val="24"/>
        </w:rPr>
      </w:pPr>
    </w:p>
    <w:p w:rsidR="00C04861" w:rsidRDefault="00C04861" w:rsidP="00595E50">
      <w:pPr>
        <w:autoSpaceDE w:val="0"/>
        <w:autoSpaceDN w:val="0"/>
        <w:adjustRightInd w:val="0"/>
        <w:rPr>
          <w:bCs/>
          <w:sz w:val="24"/>
        </w:rPr>
      </w:pPr>
      <w:r>
        <w:rPr>
          <w:bCs/>
          <w:sz w:val="24"/>
        </w:rPr>
        <w:t>Příloha č. 2</w:t>
      </w:r>
    </w:p>
    <w:tbl>
      <w:tblPr>
        <w:tblW w:w="14288" w:type="dxa"/>
        <w:tblInd w:w="-284" w:type="dxa"/>
        <w:tblCellMar>
          <w:left w:w="70" w:type="dxa"/>
          <w:right w:w="70" w:type="dxa"/>
        </w:tblCellMar>
        <w:tblLook w:val="04A0" w:firstRow="1" w:lastRow="0" w:firstColumn="1" w:lastColumn="0" w:noHBand="0" w:noVBand="1"/>
      </w:tblPr>
      <w:tblGrid>
        <w:gridCol w:w="482"/>
        <w:gridCol w:w="9123"/>
        <w:gridCol w:w="707"/>
        <w:gridCol w:w="1008"/>
        <w:gridCol w:w="518"/>
        <w:gridCol w:w="160"/>
        <w:gridCol w:w="737"/>
        <w:gridCol w:w="1553"/>
      </w:tblGrid>
      <w:tr w:rsidR="00635D3F" w:rsidRPr="00635D3F" w:rsidTr="00FE7E8C">
        <w:trPr>
          <w:trHeight w:val="655"/>
        </w:trPr>
        <w:tc>
          <w:tcPr>
            <w:tcW w:w="14288" w:type="dxa"/>
            <w:gridSpan w:val="8"/>
            <w:tcBorders>
              <w:top w:val="nil"/>
              <w:left w:val="nil"/>
              <w:bottom w:val="nil"/>
              <w:right w:val="nil"/>
            </w:tcBorders>
            <w:shd w:val="clear" w:color="auto" w:fill="auto"/>
            <w:vAlign w:val="bottom"/>
            <w:hideMark/>
          </w:tcPr>
          <w:p w:rsidR="00635D3F" w:rsidRPr="00635D3F" w:rsidRDefault="00635D3F" w:rsidP="00635D3F">
            <w:pPr>
              <w:jc w:val="center"/>
              <w:rPr>
                <w:rFonts w:ascii="Calibri" w:hAnsi="Calibri"/>
                <w:b/>
                <w:bCs/>
                <w:color w:val="000000"/>
                <w:sz w:val="28"/>
                <w:szCs w:val="28"/>
              </w:rPr>
            </w:pPr>
            <w:r w:rsidRPr="00635D3F">
              <w:rPr>
                <w:rFonts w:ascii="Calibri" w:hAnsi="Calibri"/>
                <w:b/>
                <w:bCs/>
                <w:color w:val="000000"/>
                <w:sz w:val="28"/>
                <w:szCs w:val="28"/>
              </w:rPr>
              <w:t>Soupis stavebních prací a dodávek</w:t>
            </w:r>
          </w:p>
        </w:tc>
      </w:tr>
      <w:tr w:rsidR="00635D3F" w:rsidRPr="00635D3F" w:rsidTr="00FE7E8C">
        <w:trPr>
          <w:trHeight w:val="343"/>
        </w:trPr>
        <w:tc>
          <w:tcPr>
            <w:tcW w:w="14288" w:type="dxa"/>
            <w:gridSpan w:val="8"/>
            <w:tcBorders>
              <w:top w:val="nil"/>
              <w:left w:val="nil"/>
              <w:bottom w:val="nil"/>
              <w:right w:val="nil"/>
            </w:tcBorders>
            <w:shd w:val="clear" w:color="auto" w:fill="auto"/>
            <w:noWrap/>
            <w:vAlign w:val="bottom"/>
            <w:hideMark/>
          </w:tcPr>
          <w:p w:rsidR="00635D3F" w:rsidRPr="00635D3F" w:rsidRDefault="00635D3F" w:rsidP="00635D3F">
            <w:pPr>
              <w:jc w:val="center"/>
              <w:rPr>
                <w:b/>
                <w:bCs/>
                <w:i/>
                <w:iCs/>
                <w:color w:val="000000"/>
                <w:sz w:val="24"/>
                <w:szCs w:val="24"/>
              </w:rPr>
            </w:pPr>
            <w:r w:rsidRPr="00635D3F">
              <w:rPr>
                <w:b/>
                <w:bCs/>
                <w:i/>
                <w:iCs/>
                <w:color w:val="000000"/>
                <w:sz w:val="24"/>
                <w:szCs w:val="24"/>
              </w:rPr>
              <w:t>Výměna sprchových koutů a dlažby v koupelnách a WC místností ve VUZ Čáslav, Filipovská 1438</w:t>
            </w:r>
          </w:p>
        </w:tc>
      </w:tr>
      <w:tr w:rsidR="00635D3F" w:rsidRPr="00635D3F" w:rsidTr="00FE7E8C">
        <w:trPr>
          <w:trHeight w:val="312"/>
        </w:trPr>
        <w:tc>
          <w:tcPr>
            <w:tcW w:w="481" w:type="dxa"/>
            <w:tcBorders>
              <w:top w:val="nil"/>
              <w:left w:val="nil"/>
              <w:bottom w:val="nil"/>
              <w:right w:val="nil"/>
            </w:tcBorders>
            <w:shd w:val="clear" w:color="auto" w:fill="auto"/>
            <w:noWrap/>
            <w:vAlign w:val="bottom"/>
            <w:hideMark/>
          </w:tcPr>
          <w:p w:rsidR="00635D3F" w:rsidRPr="00635D3F" w:rsidRDefault="00635D3F" w:rsidP="00635D3F">
            <w:pPr>
              <w:jc w:val="center"/>
              <w:rPr>
                <w:b/>
                <w:bCs/>
                <w:i/>
                <w:iCs/>
                <w:color w:val="000000"/>
                <w:sz w:val="24"/>
                <w:szCs w:val="24"/>
              </w:rPr>
            </w:pPr>
          </w:p>
        </w:tc>
        <w:tc>
          <w:tcPr>
            <w:tcW w:w="9126" w:type="dxa"/>
            <w:tcBorders>
              <w:top w:val="nil"/>
              <w:left w:val="nil"/>
              <w:bottom w:val="nil"/>
              <w:right w:val="nil"/>
            </w:tcBorders>
            <w:shd w:val="clear" w:color="auto" w:fill="auto"/>
            <w:noWrap/>
            <w:vAlign w:val="bottom"/>
            <w:hideMark/>
          </w:tcPr>
          <w:p w:rsidR="00635D3F" w:rsidRPr="00635D3F" w:rsidRDefault="00635D3F" w:rsidP="00635D3F"/>
        </w:tc>
        <w:tc>
          <w:tcPr>
            <w:tcW w:w="2230" w:type="dxa"/>
            <w:gridSpan w:val="3"/>
            <w:tcBorders>
              <w:top w:val="nil"/>
              <w:left w:val="nil"/>
              <w:bottom w:val="nil"/>
              <w:right w:val="nil"/>
            </w:tcBorders>
            <w:shd w:val="clear" w:color="auto" w:fill="auto"/>
            <w:noWrap/>
            <w:vAlign w:val="bottom"/>
            <w:hideMark/>
          </w:tcPr>
          <w:p w:rsidR="00635D3F" w:rsidRPr="00635D3F" w:rsidRDefault="00635D3F" w:rsidP="00635D3F"/>
        </w:tc>
        <w:tc>
          <w:tcPr>
            <w:tcW w:w="160" w:type="dxa"/>
            <w:tcBorders>
              <w:top w:val="nil"/>
              <w:left w:val="nil"/>
              <w:bottom w:val="nil"/>
              <w:right w:val="nil"/>
            </w:tcBorders>
            <w:shd w:val="clear" w:color="auto" w:fill="auto"/>
            <w:noWrap/>
            <w:vAlign w:val="bottom"/>
            <w:hideMark/>
          </w:tcPr>
          <w:p w:rsidR="00635D3F" w:rsidRPr="00635D3F" w:rsidRDefault="00635D3F" w:rsidP="00635D3F">
            <w:pPr>
              <w:jc w:val="right"/>
            </w:pPr>
          </w:p>
        </w:tc>
        <w:tc>
          <w:tcPr>
            <w:tcW w:w="737" w:type="dxa"/>
            <w:tcBorders>
              <w:top w:val="nil"/>
              <w:left w:val="nil"/>
              <w:bottom w:val="nil"/>
              <w:right w:val="nil"/>
            </w:tcBorders>
            <w:shd w:val="clear" w:color="auto" w:fill="auto"/>
            <w:noWrap/>
            <w:vAlign w:val="bottom"/>
            <w:hideMark/>
          </w:tcPr>
          <w:p w:rsidR="00635D3F" w:rsidRPr="00635D3F" w:rsidRDefault="00635D3F" w:rsidP="00635D3F">
            <w:pPr>
              <w:jc w:val="right"/>
            </w:pPr>
          </w:p>
        </w:tc>
        <w:tc>
          <w:tcPr>
            <w:tcW w:w="1554" w:type="dxa"/>
            <w:tcBorders>
              <w:top w:val="nil"/>
              <w:left w:val="nil"/>
              <w:bottom w:val="nil"/>
              <w:right w:val="nil"/>
            </w:tcBorders>
            <w:shd w:val="clear" w:color="auto" w:fill="auto"/>
            <w:noWrap/>
            <w:vAlign w:val="bottom"/>
            <w:hideMark/>
          </w:tcPr>
          <w:p w:rsidR="00635D3F" w:rsidRPr="00635D3F" w:rsidRDefault="00635D3F" w:rsidP="00635D3F"/>
        </w:tc>
      </w:tr>
      <w:tr w:rsidR="00635D3F" w:rsidRPr="00635D3F" w:rsidTr="00FE7E8C">
        <w:trPr>
          <w:trHeight w:val="624"/>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b/>
                <w:bCs/>
                <w:color w:val="000000"/>
                <w:sz w:val="22"/>
                <w:szCs w:val="22"/>
              </w:rPr>
            </w:pPr>
            <w:proofErr w:type="spellStart"/>
            <w:proofErr w:type="gramStart"/>
            <w:r w:rsidRPr="00635D3F">
              <w:rPr>
                <w:b/>
                <w:bCs/>
                <w:color w:val="000000"/>
                <w:sz w:val="22"/>
                <w:szCs w:val="22"/>
              </w:rPr>
              <w:t>P.č</w:t>
            </w:r>
            <w:proofErr w:type="spellEnd"/>
            <w:r w:rsidRPr="00635D3F">
              <w:rPr>
                <w:b/>
                <w:bCs/>
                <w:color w:val="000000"/>
                <w:sz w:val="22"/>
                <w:szCs w:val="22"/>
              </w:rPr>
              <w:t>.</w:t>
            </w:r>
            <w:proofErr w:type="gramEnd"/>
          </w:p>
        </w:tc>
        <w:tc>
          <w:tcPr>
            <w:tcW w:w="9126" w:type="dxa"/>
            <w:tcBorders>
              <w:top w:val="single" w:sz="4" w:space="0" w:color="auto"/>
              <w:left w:val="nil"/>
              <w:bottom w:val="single" w:sz="4" w:space="0" w:color="auto"/>
              <w:right w:val="single" w:sz="4" w:space="0" w:color="auto"/>
            </w:tcBorders>
            <w:shd w:val="clear" w:color="auto" w:fill="auto"/>
            <w:noWrap/>
            <w:vAlign w:val="center"/>
            <w:hideMark/>
          </w:tcPr>
          <w:p w:rsidR="00635D3F" w:rsidRPr="00635D3F" w:rsidRDefault="00635D3F" w:rsidP="00635D3F">
            <w:pPr>
              <w:jc w:val="center"/>
              <w:rPr>
                <w:b/>
                <w:bCs/>
                <w:color w:val="000000"/>
                <w:sz w:val="22"/>
                <w:szCs w:val="22"/>
              </w:rPr>
            </w:pPr>
            <w:r w:rsidRPr="00635D3F">
              <w:rPr>
                <w:b/>
                <w:bCs/>
                <w:color w:val="000000"/>
                <w:sz w:val="22"/>
                <w:szCs w:val="22"/>
              </w:rPr>
              <w:t>Popis</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635D3F" w:rsidRPr="00635D3F" w:rsidRDefault="00635D3F" w:rsidP="00635D3F">
            <w:pPr>
              <w:jc w:val="center"/>
              <w:rPr>
                <w:b/>
                <w:bCs/>
                <w:color w:val="000000"/>
                <w:sz w:val="22"/>
                <w:szCs w:val="22"/>
              </w:rPr>
            </w:pPr>
            <w:r w:rsidRPr="00635D3F">
              <w:rPr>
                <w:b/>
                <w:bCs/>
                <w:color w:val="000000"/>
                <w:sz w:val="22"/>
                <w:szCs w:val="22"/>
              </w:rPr>
              <w:t>MJ</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635D3F" w:rsidRPr="00635D3F" w:rsidRDefault="00635D3F" w:rsidP="00635D3F">
            <w:pPr>
              <w:jc w:val="center"/>
              <w:rPr>
                <w:b/>
                <w:bCs/>
                <w:color w:val="000000"/>
                <w:sz w:val="22"/>
                <w:szCs w:val="22"/>
              </w:rPr>
            </w:pPr>
            <w:r w:rsidRPr="00635D3F">
              <w:rPr>
                <w:b/>
                <w:bCs/>
                <w:color w:val="000000"/>
                <w:sz w:val="22"/>
                <w:szCs w:val="22"/>
              </w:rPr>
              <w:t>Množství</w:t>
            </w:r>
          </w:p>
        </w:tc>
        <w:tc>
          <w:tcPr>
            <w:tcW w:w="1415" w:type="dxa"/>
            <w:gridSpan w:val="3"/>
            <w:tcBorders>
              <w:top w:val="single" w:sz="4" w:space="0" w:color="auto"/>
              <w:left w:val="nil"/>
              <w:bottom w:val="single" w:sz="4" w:space="0" w:color="auto"/>
              <w:right w:val="single" w:sz="4" w:space="0" w:color="auto"/>
            </w:tcBorders>
            <w:shd w:val="clear" w:color="auto" w:fill="auto"/>
            <w:noWrap/>
            <w:vAlign w:val="center"/>
            <w:hideMark/>
          </w:tcPr>
          <w:p w:rsidR="00635D3F" w:rsidRPr="00635D3F" w:rsidRDefault="00635D3F" w:rsidP="00635D3F">
            <w:pPr>
              <w:jc w:val="center"/>
              <w:rPr>
                <w:b/>
                <w:bCs/>
                <w:color w:val="000000"/>
                <w:sz w:val="22"/>
                <w:szCs w:val="22"/>
              </w:rPr>
            </w:pPr>
            <w:r w:rsidRPr="00635D3F">
              <w:rPr>
                <w:b/>
                <w:bCs/>
                <w:color w:val="000000"/>
                <w:sz w:val="22"/>
                <w:szCs w:val="22"/>
              </w:rPr>
              <w:t>Kč/MJ</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635D3F" w:rsidRPr="00635D3F" w:rsidRDefault="00635D3F" w:rsidP="00635D3F">
            <w:pPr>
              <w:jc w:val="center"/>
              <w:rPr>
                <w:b/>
                <w:bCs/>
                <w:color w:val="000000"/>
                <w:sz w:val="22"/>
                <w:szCs w:val="22"/>
              </w:rPr>
            </w:pPr>
            <w:r w:rsidRPr="00635D3F">
              <w:rPr>
                <w:b/>
                <w:bCs/>
                <w:color w:val="000000"/>
                <w:sz w:val="22"/>
                <w:szCs w:val="22"/>
              </w:rPr>
              <w:t>Kč celkem bez DPH</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1.</w:t>
            </w:r>
          </w:p>
        </w:tc>
        <w:tc>
          <w:tcPr>
            <w:tcW w:w="9126" w:type="dxa"/>
            <w:tcBorders>
              <w:top w:val="nil"/>
              <w:left w:val="nil"/>
              <w:bottom w:val="single" w:sz="4" w:space="0" w:color="auto"/>
              <w:right w:val="single" w:sz="4" w:space="0" w:color="auto"/>
            </w:tcBorders>
            <w:shd w:val="clear" w:color="auto" w:fill="auto"/>
            <w:vAlign w:val="center"/>
            <w:hideMark/>
          </w:tcPr>
          <w:p w:rsidR="00635D3F" w:rsidRPr="00635D3F" w:rsidRDefault="00635D3F" w:rsidP="00635D3F">
            <w:pPr>
              <w:rPr>
                <w:color w:val="000000"/>
                <w:sz w:val="22"/>
                <w:szCs w:val="22"/>
              </w:rPr>
            </w:pPr>
            <w:r w:rsidRPr="00635D3F">
              <w:rPr>
                <w:color w:val="000000"/>
                <w:sz w:val="22"/>
                <w:szCs w:val="22"/>
              </w:rPr>
              <w:t>Demontáž, dodávka a montáž nových prahů ve dveřích (37 ks x 60 cm, 5 ks x 80 cm).</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ks</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42</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450,00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18 900,00</w:t>
            </w:r>
          </w:p>
        </w:tc>
      </w:tr>
      <w:tr w:rsidR="00635D3F" w:rsidRPr="00635D3F" w:rsidTr="00FE7E8C">
        <w:trPr>
          <w:trHeight w:val="639"/>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2.</w:t>
            </w:r>
          </w:p>
        </w:tc>
        <w:tc>
          <w:tcPr>
            <w:tcW w:w="9126"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both"/>
              <w:rPr>
                <w:color w:val="000000"/>
                <w:sz w:val="22"/>
                <w:szCs w:val="22"/>
              </w:rPr>
            </w:pPr>
            <w:r w:rsidRPr="00635D3F">
              <w:rPr>
                <w:color w:val="000000"/>
                <w:sz w:val="22"/>
                <w:szCs w:val="22"/>
              </w:rPr>
              <w:t xml:space="preserve">Demontáž, dodávka a montáž nových čtvercových sprch. </w:t>
            </w:r>
            <w:proofErr w:type="gramStart"/>
            <w:r w:rsidRPr="00635D3F">
              <w:rPr>
                <w:color w:val="000000"/>
                <w:sz w:val="22"/>
                <w:szCs w:val="22"/>
              </w:rPr>
              <w:t>koutů</w:t>
            </w:r>
            <w:proofErr w:type="gramEnd"/>
            <w:r w:rsidRPr="00635D3F">
              <w:rPr>
                <w:color w:val="000000"/>
                <w:sz w:val="22"/>
                <w:szCs w:val="22"/>
              </w:rPr>
              <w:t xml:space="preserve"> 80 x 80 cm,  se skleněnou zástěnou s dekorem a samonosnou vaničkou.</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ks</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23</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9 220,00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212 060,00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3.</w:t>
            </w:r>
          </w:p>
        </w:tc>
        <w:tc>
          <w:tcPr>
            <w:tcW w:w="9126" w:type="dxa"/>
            <w:tcBorders>
              <w:top w:val="nil"/>
              <w:left w:val="nil"/>
              <w:bottom w:val="single" w:sz="4" w:space="0" w:color="auto"/>
              <w:right w:val="single" w:sz="4" w:space="0" w:color="auto"/>
            </w:tcBorders>
            <w:shd w:val="clear" w:color="auto" w:fill="auto"/>
            <w:vAlign w:val="center"/>
            <w:hideMark/>
          </w:tcPr>
          <w:p w:rsidR="00635D3F" w:rsidRPr="00635D3F" w:rsidRDefault="00635D3F" w:rsidP="00635D3F">
            <w:pPr>
              <w:rPr>
                <w:color w:val="000000"/>
                <w:sz w:val="22"/>
                <w:szCs w:val="22"/>
              </w:rPr>
            </w:pPr>
            <w:r w:rsidRPr="00635D3F">
              <w:rPr>
                <w:color w:val="000000"/>
                <w:sz w:val="22"/>
                <w:szCs w:val="22"/>
              </w:rPr>
              <w:t xml:space="preserve">Demontáž/montáž stávajících WC </w:t>
            </w:r>
            <w:proofErr w:type="spellStart"/>
            <w:r w:rsidRPr="00635D3F">
              <w:rPr>
                <w:color w:val="000000"/>
                <w:sz w:val="22"/>
                <w:szCs w:val="22"/>
              </w:rPr>
              <w:t>combi</w:t>
            </w:r>
            <w:proofErr w:type="spellEnd"/>
            <w:r w:rsidRPr="00635D3F">
              <w:rPr>
                <w:color w:val="000000"/>
                <w:sz w:val="22"/>
                <w:szCs w:val="22"/>
              </w:rPr>
              <w:t xml:space="preserve"> + dodávka nových rohových ventilů a hadiček (nerez-flexi).</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ks</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25</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3 255,00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81 375,00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4.</w:t>
            </w:r>
          </w:p>
        </w:tc>
        <w:tc>
          <w:tcPr>
            <w:tcW w:w="9126" w:type="dxa"/>
            <w:tcBorders>
              <w:top w:val="nil"/>
              <w:left w:val="nil"/>
              <w:bottom w:val="single" w:sz="4" w:space="0" w:color="auto"/>
              <w:right w:val="single" w:sz="4" w:space="0" w:color="auto"/>
            </w:tcBorders>
            <w:shd w:val="clear" w:color="auto" w:fill="auto"/>
            <w:vAlign w:val="center"/>
            <w:hideMark/>
          </w:tcPr>
          <w:p w:rsidR="00635D3F" w:rsidRPr="00635D3F" w:rsidRDefault="00635D3F" w:rsidP="00635D3F">
            <w:pPr>
              <w:rPr>
                <w:color w:val="000000"/>
                <w:sz w:val="22"/>
                <w:szCs w:val="22"/>
              </w:rPr>
            </w:pPr>
            <w:r w:rsidRPr="00635D3F">
              <w:rPr>
                <w:color w:val="000000"/>
                <w:sz w:val="22"/>
                <w:szCs w:val="22"/>
              </w:rPr>
              <w:t>Vystěhování/nastěhování 6 šatních skříní.</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proofErr w:type="spellStart"/>
            <w:r w:rsidRPr="00635D3F">
              <w:rPr>
                <w:color w:val="000000"/>
                <w:sz w:val="22"/>
                <w:szCs w:val="22"/>
              </w:rPr>
              <w:t>soub</w:t>
            </w:r>
            <w:proofErr w:type="spellEnd"/>
            <w:r w:rsidRPr="00635D3F">
              <w:rPr>
                <w:color w:val="000000"/>
                <w:sz w:val="22"/>
                <w:szCs w:val="22"/>
              </w:rPr>
              <w:t>.</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2 500,00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5.</w:t>
            </w:r>
          </w:p>
        </w:tc>
        <w:tc>
          <w:tcPr>
            <w:tcW w:w="9126" w:type="dxa"/>
            <w:tcBorders>
              <w:top w:val="nil"/>
              <w:left w:val="nil"/>
              <w:bottom w:val="single" w:sz="4" w:space="0" w:color="auto"/>
              <w:right w:val="single" w:sz="4" w:space="0" w:color="auto"/>
            </w:tcBorders>
            <w:shd w:val="clear" w:color="auto" w:fill="auto"/>
            <w:vAlign w:val="center"/>
            <w:hideMark/>
          </w:tcPr>
          <w:p w:rsidR="00635D3F" w:rsidRPr="00635D3F" w:rsidRDefault="00635D3F" w:rsidP="00635D3F">
            <w:pPr>
              <w:rPr>
                <w:color w:val="000000"/>
                <w:sz w:val="22"/>
                <w:szCs w:val="22"/>
              </w:rPr>
            </w:pPr>
            <w:r w:rsidRPr="00635D3F">
              <w:rPr>
                <w:color w:val="000000"/>
                <w:sz w:val="22"/>
                <w:szCs w:val="22"/>
              </w:rPr>
              <w:t>Vybourání stávající dlažby v koupelnách, prádelnách a WC místností.</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m</w:t>
            </w:r>
            <w:r w:rsidRPr="00635D3F">
              <w:rPr>
                <w:color w:val="000000"/>
                <w:sz w:val="22"/>
                <w:szCs w:val="22"/>
                <w:vertAlign w:val="superscript"/>
              </w:rPr>
              <w:t>2</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170</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65,00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11 050,00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6.</w:t>
            </w:r>
          </w:p>
        </w:tc>
        <w:tc>
          <w:tcPr>
            <w:tcW w:w="9126" w:type="dxa"/>
            <w:tcBorders>
              <w:top w:val="nil"/>
              <w:left w:val="nil"/>
              <w:bottom w:val="single" w:sz="4" w:space="0" w:color="auto"/>
              <w:right w:val="single" w:sz="4" w:space="0" w:color="auto"/>
            </w:tcBorders>
            <w:shd w:val="clear" w:color="auto" w:fill="auto"/>
            <w:vAlign w:val="bottom"/>
            <w:hideMark/>
          </w:tcPr>
          <w:p w:rsidR="00635D3F" w:rsidRPr="00635D3F" w:rsidRDefault="00635D3F" w:rsidP="00635D3F">
            <w:pPr>
              <w:rPr>
                <w:color w:val="000000"/>
                <w:sz w:val="22"/>
                <w:szCs w:val="22"/>
              </w:rPr>
            </w:pPr>
            <w:r w:rsidRPr="00635D3F">
              <w:rPr>
                <w:color w:val="000000"/>
                <w:sz w:val="22"/>
                <w:szCs w:val="22"/>
              </w:rPr>
              <w:t>Provedení vyčištění odpadních přípojek až do stoupačky.</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ks</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23</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650,00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14 950,00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7.</w:t>
            </w:r>
          </w:p>
        </w:tc>
        <w:tc>
          <w:tcPr>
            <w:tcW w:w="9126"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both"/>
              <w:rPr>
                <w:color w:val="000000"/>
                <w:sz w:val="22"/>
                <w:szCs w:val="22"/>
              </w:rPr>
            </w:pPr>
            <w:r w:rsidRPr="00635D3F">
              <w:rPr>
                <w:color w:val="000000"/>
                <w:sz w:val="22"/>
                <w:szCs w:val="22"/>
              </w:rPr>
              <w:t>Provedení hydroizolace, penetrace.</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m</w:t>
            </w:r>
            <w:r w:rsidRPr="00635D3F">
              <w:rPr>
                <w:color w:val="000000"/>
                <w:sz w:val="22"/>
                <w:szCs w:val="22"/>
                <w:vertAlign w:val="superscript"/>
              </w:rPr>
              <w:t>2</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170</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280,00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47 600,00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8.</w:t>
            </w:r>
          </w:p>
        </w:tc>
        <w:tc>
          <w:tcPr>
            <w:tcW w:w="9126" w:type="dxa"/>
            <w:tcBorders>
              <w:top w:val="nil"/>
              <w:left w:val="nil"/>
              <w:bottom w:val="single" w:sz="4" w:space="0" w:color="auto"/>
              <w:right w:val="single" w:sz="4" w:space="0" w:color="auto"/>
            </w:tcBorders>
            <w:shd w:val="clear" w:color="auto" w:fill="auto"/>
            <w:vAlign w:val="bottom"/>
            <w:hideMark/>
          </w:tcPr>
          <w:p w:rsidR="00635D3F" w:rsidRPr="00635D3F" w:rsidRDefault="00635D3F" w:rsidP="00635D3F">
            <w:pPr>
              <w:rPr>
                <w:color w:val="000000"/>
                <w:sz w:val="22"/>
                <w:szCs w:val="22"/>
              </w:rPr>
            </w:pPr>
            <w:r w:rsidRPr="00635D3F">
              <w:rPr>
                <w:color w:val="000000"/>
                <w:sz w:val="22"/>
                <w:szCs w:val="22"/>
              </w:rPr>
              <w:t xml:space="preserve">Položení nové keramické protiskluzové dlažby (včetně soklu 11 cm). </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m</w:t>
            </w:r>
            <w:r w:rsidRPr="00635D3F">
              <w:rPr>
                <w:color w:val="000000"/>
                <w:sz w:val="22"/>
                <w:szCs w:val="22"/>
                <w:vertAlign w:val="superscript"/>
              </w:rPr>
              <w:t>2</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170</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790,00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134 300,00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9.</w:t>
            </w:r>
          </w:p>
        </w:tc>
        <w:tc>
          <w:tcPr>
            <w:tcW w:w="9126"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both"/>
              <w:rPr>
                <w:color w:val="000000"/>
                <w:sz w:val="22"/>
                <w:szCs w:val="22"/>
              </w:rPr>
            </w:pPr>
            <w:r w:rsidRPr="00635D3F">
              <w:rPr>
                <w:color w:val="000000"/>
                <w:sz w:val="22"/>
                <w:szCs w:val="22"/>
              </w:rPr>
              <w:t>Odpojení a následné zapojení praček.</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ks</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4</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450,00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1 800,00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10.</w:t>
            </w:r>
          </w:p>
        </w:tc>
        <w:tc>
          <w:tcPr>
            <w:tcW w:w="9126"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both"/>
              <w:rPr>
                <w:color w:val="000000"/>
                <w:sz w:val="22"/>
                <w:szCs w:val="22"/>
              </w:rPr>
            </w:pPr>
            <w:r w:rsidRPr="00635D3F">
              <w:rPr>
                <w:color w:val="000000"/>
                <w:sz w:val="22"/>
                <w:szCs w:val="22"/>
              </w:rPr>
              <w:t>Průběžný a závěrečný úklid.</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proofErr w:type="spellStart"/>
            <w:r w:rsidRPr="00635D3F">
              <w:rPr>
                <w:color w:val="000000"/>
                <w:sz w:val="22"/>
                <w:szCs w:val="22"/>
              </w:rPr>
              <w:t>soub</w:t>
            </w:r>
            <w:proofErr w:type="spellEnd"/>
            <w:r w:rsidRPr="00635D3F">
              <w:rPr>
                <w:color w:val="000000"/>
                <w:sz w:val="22"/>
                <w:szCs w:val="22"/>
              </w:rPr>
              <w:t>.</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11.</w:t>
            </w:r>
          </w:p>
        </w:tc>
        <w:tc>
          <w:tcPr>
            <w:tcW w:w="9126" w:type="dxa"/>
            <w:tcBorders>
              <w:top w:val="nil"/>
              <w:left w:val="nil"/>
              <w:bottom w:val="nil"/>
              <w:right w:val="nil"/>
            </w:tcBorders>
            <w:shd w:val="clear" w:color="auto" w:fill="auto"/>
            <w:noWrap/>
            <w:vAlign w:val="center"/>
            <w:hideMark/>
          </w:tcPr>
          <w:p w:rsidR="00635D3F" w:rsidRPr="00635D3F" w:rsidRDefault="00635D3F" w:rsidP="00635D3F">
            <w:pPr>
              <w:jc w:val="both"/>
              <w:rPr>
                <w:color w:val="000000"/>
                <w:sz w:val="22"/>
                <w:szCs w:val="22"/>
              </w:rPr>
            </w:pPr>
            <w:r w:rsidRPr="00635D3F">
              <w:rPr>
                <w:color w:val="000000"/>
                <w:sz w:val="22"/>
                <w:szCs w:val="22"/>
              </w:rPr>
              <w:t>Ekologická likvidace demontovaného materiálu.</w:t>
            </w:r>
          </w:p>
        </w:tc>
        <w:tc>
          <w:tcPr>
            <w:tcW w:w="707"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proofErr w:type="spellStart"/>
            <w:r w:rsidRPr="00635D3F">
              <w:rPr>
                <w:color w:val="000000"/>
                <w:sz w:val="22"/>
                <w:szCs w:val="22"/>
              </w:rPr>
              <w:t>soub</w:t>
            </w:r>
            <w:proofErr w:type="spellEnd"/>
            <w:r w:rsidRPr="00635D3F">
              <w:rPr>
                <w:color w:val="000000"/>
                <w:sz w:val="22"/>
                <w:szCs w:val="22"/>
              </w:rPr>
              <w:t>.</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r>
      <w:tr w:rsidR="00635D3F" w:rsidRPr="00635D3F" w:rsidTr="00FE7E8C">
        <w:trPr>
          <w:trHeight w:val="312"/>
        </w:trPr>
        <w:tc>
          <w:tcPr>
            <w:tcW w:w="481" w:type="dxa"/>
            <w:tcBorders>
              <w:top w:val="nil"/>
              <w:left w:val="single" w:sz="4" w:space="0" w:color="auto"/>
              <w:bottom w:val="single" w:sz="4" w:space="0" w:color="auto"/>
              <w:right w:val="single" w:sz="4" w:space="0" w:color="auto"/>
            </w:tcBorders>
            <w:shd w:val="clear" w:color="auto" w:fill="auto"/>
            <w:noWrap/>
            <w:vAlign w:val="center"/>
            <w:hideMark/>
          </w:tcPr>
          <w:p w:rsidR="00635D3F" w:rsidRPr="00635D3F" w:rsidRDefault="00635D3F" w:rsidP="00635D3F">
            <w:pPr>
              <w:jc w:val="center"/>
              <w:rPr>
                <w:color w:val="000000"/>
                <w:sz w:val="22"/>
                <w:szCs w:val="22"/>
              </w:rPr>
            </w:pPr>
            <w:r w:rsidRPr="00635D3F">
              <w:rPr>
                <w:color w:val="000000"/>
                <w:sz w:val="22"/>
                <w:szCs w:val="22"/>
              </w:rPr>
              <w:t>12.</w:t>
            </w:r>
          </w:p>
        </w:tc>
        <w:tc>
          <w:tcPr>
            <w:tcW w:w="9126" w:type="dxa"/>
            <w:tcBorders>
              <w:top w:val="single" w:sz="4" w:space="0" w:color="auto"/>
              <w:left w:val="nil"/>
              <w:bottom w:val="single" w:sz="4" w:space="0" w:color="auto"/>
              <w:right w:val="single" w:sz="4" w:space="0" w:color="auto"/>
            </w:tcBorders>
            <w:shd w:val="clear" w:color="auto" w:fill="auto"/>
            <w:vAlign w:val="center"/>
            <w:hideMark/>
          </w:tcPr>
          <w:p w:rsidR="00635D3F" w:rsidRPr="00635D3F" w:rsidRDefault="00635D3F" w:rsidP="00635D3F">
            <w:pPr>
              <w:rPr>
                <w:color w:val="000000"/>
                <w:sz w:val="22"/>
                <w:szCs w:val="22"/>
              </w:rPr>
            </w:pPr>
            <w:r w:rsidRPr="00635D3F">
              <w:rPr>
                <w:color w:val="000000"/>
                <w:sz w:val="22"/>
                <w:szCs w:val="22"/>
              </w:rPr>
              <w:t>Režijní náklady.</w:t>
            </w:r>
          </w:p>
        </w:tc>
        <w:tc>
          <w:tcPr>
            <w:tcW w:w="707"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proofErr w:type="spellStart"/>
            <w:r w:rsidRPr="00635D3F">
              <w:rPr>
                <w:color w:val="000000"/>
                <w:sz w:val="22"/>
                <w:szCs w:val="22"/>
              </w:rPr>
              <w:t>soub</w:t>
            </w:r>
            <w:proofErr w:type="spellEnd"/>
            <w:r w:rsidRPr="00635D3F">
              <w:rPr>
                <w:color w:val="000000"/>
                <w:sz w:val="22"/>
                <w:szCs w:val="22"/>
              </w:rPr>
              <w:t>.</w:t>
            </w:r>
          </w:p>
        </w:tc>
        <w:tc>
          <w:tcPr>
            <w:tcW w:w="1005"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1</w:t>
            </w:r>
          </w:p>
        </w:tc>
        <w:tc>
          <w:tcPr>
            <w:tcW w:w="1415" w:type="dxa"/>
            <w:gridSpan w:val="3"/>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c>
          <w:tcPr>
            <w:tcW w:w="1554" w:type="dxa"/>
            <w:tcBorders>
              <w:top w:val="nil"/>
              <w:left w:val="nil"/>
              <w:bottom w:val="single" w:sz="4" w:space="0" w:color="auto"/>
              <w:right w:val="single" w:sz="4" w:space="0" w:color="auto"/>
            </w:tcBorders>
            <w:shd w:val="clear" w:color="auto" w:fill="auto"/>
            <w:noWrap/>
            <w:vAlign w:val="center"/>
            <w:hideMark/>
          </w:tcPr>
          <w:p w:rsidR="00635D3F" w:rsidRPr="00635D3F" w:rsidRDefault="00635D3F" w:rsidP="00635D3F">
            <w:pPr>
              <w:jc w:val="right"/>
              <w:rPr>
                <w:color w:val="000000"/>
                <w:sz w:val="22"/>
                <w:szCs w:val="22"/>
              </w:rPr>
            </w:pPr>
            <w:r w:rsidRPr="00635D3F">
              <w:rPr>
                <w:color w:val="000000"/>
                <w:sz w:val="22"/>
                <w:szCs w:val="22"/>
              </w:rPr>
              <w:t>5 000,00</w:t>
            </w:r>
          </w:p>
        </w:tc>
      </w:tr>
      <w:tr w:rsidR="00635D3F" w:rsidRPr="00635D3F" w:rsidTr="00FE7E8C">
        <w:trPr>
          <w:trHeight w:val="391"/>
        </w:trPr>
        <w:tc>
          <w:tcPr>
            <w:tcW w:w="1273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5D3F" w:rsidRPr="00635D3F" w:rsidRDefault="00635D3F" w:rsidP="00635D3F">
            <w:pPr>
              <w:rPr>
                <w:b/>
                <w:bCs/>
                <w:color w:val="000000"/>
                <w:sz w:val="22"/>
                <w:szCs w:val="22"/>
              </w:rPr>
            </w:pPr>
            <w:r w:rsidRPr="00635D3F">
              <w:rPr>
                <w:b/>
                <w:bCs/>
                <w:color w:val="000000"/>
                <w:sz w:val="22"/>
                <w:szCs w:val="22"/>
              </w:rPr>
              <w:t>Celková cena bez DPH</w:t>
            </w:r>
          </w:p>
        </w:tc>
        <w:tc>
          <w:tcPr>
            <w:tcW w:w="1554" w:type="dxa"/>
            <w:tcBorders>
              <w:top w:val="nil"/>
              <w:left w:val="nil"/>
              <w:bottom w:val="single" w:sz="4" w:space="0" w:color="auto"/>
              <w:right w:val="single" w:sz="4" w:space="0" w:color="auto"/>
            </w:tcBorders>
            <w:shd w:val="clear" w:color="auto" w:fill="auto"/>
            <w:noWrap/>
            <w:vAlign w:val="bottom"/>
            <w:hideMark/>
          </w:tcPr>
          <w:p w:rsidR="00635D3F" w:rsidRPr="00635D3F" w:rsidRDefault="00635D3F" w:rsidP="00635D3F">
            <w:pPr>
              <w:jc w:val="right"/>
              <w:rPr>
                <w:b/>
                <w:bCs/>
                <w:color w:val="000000"/>
                <w:sz w:val="24"/>
                <w:szCs w:val="24"/>
              </w:rPr>
            </w:pPr>
            <w:r w:rsidRPr="00635D3F">
              <w:rPr>
                <w:b/>
                <w:bCs/>
                <w:color w:val="000000"/>
                <w:sz w:val="24"/>
                <w:szCs w:val="24"/>
              </w:rPr>
              <w:t>542 035,00</w:t>
            </w:r>
          </w:p>
        </w:tc>
      </w:tr>
    </w:tbl>
    <w:p w:rsidR="00C04861" w:rsidRDefault="00C04861" w:rsidP="00595E50">
      <w:pPr>
        <w:autoSpaceDE w:val="0"/>
        <w:autoSpaceDN w:val="0"/>
        <w:adjustRightInd w:val="0"/>
        <w:rPr>
          <w:bCs/>
          <w:sz w:val="24"/>
        </w:rPr>
      </w:pPr>
    </w:p>
    <w:sectPr w:rsidR="00C04861" w:rsidSect="009C203A">
      <w:pgSz w:w="16840" w:h="11907" w:orient="landscape"/>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174" w:rsidRDefault="00561174">
      <w:r>
        <w:separator/>
      </w:r>
    </w:p>
  </w:endnote>
  <w:endnote w:type="continuationSeparator" w:id="0">
    <w:p w:rsidR="00561174" w:rsidRDefault="0056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56950" w:rsidRDefault="00C5695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65FAB">
      <w:rPr>
        <w:rStyle w:val="slostrnky"/>
        <w:noProof/>
      </w:rPr>
      <w:t>7</w:t>
    </w:r>
    <w:r>
      <w:rPr>
        <w:rStyle w:val="slostrnky"/>
      </w:rPr>
      <w:fldChar w:fldCharType="end"/>
    </w:r>
  </w:p>
  <w:p w:rsidR="00C56950" w:rsidRDefault="00C569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174" w:rsidRDefault="00561174">
      <w:r>
        <w:separator/>
      </w:r>
    </w:p>
  </w:footnote>
  <w:footnote w:type="continuationSeparator" w:id="0">
    <w:p w:rsidR="00561174" w:rsidRDefault="00561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C56950" w:rsidRDefault="00C5695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950" w:rsidRDefault="00C56950" w:rsidP="00727640">
    <w:pPr>
      <w:pStyle w:val="Zhlav"/>
      <w:tabs>
        <w:tab w:val="clear" w:pos="9072"/>
        <w:tab w:val="right" w:pos="9071"/>
      </w:tabs>
      <w:jc w:val="right"/>
      <w:rPr>
        <w:sz w:val="24"/>
        <w:szCs w:val="24"/>
      </w:rPr>
    </w:pPr>
    <w:r>
      <w:rPr>
        <w:sz w:val="24"/>
        <w:szCs w:val="24"/>
      </w:rPr>
      <w:tab/>
    </w:r>
    <w:r>
      <w:rPr>
        <w:sz w:val="24"/>
        <w:szCs w:val="24"/>
      </w:rPr>
      <w:tab/>
      <w:t xml:space="preserve">Číslo smlouvy objednatele: </w:t>
    </w:r>
    <w:r w:rsidR="00C828E5">
      <w:rPr>
        <w:sz w:val="24"/>
        <w:szCs w:val="24"/>
      </w:rPr>
      <w:t>U-</w:t>
    </w:r>
    <w:r w:rsidR="00C75984">
      <w:rPr>
        <w:sz w:val="24"/>
        <w:szCs w:val="24"/>
      </w:rPr>
      <w:t>442</w:t>
    </w:r>
    <w:r w:rsidR="00C828E5">
      <w:rPr>
        <w:sz w:val="24"/>
        <w:szCs w:val="24"/>
      </w:rPr>
      <w:t>-00</w:t>
    </w:r>
    <w:r w:rsidR="008D0B28">
      <w:rPr>
        <w:sz w:val="24"/>
        <w:szCs w:val="24"/>
      </w:rPr>
      <w:t>/16</w:t>
    </w:r>
  </w:p>
  <w:p w:rsidR="00C56950" w:rsidRPr="00F76CCA" w:rsidRDefault="00C56950"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6431D"/>
    <w:multiLevelType w:val="multilevel"/>
    <w:tmpl w:val="D47EA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15:restartNumberingAfterBreak="0">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A4842"/>
    <w:multiLevelType w:val="hybridMultilevel"/>
    <w:tmpl w:val="82521804"/>
    <w:lvl w:ilvl="0" w:tplc="D542FD5A">
      <w:start w:val="1"/>
      <w:numFmt w:val="decimal"/>
      <w:lvlText w:val="9.%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5"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2"/>
  </w:num>
  <w:num w:numId="4">
    <w:abstractNumId w:val="25"/>
  </w:num>
  <w:num w:numId="5">
    <w:abstractNumId w:val="27"/>
  </w:num>
  <w:num w:numId="6">
    <w:abstractNumId w:val="8"/>
  </w:num>
  <w:num w:numId="7">
    <w:abstractNumId w:val="5"/>
  </w:num>
  <w:num w:numId="8">
    <w:abstractNumId w:val="22"/>
  </w:num>
  <w:num w:numId="9">
    <w:abstractNumId w:val="2"/>
  </w:num>
  <w:num w:numId="10">
    <w:abstractNumId w:val="23"/>
  </w:num>
  <w:num w:numId="11">
    <w:abstractNumId w:val="21"/>
  </w:num>
  <w:num w:numId="12">
    <w:abstractNumId w:val="9"/>
  </w:num>
  <w:num w:numId="13">
    <w:abstractNumId w:val="0"/>
  </w:num>
  <w:num w:numId="14">
    <w:abstractNumId w:val="20"/>
  </w:num>
  <w:num w:numId="15">
    <w:abstractNumId w:val="10"/>
  </w:num>
  <w:num w:numId="16">
    <w:abstractNumId w:val="19"/>
  </w:num>
  <w:num w:numId="17">
    <w:abstractNumId w:val="24"/>
  </w:num>
  <w:num w:numId="18">
    <w:abstractNumId w:val="18"/>
  </w:num>
  <w:num w:numId="19">
    <w:abstractNumId w:val="26"/>
  </w:num>
  <w:num w:numId="20">
    <w:abstractNumId w:val="1"/>
  </w:num>
  <w:num w:numId="21">
    <w:abstractNumId w:val="16"/>
  </w:num>
  <w:num w:numId="22">
    <w:abstractNumId w:val="6"/>
  </w:num>
  <w:num w:numId="23">
    <w:abstractNumId w:val="11"/>
  </w:num>
  <w:num w:numId="24">
    <w:abstractNumId w:val="4"/>
  </w:num>
  <w:num w:numId="25">
    <w:abstractNumId w:val="3"/>
  </w:num>
  <w:num w:numId="26">
    <w:abstractNumId w:val="1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CA"/>
    <w:rsid w:val="00011CED"/>
    <w:rsid w:val="00013221"/>
    <w:rsid w:val="000132A7"/>
    <w:rsid w:val="00020757"/>
    <w:rsid w:val="00020971"/>
    <w:rsid w:val="000226B9"/>
    <w:rsid w:val="00023EB1"/>
    <w:rsid w:val="000344C5"/>
    <w:rsid w:val="00036744"/>
    <w:rsid w:val="00040516"/>
    <w:rsid w:val="00042944"/>
    <w:rsid w:val="00043A55"/>
    <w:rsid w:val="00043D30"/>
    <w:rsid w:val="00044372"/>
    <w:rsid w:val="0004438B"/>
    <w:rsid w:val="00046AA3"/>
    <w:rsid w:val="00053D8D"/>
    <w:rsid w:val="00061828"/>
    <w:rsid w:val="00064B1D"/>
    <w:rsid w:val="0006644B"/>
    <w:rsid w:val="0007119C"/>
    <w:rsid w:val="000713CD"/>
    <w:rsid w:val="00082C5F"/>
    <w:rsid w:val="00082EE7"/>
    <w:rsid w:val="00085ACD"/>
    <w:rsid w:val="000940A2"/>
    <w:rsid w:val="00095FDB"/>
    <w:rsid w:val="00097193"/>
    <w:rsid w:val="000A0A64"/>
    <w:rsid w:val="000A171F"/>
    <w:rsid w:val="000A2E21"/>
    <w:rsid w:val="000A3F7C"/>
    <w:rsid w:val="000A5304"/>
    <w:rsid w:val="000A6260"/>
    <w:rsid w:val="000B4217"/>
    <w:rsid w:val="000C1543"/>
    <w:rsid w:val="000C4430"/>
    <w:rsid w:val="000D63FC"/>
    <w:rsid w:val="000E20F6"/>
    <w:rsid w:val="000F6E7C"/>
    <w:rsid w:val="001018CF"/>
    <w:rsid w:val="00102CFB"/>
    <w:rsid w:val="00116285"/>
    <w:rsid w:val="0012112F"/>
    <w:rsid w:val="00124E54"/>
    <w:rsid w:val="00126A9A"/>
    <w:rsid w:val="001332D9"/>
    <w:rsid w:val="00133CA3"/>
    <w:rsid w:val="00134292"/>
    <w:rsid w:val="00143F3E"/>
    <w:rsid w:val="00150F3F"/>
    <w:rsid w:val="00166CB6"/>
    <w:rsid w:val="00167E17"/>
    <w:rsid w:val="0017061F"/>
    <w:rsid w:val="00172B03"/>
    <w:rsid w:val="0018698E"/>
    <w:rsid w:val="0018720A"/>
    <w:rsid w:val="0019116C"/>
    <w:rsid w:val="00197CB7"/>
    <w:rsid w:val="001A5AF0"/>
    <w:rsid w:val="001A6F2A"/>
    <w:rsid w:val="001B51E2"/>
    <w:rsid w:val="001F1BA2"/>
    <w:rsid w:val="00203EBD"/>
    <w:rsid w:val="002051CA"/>
    <w:rsid w:val="002179A8"/>
    <w:rsid w:val="00225A03"/>
    <w:rsid w:val="00226B4C"/>
    <w:rsid w:val="002346C5"/>
    <w:rsid w:val="002354D1"/>
    <w:rsid w:val="0024417C"/>
    <w:rsid w:val="00246940"/>
    <w:rsid w:val="00251A87"/>
    <w:rsid w:val="002658A9"/>
    <w:rsid w:val="00265D44"/>
    <w:rsid w:val="00276794"/>
    <w:rsid w:val="002771D0"/>
    <w:rsid w:val="0028112E"/>
    <w:rsid w:val="002821D9"/>
    <w:rsid w:val="002A5833"/>
    <w:rsid w:val="002A58F6"/>
    <w:rsid w:val="002B0DA1"/>
    <w:rsid w:val="002B5D75"/>
    <w:rsid w:val="002B65DD"/>
    <w:rsid w:val="002C458F"/>
    <w:rsid w:val="002C77EF"/>
    <w:rsid w:val="002D2786"/>
    <w:rsid w:val="002D52B0"/>
    <w:rsid w:val="002E07F1"/>
    <w:rsid w:val="002E1151"/>
    <w:rsid w:val="002E7612"/>
    <w:rsid w:val="002E7917"/>
    <w:rsid w:val="003015EC"/>
    <w:rsid w:val="00302F96"/>
    <w:rsid w:val="003066BB"/>
    <w:rsid w:val="00312542"/>
    <w:rsid w:val="00320089"/>
    <w:rsid w:val="0032040C"/>
    <w:rsid w:val="003212B3"/>
    <w:rsid w:val="003231F1"/>
    <w:rsid w:val="00342C97"/>
    <w:rsid w:val="00346428"/>
    <w:rsid w:val="00351647"/>
    <w:rsid w:val="00352D92"/>
    <w:rsid w:val="00353802"/>
    <w:rsid w:val="00354F69"/>
    <w:rsid w:val="0036638E"/>
    <w:rsid w:val="003672E9"/>
    <w:rsid w:val="00371726"/>
    <w:rsid w:val="00396E90"/>
    <w:rsid w:val="0039725D"/>
    <w:rsid w:val="003972B8"/>
    <w:rsid w:val="003B0799"/>
    <w:rsid w:val="003B4566"/>
    <w:rsid w:val="003B4CC3"/>
    <w:rsid w:val="003B70C8"/>
    <w:rsid w:val="003C35A8"/>
    <w:rsid w:val="003C4F1A"/>
    <w:rsid w:val="003C7384"/>
    <w:rsid w:val="003D0288"/>
    <w:rsid w:val="003D09C1"/>
    <w:rsid w:val="003D29D6"/>
    <w:rsid w:val="003D5A9B"/>
    <w:rsid w:val="003E47D3"/>
    <w:rsid w:val="003F4000"/>
    <w:rsid w:val="004023C0"/>
    <w:rsid w:val="0040457F"/>
    <w:rsid w:val="00406998"/>
    <w:rsid w:val="004331C0"/>
    <w:rsid w:val="004357B7"/>
    <w:rsid w:val="0044280A"/>
    <w:rsid w:val="0044446E"/>
    <w:rsid w:val="0045068D"/>
    <w:rsid w:val="0045092C"/>
    <w:rsid w:val="00452856"/>
    <w:rsid w:val="004540F1"/>
    <w:rsid w:val="00455900"/>
    <w:rsid w:val="00457DD3"/>
    <w:rsid w:val="0046156D"/>
    <w:rsid w:val="00465C84"/>
    <w:rsid w:val="00473AE3"/>
    <w:rsid w:val="00474E3F"/>
    <w:rsid w:val="00481EBB"/>
    <w:rsid w:val="00482F7A"/>
    <w:rsid w:val="0048318A"/>
    <w:rsid w:val="00492459"/>
    <w:rsid w:val="004934DE"/>
    <w:rsid w:val="00495DE3"/>
    <w:rsid w:val="004A2AD2"/>
    <w:rsid w:val="004B15D8"/>
    <w:rsid w:val="004B3E4F"/>
    <w:rsid w:val="004B5948"/>
    <w:rsid w:val="004D6B30"/>
    <w:rsid w:val="004E0FAE"/>
    <w:rsid w:val="004E72CF"/>
    <w:rsid w:val="004F0908"/>
    <w:rsid w:val="004F49F6"/>
    <w:rsid w:val="004F699B"/>
    <w:rsid w:val="004F6AA0"/>
    <w:rsid w:val="00500AAC"/>
    <w:rsid w:val="00502E1D"/>
    <w:rsid w:val="005138E7"/>
    <w:rsid w:val="00515086"/>
    <w:rsid w:val="00524874"/>
    <w:rsid w:val="00530586"/>
    <w:rsid w:val="005330E8"/>
    <w:rsid w:val="00533B6F"/>
    <w:rsid w:val="00553A72"/>
    <w:rsid w:val="00557C70"/>
    <w:rsid w:val="00560BF2"/>
    <w:rsid w:val="00561174"/>
    <w:rsid w:val="00561A21"/>
    <w:rsid w:val="005629D6"/>
    <w:rsid w:val="005647EB"/>
    <w:rsid w:val="00565FAB"/>
    <w:rsid w:val="00566F27"/>
    <w:rsid w:val="0057338B"/>
    <w:rsid w:val="0058150E"/>
    <w:rsid w:val="00592BD8"/>
    <w:rsid w:val="00593E75"/>
    <w:rsid w:val="00595E50"/>
    <w:rsid w:val="005963A8"/>
    <w:rsid w:val="00596B25"/>
    <w:rsid w:val="00597A31"/>
    <w:rsid w:val="005A4411"/>
    <w:rsid w:val="005A5731"/>
    <w:rsid w:val="005A6283"/>
    <w:rsid w:val="005B58C5"/>
    <w:rsid w:val="005D1CD8"/>
    <w:rsid w:val="005D6DF6"/>
    <w:rsid w:val="005E3302"/>
    <w:rsid w:val="005E7139"/>
    <w:rsid w:val="005E7D3D"/>
    <w:rsid w:val="005F7EDB"/>
    <w:rsid w:val="00602BDB"/>
    <w:rsid w:val="00605041"/>
    <w:rsid w:val="00606C15"/>
    <w:rsid w:val="00615570"/>
    <w:rsid w:val="00617B38"/>
    <w:rsid w:val="00621E02"/>
    <w:rsid w:val="006344C1"/>
    <w:rsid w:val="006348F8"/>
    <w:rsid w:val="0063584C"/>
    <w:rsid w:val="00635D3F"/>
    <w:rsid w:val="00636C4C"/>
    <w:rsid w:val="006375DA"/>
    <w:rsid w:val="00654A49"/>
    <w:rsid w:val="00660182"/>
    <w:rsid w:val="00663602"/>
    <w:rsid w:val="00672836"/>
    <w:rsid w:val="00681A23"/>
    <w:rsid w:val="006853A5"/>
    <w:rsid w:val="006904F9"/>
    <w:rsid w:val="00690BCB"/>
    <w:rsid w:val="006A1AA4"/>
    <w:rsid w:val="006A2A29"/>
    <w:rsid w:val="006A5382"/>
    <w:rsid w:val="006B45DB"/>
    <w:rsid w:val="006D2154"/>
    <w:rsid w:val="006D6F14"/>
    <w:rsid w:val="006D7019"/>
    <w:rsid w:val="006E1773"/>
    <w:rsid w:val="006E3756"/>
    <w:rsid w:val="006E4FC5"/>
    <w:rsid w:val="006F3DE9"/>
    <w:rsid w:val="00703DB1"/>
    <w:rsid w:val="00703EE5"/>
    <w:rsid w:val="007047B6"/>
    <w:rsid w:val="00705208"/>
    <w:rsid w:val="00727640"/>
    <w:rsid w:val="00730A9F"/>
    <w:rsid w:val="00731325"/>
    <w:rsid w:val="00732F72"/>
    <w:rsid w:val="007416C3"/>
    <w:rsid w:val="0074567D"/>
    <w:rsid w:val="00746F82"/>
    <w:rsid w:val="0074794D"/>
    <w:rsid w:val="0075034C"/>
    <w:rsid w:val="00750A54"/>
    <w:rsid w:val="00753CAB"/>
    <w:rsid w:val="00762DCB"/>
    <w:rsid w:val="00767CA6"/>
    <w:rsid w:val="00773F23"/>
    <w:rsid w:val="007763F5"/>
    <w:rsid w:val="00776A70"/>
    <w:rsid w:val="00781AC5"/>
    <w:rsid w:val="00783D5E"/>
    <w:rsid w:val="007853A6"/>
    <w:rsid w:val="00791998"/>
    <w:rsid w:val="00793B5A"/>
    <w:rsid w:val="007947EA"/>
    <w:rsid w:val="007B268E"/>
    <w:rsid w:val="007B6975"/>
    <w:rsid w:val="007C39A0"/>
    <w:rsid w:val="007C4B3B"/>
    <w:rsid w:val="007C4DEA"/>
    <w:rsid w:val="007D362F"/>
    <w:rsid w:val="007D4A64"/>
    <w:rsid w:val="007E1065"/>
    <w:rsid w:val="007E52DD"/>
    <w:rsid w:val="007E7EE1"/>
    <w:rsid w:val="007F2AA2"/>
    <w:rsid w:val="00803355"/>
    <w:rsid w:val="00806F68"/>
    <w:rsid w:val="008249D7"/>
    <w:rsid w:val="00831C13"/>
    <w:rsid w:val="008374CD"/>
    <w:rsid w:val="00842029"/>
    <w:rsid w:val="0084231E"/>
    <w:rsid w:val="0084259A"/>
    <w:rsid w:val="00847843"/>
    <w:rsid w:val="00857513"/>
    <w:rsid w:val="00874BE4"/>
    <w:rsid w:val="00880A54"/>
    <w:rsid w:val="00880B99"/>
    <w:rsid w:val="008A1017"/>
    <w:rsid w:val="008A383B"/>
    <w:rsid w:val="008A3DED"/>
    <w:rsid w:val="008A7577"/>
    <w:rsid w:val="008C12D8"/>
    <w:rsid w:val="008C410F"/>
    <w:rsid w:val="008C5622"/>
    <w:rsid w:val="008C7C04"/>
    <w:rsid w:val="008D0B28"/>
    <w:rsid w:val="008E02C8"/>
    <w:rsid w:val="008E069F"/>
    <w:rsid w:val="008E422F"/>
    <w:rsid w:val="008F59AC"/>
    <w:rsid w:val="008F6F60"/>
    <w:rsid w:val="00911DF0"/>
    <w:rsid w:val="00914F75"/>
    <w:rsid w:val="009304BA"/>
    <w:rsid w:val="00934FCA"/>
    <w:rsid w:val="009352C2"/>
    <w:rsid w:val="00940389"/>
    <w:rsid w:val="00941F5F"/>
    <w:rsid w:val="00944DE0"/>
    <w:rsid w:val="009460F6"/>
    <w:rsid w:val="00946784"/>
    <w:rsid w:val="00946C23"/>
    <w:rsid w:val="00957072"/>
    <w:rsid w:val="00963BCA"/>
    <w:rsid w:val="00981C2C"/>
    <w:rsid w:val="00985BA2"/>
    <w:rsid w:val="0099006C"/>
    <w:rsid w:val="0099217E"/>
    <w:rsid w:val="0099589C"/>
    <w:rsid w:val="00995FEB"/>
    <w:rsid w:val="009A3F58"/>
    <w:rsid w:val="009A71AC"/>
    <w:rsid w:val="009B71B1"/>
    <w:rsid w:val="009C09BA"/>
    <w:rsid w:val="009C203A"/>
    <w:rsid w:val="009D37F7"/>
    <w:rsid w:val="009E79F6"/>
    <w:rsid w:val="00A02706"/>
    <w:rsid w:val="00A0670E"/>
    <w:rsid w:val="00A06F0C"/>
    <w:rsid w:val="00A12DBD"/>
    <w:rsid w:val="00A256C9"/>
    <w:rsid w:val="00A25DC7"/>
    <w:rsid w:val="00A3017A"/>
    <w:rsid w:val="00A333A0"/>
    <w:rsid w:val="00A37116"/>
    <w:rsid w:val="00A37F9B"/>
    <w:rsid w:val="00A4100C"/>
    <w:rsid w:val="00A54045"/>
    <w:rsid w:val="00A57703"/>
    <w:rsid w:val="00A77B67"/>
    <w:rsid w:val="00A77C83"/>
    <w:rsid w:val="00A82DEA"/>
    <w:rsid w:val="00A8687A"/>
    <w:rsid w:val="00A87620"/>
    <w:rsid w:val="00A90406"/>
    <w:rsid w:val="00A90520"/>
    <w:rsid w:val="00AA74B8"/>
    <w:rsid w:val="00AB10C1"/>
    <w:rsid w:val="00AB4D65"/>
    <w:rsid w:val="00AB62F1"/>
    <w:rsid w:val="00AB695B"/>
    <w:rsid w:val="00AC1195"/>
    <w:rsid w:val="00AC384A"/>
    <w:rsid w:val="00AD3584"/>
    <w:rsid w:val="00AD75CA"/>
    <w:rsid w:val="00AE2642"/>
    <w:rsid w:val="00AE3EFB"/>
    <w:rsid w:val="00AE745D"/>
    <w:rsid w:val="00AF21B8"/>
    <w:rsid w:val="00AF4302"/>
    <w:rsid w:val="00B046AC"/>
    <w:rsid w:val="00B46B1D"/>
    <w:rsid w:val="00B477C5"/>
    <w:rsid w:val="00B52F8A"/>
    <w:rsid w:val="00B55AFF"/>
    <w:rsid w:val="00B6722D"/>
    <w:rsid w:val="00B753A2"/>
    <w:rsid w:val="00B82357"/>
    <w:rsid w:val="00B82F02"/>
    <w:rsid w:val="00B864A1"/>
    <w:rsid w:val="00B90640"/>
    <w:rsid w:val="00B90B47"/>
    <w:rsid w:val="00B9228B"/>
    <w:rsid w:val="00B9303C"/>
    <w:rsid w:val="00B93824"/>
    <w:rsid w:val="00BB2180"/>
    <w:rsid w:val="00BB2E19"/>
    <w:rsid w:val="00BB7987"/>
    <w:rsid w:val="00BD13D6"/>
    <w:rsid w:val="00BD463F"/>
    <w:rsid w:val="00BE3A33"/>
    <w:rsid w:val="00BE67B6"/>
    <w:rsid w:val="00BF2F1E"/>
    <w:rsid w:val="00BF3255"/>
    <w:rsid w:val="00C04861"/>
    <w:rsid w:val="00C05246"/>
    <w:rsid w:val="00C067BB"/>
    <w:rsid w:val="00C12C0B"/>
    <w:rsid w:val="00C13571"/>
    <w:rsid w:val="00C21BF4"/>
    <w:rsid w:val="00C27B95"/>
    <w:rsid w:val="00C321BE"/>
    <w:rsid w:val="00C32D88"/>
    <w:rsid w:val="00C42A29"/>
    <w:rsid w:val="00C45E22"/>
    <w:rsid w:val="00C51BA5"/>
    <w:rsid w:val="00C56950"/>
    <w:rsid w:val="00C56DD3"/>
    <w:rsid w:val="00C66E86"/>
    <w:rsid w:val="00C73640"/>
    <w:rsid w:val="00C75984"/>
    <w:rsid w:val="00C77854"/>
    <w:rsid w:val="00C828E5"/>
    <w:rsid w:val="00C84727"/>
    <w:rsid w:val="00C84C3A"/>
    <w:rsid w:val="00C85501"/>
    <w:rsid w:val="00C85579"/>
    <w:rsid w:val="00C9449D"/>
    <w:rsid w:val="00CA2F02"/>
    <w:rsid w:val="00CA2F9F"/>
    <w:rsid w:val="00CA6AD5"/>
    <w:rsid w:val="00CD15A7"/>
    <w:rsid w:val="00CE1C55"/>
    <w:rsid w:val="00CE5FEE"/>
    <w:rsid w:val="00D02105"/>
    <w:rsid w:val="00D0464B"/>
    <w:rsid w:val="00D13D50"/>
    <w:rsid w:val="00D1698C"/>
    <w:rsid w:val="00D16F68"/>
    <w:rsid w:val="00D30C64"/>
    <w:rsid w:val="00D4436A"/>
    <w:rsid w:val="00D461C5"/>
    <w:rsid w:val="00D5235C"/>
    <w:rsid w:val="00D548C3"/>
    <w:rsid w:val="00D56AEB"/>
    <w:rsid w:val="00D60192"/>
    <w:rsid w:val="00D6364B"/>
    <w:rsid w:val="00D711E4"/>
    <w:rsid w:val="00D77061"/>
    <w:rsid w:val="00D864CA"/>
    <w:rsid w:val="00D876A8"/>
    <w:rsid w:val="00D914BD"/>
    <w:rsid w:val="00D93480"/>
    <w:rsid w:val="00DA05F4"/>
    <w:rsid w:val="00DA3C03"/>
    <w:rsid w:val="00DB0147"/>
    <w:rsid w:val="00DC26F4"/>
    <w:rsid w:val="00DC2B7E"/>
    <w:rsid w:val="00DC69D1"/>
    <w:rsid w:val="00DD0E88"/>
    <w:rsid w:val="00DD1FCA"/>
    <w:rsid w:val="00DE2030"/>
    <w:rsid w:val="00DE5981"/>
    <w:rsid w:val="00DF1831"/>
    <w:rsid w:val="00DF6DD6"/>
    <w:rsid w:val="00E10DDC"/>
    <w:rsid w:val="00E152A7"/>
    <w:rsid w:val="00E26D41"/>
    <w:rsid w:val="00E34799"/>
    <w:rsid w:val="00E436C3"/>
    <w:rsid w:val="00E43D89"/>
    <w:rsid w:val="00E51409"/>
    <w:rsid w:val="00E5417F"/>
    <w:rsid w:val="00E54994"/>
    <w:rsid w:val="00E61848"/>
    <w:rsid w:val="00E72798"/>
    <w:rsid w:val="00E75237"/>
    <w:rsid w:val="00E85099"/>
    <w:rsid w:val="00E869EB"/>
    <w:rsid w:val="00E873B3"/>
    <w:rsid w:val="00E929A1"/>
    <w:rsid w:val="00EA3BE5"/>
    <w:rsid w:val="00EB1CB6"/>
    <w:rsid w:val="00EB2847"/>
    <w:rsid w:val="00EB528D"/>
    <w:rsid w:val="00EB7238"/>
    <w:rsid w:val="00ED1D7F"/>
    <w:rsid w:val="00EE311E"/>
    <w:rsid w:val="00EE317E"/>
    <w:rsid w:val="00EE4FFD"/>
    <w:rsid w:val="00EE5368"/>
    <w:rsid w:val="00EF3C51"/>
    <w:rsid w:val="00EF5E3C"/>
    <w:rsid w:val="00F001D3"/>
    <w:rsid w:val="00F127FA"/>
    <w:rsid w:val="00F13C08"/>
    <w:rsid w:val="00F150A3"/>
    <w:rsid w:val="00F32B51"/>
    <w:rsid w:val="00F36D29"/>
    <w:rsid w:val="00F371C8"/>
    <w:rsid w:val="00F470A5"/>
    <w:rsid w:val="00F50AAE"/>
    <w:rsid w:val="00F60396"/>
    <w:rsid w:val="00F634A8"/>
    <w:rsid w:val="00F7298E"/>
    <w:rsid w:val="00F76CCA"/>
    <w:rsid w:val="00F866AD"/>
    <w:rsid w:val="00F87849"/>
    <w:rsid w:val="00F95D12"/>
    <w:rsid w:val="00FA5036"/>
    <w:rsid w:val="00FA5C88"/>
    <w:rsid w:val="00FA62AA"/>
    <w:rsid w:val="00FB1FB9"/>
    <w:rsid w:val="00FB50DF"/>
    <w:rsid w:val="00FC0202"/>
    <w:rsid w:val="00FC4BE0"/>
    <w:rsid w:val="00FD4896"/>
    <w:rsid w:val="00FD788F"/>
    <w:rsid w:val="00FE7E8C"/>
    <w:rsid w:val="00FF15B2"/>
    <w:rsid w:val="00FF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AA79A43-4F1C-434B-88A2-2931D32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137554095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F9872-D4E3-4A95-A648-A0842F1B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2070</Words>
  <Characters>12216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14258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87</cp:revision>
  <cp:lastPrinted>2016-10-04T05:53:00Z</cp:lastPrinted>
  <dcterms:created xsi:type="dcterms:W3CDTF">2016-01-27T07:19:00Z</dcterms:created>
  <dcterms:modified xsi:type="dcterms:W3CDTF">2016-10-06T12:31:00Z</dcterms:modified>
</cp:coreProperties>
</file>