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Customer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Vendor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TLK-Thermo GmbH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Hans-Sommer-Strasse 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38106 Braunschweig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Germany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DE813779573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Method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Terms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 days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Document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23. 10. 2017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Ship-to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Expected Receipt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Mr. Jiří Kohutka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Your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Job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All invoices must have a valid purchase order number in order to get paid.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No.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Description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Quantity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UoM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Unit Price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Discount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VAT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Line Amount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TISC Suite - SW package for coupling, rental for 2 years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2 160,00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2 160,00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(Specifications in the Annex-Offer AN-17122)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Amount total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2 160,00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Approved by: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Prepared by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Mgr. Jiří KOHUTKA,  Phone No.: 266173541,email: Jiri.Kohutka@cvrez.cz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Issued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Phone No.: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atLeas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Order 17NO01912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