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4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467"/>
        <w:gridCol w:w="468"/>
        <w:gridCol w:w="748"/>
        <w:gridCol w:w="281"/>
        <w:gridCol w:w="2526"/>
        <w:gridCol w:w="561"/>
        <w:gridCol w:w="1309"/>
        <w:gridCol w:w="1310"/>
        <w:gridCol w:w="1497"/>
      </w:tblGrid>
      <w:tr w:rsidR="00D42EB1">
        <w:trPr>
          <w:cantSplit/>
        </w:trPr>
        <w:tc>
          <w:tcPr>
            <w:tcW w:w="187" w:type="dxa"/>
          </w:tcPr>
          <w:p w:rsidR="00D42EB1" w:rsidRDefault="00D42EB1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  <w:tc>
          <w:tcPr>
            <w:tcW w:w="1964" w:type="dxa"/>
            <w:gridSpan w:val="4"/>
          </w:tcPr>
          <w:p w:rsidR="00D42EB1" w:rsidRDefault="0006784C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3" w:type="dxa"/>
            <w:gridSpan w:val="5"/>
          </w:tcPr>
          <w:p w:rsidR="00D42EB1" w:rsidRDefault="00D42EB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D42EB1">
        <w:trPr>
          <w:cantSplit/>
        </w:trPr>
        <w:tc>
          <w:tcPr>
            <w:tcW w:w="187" w:type="dxa"/>
          </w:tcPr>
          <w:p w:rsidR="00D42EB1" w:rsidRDefault="00D42EB1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  <w:tc>
          <w:tcPr>
            <w:tcW w:w="1964" w:type="dxa"/>
            <w:gridSpan w:val="4"/>
          </w:tcPr>
          <w:p w:rsidR="00D42EB1" w:rsidRDefault="00D42EB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7203" w:type="dxa"/>
            <w:gridSpan w:val="5"/>
            <w:vAlign w:val="center"/>
          </w:tcPr>
          <w:p w:rsidR="00D42EB1" w:rsidRDefault="0006784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D42EB1">
        <w:trPr>
          <w:cantSplit/>
        </w:trPr>
        <w:tc>
          <w:tcPr>
            <w:tcW w:w="2151" w:type="dxa"/>
            <w:gridSpan w:val="5"/>
          </w:tcPr>
          <w:p w:rsidR="00D42EB1" w:rsidRDefault="00D42EB1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3" w:type="dxa"/>
            <w:gridSpan w:val="5"/>
            <w:vAlign w:val="center"/>
          </w:tcPr>
          <w:p w:rsidR="00D42EB1" w:rsidRDefault="0006784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D42EB1">
        <w:trPr>
          <w:cantSplit/>
        </w:trPr>
        <w:tc>
          <w:tcPr>
            <w:tcW w:w="9354" w:type="dxa"/>
            <w:gridSpan w:val="10"/>
          </w:tcPr>
          <w:p w:rsidR="00D42EB1" w:rsidRDefault="00D42EB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D42EB1">
        <w:trPr>
          <w:cantSplit/>
        </w:trPr>
        <w:tc>
          <w:tcPr>
            <w:tcW w:w="9354" w:type="dxa"/>
            <w:gridSpan w:val="10"/>
          </w:tcPr>
          <w:p w:rsidR="00D42EB1" w:rsidRDefault="00D42EB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D42EB1">
        <w:trPr>
          <w:cantSplit/>
        </w:trPr>
        <w:tc>
          <w:tcPr>
            <w:tcW w:w="9354" w:type="dxa"/>
            <w:gridSpan w:val="10"/>
          </w:tcPr>
          <w:p w:rsidR="00D42EB1" w:rsidRDefault="00D42EB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D42EB1">
        <w:trPr>
          <w:cantSplit/>
          <w:trHeight w:hRule="exact" w:val="283"/>
        </w:trPr>
        <w:tc>
          <w:tcPr>
            <w:tcW w:w="5238" w:type="dxa"/>
            <w:gridSpan w:val="7"/>
            <w:vAlign w:val="center"/>
          </w:tcPr>
          <w:p w:rsidR="00D42EB1" w:rsidRDefault="0006784C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6" w:type="dxa"/>
            <w:gridSpan w:val="3"/>
            <w:vAlign w:val="center"/>
          </w:tcPr>
          <w:p w:rsidR="00D42EB1" w:rsidRDefault="0006784C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D42EB1">
        <w:trPr>
          <w:cantSplit/>
          <w:trHeight w:hRule="exact" w:val="283"/>
        </w:trPr>
        <w:tc>
          <w:tcPr>
            <w:tcW w:w="5238" w:type="dxa"/>
            <w:gridSpan w:val="7"/>
            <w:vAlign w:val="center"/>
          </w:tcPr>
          <w:p w:rsidR="00D42EB1" w:rsidRDefault="0006784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6" w:type="dxa"/>
            <w:gridSpan w:val="3"/>
            <w:vAlign w:val="center"/>
          </w:tcPr>
          <w:p w:rsidR="00D42EB1" w:rsidRDefault="0006784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Ing. Aleš Hlavatý</w:t>
            </w:r>
          </w:p>
        </w:tc>
      </w:tr>
      <w:tr w:rsidR="00D42EB1">
        <w:trPr>
          <w:cantSplit/>
          <w:trHeight w:hRule="exact" w:val="283"/>
        </w:trPr>
        <w:tc>
          <w:tcPr>
            <w:tcW w:w="5238" w:type="dxa"/>
            <w:gridSpan w:val="7"/>
            <w:vAlign w:val="center"/>
          </w:tcPr>
          <w:p w:rsidR="00D42EB1" w:rsidRDefault="0006784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6" w:type="dxa"/>
            <w:gridSpan w:val="3"/>
            <w:vAlign w:val="center"/>
          </w:tcPr>
          <w:p w:rsidR="00D42EB1" w:rsidRDefault="0006784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Husova 1848</w:t>
            </w:r>
          </w:p>
        </w:tc>
      </w:tr>
      <w:tr w:rsidR="00D42EB1">
        <w:trPr>
          <w:cantSplit/>
          <w:trHeight w:hRule="exact" w:val="283"/>
        </w:trPr>
        <w:tc>
          <w:tcPr>
            <w:tcW w:w="5238" w:type="dxa"/>
            <w:gridSpan w:val="7"/>
            <w:vAlign w:val="center"/>
          </w:tcPr>
          <w:p w:rsidR="00D42EB1" w:rsidRDefault="0006784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6" w:type="dxa"/>
            <w:gridSpan w:val="3"/>
            <w:vAlign w:val="center"/>
          </w:tcPr>
          <w:p w:rsidR="00D42EB1" w:rsidRDefault="0006784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53003 Pardubice</w:t>
            </w:r>
          </w:p>
        </w:tc>
      </w:tr>
      <w:tr w:rsidR="00D42EB1">
        <w:trPr>
          <w:cantSplit/>
          <w:trHeight w:hRule="exact" w:val="283"/>
        </w:trPr>
        <w:tc>
          <w:tcPr>
            <w:tcW w:w="5238" w:type="dxa"/>
            <w:gridSpan w:val="7"/>
            <w:vAlign w:val="center"/>
          </w:tcPr>
          <w:p w:rsidR="00D42EB1" w:rsidRDefault="0006784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6" w:type="dxa"/>
            <w:gridSpan w:val="3"/>
            <w:vAlign w:val="center"/>
          </w:tcPr>
          <w:p w:rsidR="00D42EB1" w:rsidRDefault="0006784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88517021</w:t>
            </w:r>
          </w:p>
        </w:tc>
      </w:tr>
      <w:tr w:rsidR="00D42EB1">
        <w:trPr>
          <w:cantSplit/>
          <w:trHeight w:hRule="exact" w:val="283"/>
        </w:trPr>
        <w:tc>
          <w:tcPr>
            <w:tcW w:w="5238" w:type="dxa"/>
            <w:gridSpan w:val="7"/>
            <w:vAlign w:val="center"/>
          </w:tcPr>
          <w:p w:rsidR="00D42EB1" w:rsidRDefault="0006784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6" w:type="dxa"/>
            <w:gridSpan w:val="3"/>
            <w:vAlign w:val="center"/>
          </w:tcPr>
          <w:p w:rsidR="00D42EB1" w:rsidRDefault="0006784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CZ7703283313</w:t>
            </w:r>
          </w:p>
        </w:tc>
      </w:tr>
      <w:tr w:rsidR="00D42EB1">
        <w:trPr>
          <w:cantSplit/>
          <w:trHeight w:hRule="exact" w:val="283"/>
        </w:trPr>
        <w:tc>
          <w:tcPr>
            <w:tcW w:w="5238" w:type="dxa"/>
            <w:gridSpan w:val="7"/>
            <w:vAlign w:val="center"/>
          </w:tcPr>
          <w:p w:rsidR="00D42EB1" w:rsidRDefault="0006784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6" w:type="dxa"/>
            <w:gridSpan w:val="3"/>
          </w:tcPr>
          <w:p w:rsidR="00D42EB1" w:rsidRDefault="00D42EB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D42EB1">
        <w:trPr>
          <w:cantSplit/>
          <w:trHeight w:hRule="exact" w:val="283"/>
        </w:trPr>
        <w:tc>
          <w:tcPr>
            <w:tcW w:w="5238" w:type="dxa"/>
            <w:gridSpan w:val="7"/>
          </w:tcPr>
          <w:p w:rsidR="00D42EB1" w:rsidRDefault="0006784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326 561/0100</w:t>
            </w:r>
          </w:p>
        </w:tc>
        <w:tc>
          <w:tcPr>
            <w:tcW w:w="4116" w:type="dxa"/>
            <w:gridSpan w:val="3"/>
          </w:tcPr>
          <w:p w:rsidR="00D42EB1" w:rsidRDefault="00D42EB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D42EB1">
        <w:trPr>
          <w:cantSplit/>
          <w:trHeight w:hRule="exact" w:val="283"/>
        </w:trPr>
        <w:tc>
          <w:tcPr>
            <w:tcW w:w="9354" w:type="dxa"/>
            <w:gridSpan w:val="10"/>
          </w:tcPr>
          <w:p w:rsidR="00D42EB1" w:rsidRDefault="00D42EB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D42EB1">
        <w:trPr>
          <w:cantSplit/>
        </w:trPr>
        <w:tc>
          <w:tcPr>
            <w:tcW w:w="9354" w:type="dxa"/>
            <w:gridSpan w:val="10"/>
          </w:tcPr>
          <w:p w:rsidR="00D42EB1" w:rsidRDefault="0006784C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OBJ/01980/17</w:t>
            </w:r>
          </w:p>
        </w:tc>
      </w:tr>
      <w:tr w:rsidR="00D42EB1">
        <w:trPr>
          <w:cantSplit/>
          <w:trHeight w:hRule="exact" w:val="283"/>
        </w:trPr>
        <w:tc>
          <w:tcPr>
            <w:tcW w:w="9354" w:type="dxa"/>
            <w:gridSpan w:val="10"/>
          </w:tcPr>
          <w:p w:rsidR="00D42EB1" w:rsidRDefault="00D42EB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D42EB1">
        <w:trPr>
          <w:cantSplit/>
          <w:trHeight w:hRule="exact" w:val="283"/>
        </w:trPr>
        <w:tc>
          <w:tcPr>
            <w:tcW w:w="9354" w:type="dxa"/>
            <w:gridSpan w:val="10"/>
            <w:vAlign w:val="center"/>
          </w:tcPr>
          <w:p w:rsidR="00D42EB1" w:rsidRDefault="0006784C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D42EB1">
        <w:trPr>
          <w:cantSplit/>
          <w:trHeight w:hRule="exact" w:val="283"/>
        </w:trPr>
        <w:tc>
          <w:tcPr>
            <w:tcW w:w="9354" w:type="dxa"/>
            <w:gridSpan w:val="10"/>
          </w:tcPr>
          <w:p w:rsidR="00D42EB1" w:rsidRDefault="00D42EB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D42EB1">
        <w:trPr>
          <w:cantSplit/>
          <w:trHeight w:hRule="exact" w:val="283"/>
        </w:trPr>
        <w:tc>
          <w:tcPr>
            <w:tcW w:w="654" w:type="dxa"/>
            <w:gridSpan w:val="2"/>
            <w:vAlign w:val="center"/>
          </w:tcPr>
          <w:p w:rsidR="00D42EB1" w:rsidRDefault="0006784C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3" w:type="dxa"/>
            <w:gridSpan w:val="6"/>
            <w:vAlign w:val="center"/>
          </w:tcPr>
          <w:p w:rsidR="00D42EB1" w:rsidRDefault="0006784C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10" w:type="dxa"/>
            <w:vAlign w:val="center"/>
          </w:tcPr>
          <w:p w:rsidR="00D42EB1" w:rsidRDefault="0006784C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:rsidR="00D42EB1" w:rsidRDefault="0006784C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D42EB1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B1" w:rsidRDefault="00D42EB1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2E" w:rsidRDefault="0006784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zpracování koncepční studie okolí u Domu hudby v Pardubicích.   Studie bude obsahovat:</w:t>
            </w:r>
          </w:p>
          <w:p w:rsidR="006D042E" w:rsidRDefault="0006784C" w:rsidP="006D042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sz w:val="21"/>
              </w:rPr>
            </w:pPr>
            <w:r w:rsidRPr="006D042E">
              <w:rPr>
                <w:rFonts w:ascii="Calibri" w:hAnsi="Calibri"/>
                <w:sz w:val="21"/>
              </w:rPr>
              <w:t>průvodní zpráv</w:t>
            </w:r>
            <w:r w:rsidR="006D042E" w:rsidRPr="006D042E">
              <w:rPr>
                <w:rFonts w:ascii="Calibri" w:hAnsi="Calibri"/>
                <w:sz w:val="21"/>
              </w:rPr>
              <w:t>u</w:t>
            </w:r>
          </w:p>
          <w:p w:rsidR="006D042E" w:rsidRDefault="006D042E" w:rsidP="006D042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c</w:t>
            </w:r>
            <w:r w:rsidR="0006784C" w:rsidRPr="006D042E">
              <w:rPr>
                <w:rFonts w:ascii="Calibri" w:hAnsi="Calibri"/>
                <w:sz w:val="21"/>
              </w:rPr>
              <w:t>elková architektonická situace řešeného území v M1:500</w:t>
            </w:r>
          </w:p>
          <w:p w:rsidR="006D042E" w:rsidRDefault="0006784C" w:rsidP="006D042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sz w:val="21"/>
              </w:rPr>
            </w:pPr>
            <w:r w:rsidRPr="006D042E">
              <w:rPr>
                <w:rFonts w:ascii="Calibri" w:hAnsi="Calibri"/>
                <w:sz w:val="21"/>
              </w:rPr>
              <w:t xml:space="preserve">dopravní situace řešeného území v M1:500 </w:t>
            </w:r>
          </w:p>
          <w:p w:rsidR="006D042E" w:rsidRPr="006D042E" w:rsidRDefault="0006784C" w:rsidP="006D042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sz w:val="21"/>
              </w:rPr>
            </w:pPr>
            <w:r w:rsidRPr="006D042E">
              <w:rPr>
                <w:rFonts w:ascii="Calibri" w:hAnsi="Calibri"/>
                <w:sz w:val="21"/>
              </w:rPr>
              <w:t>návrh konceptu osvětlení</w:t>
            </w:r>
          </w:p>
          <w:p w:rsidR="006C4006" w:rsidRDefault="006D042E" w:rsidP="006D042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  </w:t>
            </w:r>
            <w:r w:rsidR="0006784C">
              <w:rPr>
                <w:rFonts w:ascii="Calibri" w:hAnsi="Calibri"/>
                <w:sz w:val="21"/>
              </w:rPr>
              <w:t xml:space="preserve">  </w:t>
            </w:r>
            <w:r w:rsidR="006C4006">
              <w:rPr>
                <w:rFonts w:ascii="Calibri" w:hAnsi="Calibri"/>
                <w:sz w:val="21"/>
              </w:rPr>
              <w:t xml:space="preserve">    </w:t>
            </w:r>
            <w:r w:rsidR="0006784C">
              <w:rPr>
                <w:rFonts w:ascii="Calibri" w:hAnsi="Calibri"/>
                <w:sz w:val="21"/>
              </w:rPr>
              <w:t xml:space="preserve">- definice světelných tříd osvětlení uličního prostoru </w:t>
            </w:r>
          </w:p>
          <w:p w:rsidR="006C4006" w:rsidRDefault="006C4006" w:rsidP="006D042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          </w:t>
            </w:r>
            <w:r w:rsidR="0006784C">
              <w:rPr>
                <w:rFonts w:ascii="Calibri" w:hAnsi="Calibri"/>
                <w:sz w:val="21"/>
              </w:rPr>
              <w:t xml:space="preserve">(zohlednění bezpečnost, atmosféra, estetika)  </w:t>
            </w:r>
          </w:p>
          <w:p w:rsidR="006C4006" w:rsidRDefault="006C4006" w:rsidP="006D042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      </w:t>
            </w:r>
            <w:r w:rsidR="0006784C">
              <w:rPr>
                <w:rFonts w:ascii="Calibri" w:hAnsi="Calibri"/>
                <w:sz w:val="21"/>
              </w:rPr>
              <w:t xml:space="preserve">  - umístění svítidel, doporučený design    </w:t>
            </w:r>
          </w:p>
          <w:p w:rsidR="006C4006" w:rsidRDefault="006C4006" w:rsidP="006D042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        </w:t>
            </w:r>
            <w:r w:rsidR="0006784C">
              <w:rPr>
                <w:rFonts w:ascii="Calibri" w:hAnsi="Calibri"/>
                <w:sz w:val="21"/>
              </w:rPr>
              <w:t xml:space="preserve">- odborná konzultace se specialistou na městské VO, specialita </w:t>
            </w:r>
            <w:r>
              <w:rPr>
                <w:rFonts w:ascii="Calibri" w:hAnsi="Calibri"/>
                <w:sz w:val="21"/>
              </w:rPr>
              <w:t xml:space="preserve">   </w:t>
            </w:r>
          </w:p>
          <w:p w:rsidR="006C4006" w:rsidRDefault="006C4006" w:rsidP="006D042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          </w:t>
            </w:r>
            <w:r w:rsidR="0006784C">
              <w:rPr>
                <w:rFonts w:ascii="Calibri" w:hAnsi="Calibri"/>
                <w:sz w:val="21"/>
              </w:rPr>
              <w:t>dle doporučení zadavatele</w:t>
            </w:r>
          </w:p>
          <w:p w:rsidR="006C4006" w:rsidRDefault="0006784C" w:rsidP="006D042E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21"/>
              </w:rPr>
            </w:pPr>
            <w:r w:rsidRPr="006C4006">
              <w:rPr>
                <w:rFonts w:ascii="Calibri" w:hAnsi="Calibri"/>
                <w:sz w:val="21"/>
              </w:rPr>
              <w:t xml:space="preserve">mobiliář a povrchy  </w:t>
            </w:r>
          </w:p>
          <w:p w:rsidR="006C4006" w:rsidRDefault="0006784C" w:rsidP="006C4006">
            <w:pPr>
              <w:pStyle w:val="Odstavecseseznamem"/>
              <w:spacing w:after="0" w:line="240" w:lineRule="auto"/>
              <w:ind w:left="360"/>
              <w:rPr>
                <w:rFonts w:ascii="Calibri" w:hAnsi="Calibri"/>
                <w:sz w:val="21"/>
              </w:rPr>
            </w:pPr>
            <w:r w:rsidRPr="006C4006">
              <w:rPr>
                <w:rFonts w:ascii="Calibri" w:hAnsi="Calibri"/>
                <w:sz w:val="21"/>
              </w:rPr>
              <w:t>- dispoziční uspořádání, standard mobiliáře, detail řešení povrchů</w:t>
            </w:r>
          </w:p>
          <w:p w:rsidR="006C4006" w:rsidRDefault="0006784C" w:rsidP="006C400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21"/>
              </w:rPr>
            </w:pPr>
            <w:r w:rsidRPr="006C4006">
              <w:rPr>
                <w:rFonts w:ascii="Calibri" w:hAnsi="Calibri"/>
                <w:sz w:val="21"/>
              </w:rPr>
              <w:t xml:space="preserve">projednání studie s DOSS, správci sítí a organizacemi </w:t>
            </w:r>
          </w:p>
          <w:p w:rsidR="006C4006" w:rsidRDefault="0006784C" w:rsidP="006C4006">
            <w:pPr>
              <w:pStyle w:val="Odstavecseseznamem"/>
              <w:spacing w:after="0" w:line="240" w:lineRule="auto"/>
              <w:ind w:left="360"/>
              <w:rPr>
                <w:rFonts w:ascii="Calibri" w:hAnsi="Calibri"/>
                <w:sz w:val="21"/>
              </w:rPr>
            </w:pPr>
            <w:r w:rsidRPr="006C4006">
              <w:rPr>
                <w:rFonts w:ascii="Calibri" w:hAnsi="Calibri"/>
                <w:sz w:val="21"/>
              </w:rPr>
              <w:t xml:space="preserve">- OSA úsek památkové péče, OD </w:t>
            </w:r>
            <w:proofErr w:type="spellStart"/>
            <w:r w:rsidRPr="006C4006">
              <w:rPr>
                <w:rFonts w:ascii="Calibri" w:hAnsi="Calibri"/>
                <w:sz w:val="21"/>
              </w:rPr>
              <w:t>MmP</w:t>
            </w:r>
            <w:proofErr w:type="spellEnd"/>
            <w:r w:rsidRPr="006C4006">
              <w:rPr>
                <w:rFonts w:ascii="Calibri" w:hAnsi="Calibri"/>
                <w:sz w:val="21"/>
              </w:rPr>
              <w:t xml:space="preserve">, DI Policie ČR, Městský </w:t>
            </w:r>
            <w:r w:rsidR="006C4006">
              <w:rPr>
                <w:rFonts w:ascii="Calibri" w:hAnsi="Calibri"/>
                <w:sz w:val="21"/>
              </w:rPr>
              <w:t xml:space="preserve"> </w:t>
            </w:r>
          </w:p>
          <w:p w:rsidR="006C4006" w:rsidRDefault="006C4006" w:rsidP="006C4006">
            <w:pPr>
              <w:pStyle w:val="Odstavecseseznamem"/>
              <w:spacing w:after="0" w:line="240" w:lineRule="auto"/>
              <w:ind w:left="36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   </w:t>
            </w:r>
            <w:r w:rsidR="0006784C" w:rsidRPr="006C4006">
              <w:rPr>
                <w:rFonts w:ascii="Calibri" w:hAnsi="Calibri"/>
                <w:sz w:val="21"/>
              </w:rPr>
              <w:t xml:space="preserve">obvod Pardubice I, Krajský úřad </w:t>
            </w:r>
            <w:proofErr w:type="spellStart"/>
            <w:r w:rsidR="0006784C" w:rsidRPr="006C4006">
              <w:rPr>
                <w:rFonts w:ascii="Calibri" w:hAnsi="Calibri"/>
                <w:sz w:val="21"/>
              </w:rPr>
              <w:t>PKr</w:t>
            </w:r>
            <w:proofErr w:type="spellEnd"/>
            <w:r w:rsidR="0006784C" w:rsidRPr="006C4006">
              <w:rPr>
                <w:rFonts w:ascii="Calibri" w:hAnsi="Calibri"/>
                <w:sz w:val="21"/>
              </w:rPr>
              <w:t xml:space="preserve"> - Dům hudby (O. Teplý), </w:t>
            </w:r>
          </w:p>
          <w:p w:rsidR="006C4006" w:rsidRDefault="006C4006" w:rsidP="006C4006">
            <w:pPr>
              <w:pStyle w:val="Odstavecseseznamem"/>
              <w:spacing w:after="0" w:line="240" w:lineRule="auto"/>
              <w:ind w:left="36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   </w:t>
            </w:r>
            <w:r w:rsidR="0006784C" w:rsidRPr="006C4006">
              <w:rPr>
                <w:rFonts w:ascii="Calibri" w:hAnsi="Calibri"/>
                <w:sz w:val="21"/>
              </w:rPr>
              <w:t xml:space="preserve">vedení školy Střední škola potravinářství a služeb Pardubice     - případně s jinými DOSS </w:t>
            </w:r>
          </w:p>
          <w:p w:rsidR="006C4006" w:rsidRDefault="0006784C" w:rsidP="006C400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21"/>
              </w:rPr>
            </w:pPr>
            <w:r w:rsidRPr="006C4006">
              <w:rPr>
                <w:rFonts w:ascii="Calibri" w:hAnsi="Calibri"/>
                <w:sz w:val="21"/>
              </w:rPr>
              <w:t>stanovení systému dopravní obslužnosti řešeného území - parkování v</w:t>
            </w:r>
            <w:r w:rsidR="006C4006">
              <w:rPr>
                <w:rFonts w:ascii="Calibri" w:hAnsi="Calibri"/>
                <w:sz w:val="21"/>
              </w:rPr>
              <w:t> </w:t>
            </w:r>
            <w:r w:rsidRPr="006C4006">
              <w:rPr>
                <w:rFonts w:ascii="Calibri" w:hAnsi="Calibri"/>
                <w:sz w:val="21"/>
              </w:rPr>
              <w:t>lokalitě</w:t>
            </w:r>
          </w:p>
          <w:p w:rsidR="006C4006" w:rsidRDefault="0006784C" w:rsidP="006C400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21"/>
              </w:rPr>
            </w:pPr>
            <w:r w:rsidRPr="006C4006">
              <w:rPr>
                <w:rFonts w:ascii="Calibri" w:hAnsi="Calibri"/>
                <w:sz w:val="21"/>
              </w:rPr>
              <w:t>návrh odpadového hospodářství včetně projednání konceptu se společností Služby města Pardubice a.s.</w:t>
            </w:r>
          </w:p>
          <w:p w:rsidR="006C4006" w:rsidRDefault="0006784C" w:rsidP="006C400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21"/>
              </w:rPr>
            </w:pPr>
            <w:r w:rsidRPr="006C4006">
              <w:rPr>
                <w:rFonts w:ascii="Calibri" w:hAnsi="Calibri"/>
                <w:sz w:val="21"/>
              </w:rPr>
              <w:t>koordinace záměru se správci sítí technické infrastruktury</w:t>
            </w:r>
          </w:p>
          <w:p w:rsidR="006C4006" w:rsidRDefault="0006784C" w:rsidP="006C400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21"/>
              </w:rPr>
            </w:pPr>
            <w:r w:rsidRPr="006C4006">
              <w:rPr>
                <w:rFonts w:ascii="Calibri" w:hAnsi="Calibri"/>
                <w:sz w:val="21"/>
              </w:rPr>
              <w:t xml:space="preserve">návrh možností etapizace realizace a stanovení odhadu finančních nákladů stavebních úprav </w:t>
            </w:r>
          </w:p>
          <w:p w:rsidR="00D42EB1" w:rsidRDefault="0006784C" w:rsidP="006C400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21"/>
              </w:rPr>
            </w:pPr>
            <w:r w:rsidRPr="006C4006">
              <w:rPr>
                <w:rFonts w:ascii="Calibri" w:hAnsi="Calibri"/>
                <w:sz w:val="21"/>
              </w:rPr>
              <w:t>předpoklad dalších stupňů PD</w:t>
            </w:r>
          </w:p>
          <w:p w:rsidR="00CB1214" w:rsidRPr="00CB1214" w:rsidRDefault="00CB1214" w:rsidP="00CB121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Přílohou objednávky je vymezení zadání koncepční studie – hranice řešeného území.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B1" w:rsidRDefault="0006784C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98000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B1" w:rsidRDefault="0006784C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118580</w:t>
            </w:r>
          </w:p>
        </w:tc>
      </w:tr>
      <w:tr w:rsidR="00D42EB1">
        <w:trPr>
          <w:cantSplit/>
        </w:trPr>
        <w:tc>
          <w:tcPr>
            <w:tcW w:w="6547" w:type="dxa"/>
            <w:gridSpan w:val="8"/>
            <w:vAlign w:val="center"/>
          </w:tcPr>
          <w:p w:rsidR="00D42EB1" w:rsidRDefault="0006784C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B1" w:rsidRDefault="00D42EB1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B1" w:rsidRDefault="0006784C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118 580,00</w:t>
            </w:r>
          </w:p>
        </w:tc>
      </w:tr>
      <w:tr w:rsidR="00D42EB1">
        <w:trPr>
          <w:cantSplit/>
        </w:trPr>
        <w:tc>
          <w:tcPr>
            <w:tcW w:w="9354" w:type="dxa"/>
            <w:gridSpan w:val="10"/>
          </w:tcPr>
          <w:p w:rsidR="00D42EB1" w:rsidRDefault="00D42EB1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D42EB1">
        <w:trPr>
          <w:cantSplit/>
          <w:trHeight w:hRule="exact" w:val="283"/>
        </w:trPr>
        <w:tc>
          <w:tcPr>
            <w:tcW w:w="1122" w:type="dxa"/>
            <w:gridSpan w:val="3"/>
            <w:vAlign w:val="center"/>
          </w:tcPr>
          <w:p w:rsidR="00D42EB1" w:rsidRDefault="0006784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2" w:type="dxa"/>
            <w:gridSpan w:val="7"/>
            <w:vAlign w:val="center"/>
          </w:tcPr>
          <w:p w:rsidR="00D42EB1" w:rsidRDefault="006C4006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28.2.2018</w:t>
            </w:r>
            <w:proofErr w:type="gramEnd"/>
          </w:p>
        </w:tc>
      </w:tr>
      <w:tr w:rsidR="00D42EB1">
        <w:trPr>
          <w:cantSplit/>
        </w:trPr>
        <w:tc>
          <w:tcPr>
            <w:tcW w:w="1122" w:type="dxa"/>
            <w:gridSpan w:val="3"/>
          </w:tcPr>
          <w:p w:rsidR="00D42EB1" w:rsidRDefault="0006784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lastRenderedPageBreak/>
              <w:t>Poznámka:</w:t>
            </w:r>
          </w:p>
        </w:tc>
        <w:tc>
          <w:tcPr>
            <w:tcW w:w="8232" w:type="dxa"/>
            <w:gridSpan w:val="7"/>
            <w:vAlign w:val="center"/>
          </w:tcPr>
          <w:p w:rsidR="00D42EB1" w:rsidRDefault="0006784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Faktura musí obsahovat náležitosti daňového dokladu v souladu s platnými daňovými předpisy. „Dodavatel prohlašuje, že v okamžiku uskutečnění zdanitelného plnění nebude/není nespolehlivým plátcem. V případě nesplnění těchto podmínek bude Statutární město Pardubice dodavateli hradit pouze částku ve výši základu daně a DPH bude odvedeno místně příslušnému správci daně dodavatele.</w:t>
            </w:r>
            <w:r>
              <w:rPr>
                <w:rFonts w:ascii="Calibri" w:hAnsi="Calibri"/>
                <w:sz w:val="21"/>
              </w:rPr>
              <w:br/>
              <w:t xml:space="preserve">Na faktuře uvádějte prosím vždy číslo objednávky. Faktury je možné zasílat i na email faktury@mmp.cz. </w:t>
            </w:r>
            <w:proofErr w:type="gramStart"/>
            <w:r>
              <w:rPr>
                <w:rFonts w:ascii="Calibri" w:hAnsi="Calibri"/>
                <w:sz w:val="21"/>
              </w:rPr>
              <w:t>Děkujeme</w:t>
            </w:r>
            <w:proofErr w:type="gramEnd"/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odešle smlouvu k řádnému uveřejnění do registru smluv vedeného Ministerstvem vnitra ČR.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strany se dohodly, že smlouva bude uveřejněna bez těchto údajů. Dále se smluvní strany dohodly, že smlouva bude uveřejněna bez podpisů.</w:t>
            </w:r>
          </w:p>
        </w:tc>
      </w:tr>
      <w:tr w:rsidR="00D42EB1">
        <w:trPr>
          <w:cantSplit/>
          <w:trHeight w:hRule="exact" w:val="283"/>
        </w:trPr>
        <w:tc>
          <w:tcPr>
            <w:tcW w:w="9354" w:type="dxa"/>
            <w:gridSpan w:val="10"/>
          </w:tcPr>
          <w:p w:rsidR="00D42EB1" w:rsidRDefault="00D42EB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D42EB1">
        <w:trPr>
          <w:cantSplit/>
          <w:trHeight w:hRule="exact" w:val="283"/>
        </w:trPr>
        <w:tc>
          <w:tcPr>
            <w:tcW w:w="9354" w:type="dxa"/>
            <w:gridSpan w:val="10"/>
          </w:tcPr>
          <w:p w:rsidR="00D42EB1" w:rsidRDefault="00D42EB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D42EB1">
        <w:trPr>
          <w:cantSplit/>
          <w:trHeight w:hRule="exact" w:val="283"/>
        </w:trPr>
        <w:tc>
          <w:tcPr>
            <w:tcW w:w="1870" w:type="dxa"/>
            <w:gridSpan w:val="4"/>
            <w:vAlign w:val="center"/>
          </w:tcPr>
          <w:p w:rsidR="00D42EB1" w:rsidRDefault="0006784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4" w:type="dxa"/>
            <w:gridSpan w:val="6"/>
            <w:vAlign w:val="center"/>
          </w:tcPr>
          <w:p w:rsidR="00D42EB1" w:rsidRDefault="0006784C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02.11.2017</w:t>
            </w:r>
            <w:proofErr w:type="gramEnd"/>
          </w:p>
        </w:tc>
      </w:tr>
      <w:tr w:rsidR="00D42EB1">
        <w:trPr>
          <w:cantSplit/>
          <w:trHeight w:hRule="exact" w:val="283"/>
        </w:trPr>
        <w:tc>
          <w:tcPr>
            <w:tcW w:w="9354" w:type="dxa"/>
            <w:gridSpan w:val="10"/>
          </w:tcPr>
          <w:p w:rsidR="00D42EB1" w:rsidRDefault="00D42EB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D42EB1">
        <w:trPr>
          <w:cantSplit/>
          <w:trHeight w:hRule="exact" w:val="283"/>
        </w:trPr>
        <w:tc>
          <w:tcPr>
            <w:tcW w:w="9354" w:type="dxa"/>
            <w:gridSpan w:val="10"/>
          </w:tcPr>
          <w:p w:rsidR="00D42EB1" w:rsidRDefault="00D42EB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D42EB1">
        <w:trPr>
          <w:cantSplit/>
        </w:trPr>
        <w:tc>
          <w:tcPr>
            <w:tcW w:w="9354" w:type="dxa"/>
            <w:gridSpan w:val="10"/>
          </w:tcPr>
          <w:p w:rsidR="00D42EB1" w:rsidRDefault="00D42EB1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  <w:p w:rsidR="0006784C" w:rsidRDefault="0006784C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D42EB1">
        <w:trPr>
          <w:cantSplit/>
          <w:trHeight w:hRule="exact" w:val="283"/>
        </w:trPr>
        <w:tc>
          <w:tcPr>
            <w:tcW w:w="4677" w:type="dxa"/>
            <w:gridSpan w:val="6"/>
            <w:vAlign w:val="center"/>
          </w:tcPr>
          <w:p w:rsidR="00D42EB1" w:rsidRDefault="0006784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7" w:type="dxa"/>
            <w:gridSpan w:val="4"/>
            <w:vAlign w:val="center"/>
          </w:tcPr>
          <w:p w:rsidR="00D42EB1" w:rsidRDefault="0006784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D42EB1">
        <w:trPr>
          <w:cantSplit/>
        </w:trPr>
        <w:tc>
          <w:tcPr>
            <w:tcW w:w="9354" w:type="dxa"/>
            <w:gridSpan w:val="10"/>
          </w:tcPr>
          <w:p w:rsidR="00D42EB1" w:rsidRDefault="0006784C">
            <w:pPr>
              <w:spacing w:after="0" w:line="240" w:lineRule="auto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 xml:space="preserve">Mgr. Blanka </w:t>
            </w:r>
            <w:proofErr w:type="gramStart"/>
            <w:r>
              <w:rPr>
                <w:rFonts w:ascii="Calibri" w:hAnsi="Calibri"/>
                <w:sz w:val="17"/>
              </w:rPr>
              <w:t>Konstantinová                                                                         Ing.</w:t>
            </w:r>
            <w:proofErr w:type="gramEnd"/>
            <w:r>
              <w:rPr>
                <w:rFonts w:ascii="Calibri" w:hAnsi="Calibri"/>
                <w:sz w:val="17"/>
              </w:rPr>
              <w:t xml:space="preserve"> arch. Zuzana Kavalírová </w:t>
            </w:r>
          </w:p>
          <w:p w:rsidR="0006784C" w:rsidRDefault="0006784C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D42EB1">
        <w:trPr>
          <w:cantSplit/>
        </w:trPr>
        <w:tc>
          <w:tcPr>
            <w:tcW w:w="9354" w:type="dxa"/>
            <w:gridSpan w:val="10"/>
          </w:tcPr>
          <w:p w:rsidR="00D42EB1" w:rsidRDefault="00D42EB1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D42EB1">
        <w:trPr>
          <w:cantSplit/>
          <w:trHeight w:hRule="exact" w:val="283"/>
        </w:trPr>
        <w:tc>
          <w:tcPr>
            <w:tcW w:w="9354" w:type="dxa"/>
            <w:gridSpan w:val="10"/>
            <w:vAlign w:val="center"/>
          </w:tcPr>
          <w:p w:rsidR="00D42EB1" w:rsidRDefault="0006784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</w:t>
            </w:r>
          </w:p>
        </w:tc>
      </w:tr>
      <w:tr w:rsidR="00D42EB1">
        <w:trPr>
          <w:cantSplit/>
          <w:trHeight w:hRule="exact" w:val="283"/>
        </w:trPr>
        <w:tc>
          <w:tcPr>
            <w:tcW w:w="9354" w:type="dxa"/>
            <w:gridSpan w:val="10"/>
            <w:vAlign w:val="center"/>
          </w:tcPr>
          <w:p w:rsidR="00D42EB1" w:rsidRDefault="0006784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Ing. arch. Vacík Štěpán</w:t>
            </w:r>
          </w:p>
        </w:tc>
      </w:tr>
      <w:tr w:rsidR="00D42EB1">
        <w:trPr>
          <w:cantSplit/>
          <w:trHeight w:hRule="exact" w:val="283"/>
        </w:trPr>
        <w:tc>
          <w:tcPr>
            <w:tcW w:w="9354" w:type="dxa"/>
            <w:gridSpan w:val="10"/>
            <w:vAlign w:val="center"/>
          </w:tcPr>
          <w:p w:rsidR="00D42EB1" w:rsidRDefault="0006784C" w:rsidP="0006784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466 859 204 | Email: Stepa</w:t>
            </w:r>
            <w:r w:rsidR="003F3DB7">
              <w:rPr>
                <w:rFonts w:ascii="Calibri" w:hAnsi="Calibri"/>
                <w:sz w:val="21"/>
              </w:rPr>
              <w:t>n</w:t>
            </w:r>
            <w:r>
              <w:rPr>
                <w:rFonts w:ascii="Calibri" w:hAnsi="Calibri"/>
                <w:sz w:val="21"/>
              </w:rPr>
              <w:t>.Vacik@mmp.cz</w:t>
            </w:r>
          </w:p>
        </w:tc>
      </w:tr>
      <w:tr w:rsidR="00D42EB1">
        <w:trPr>
          <w:cantSplit/>
        </w:trPr>
        <w:tc>
          <w:tcPr>
            <w:tcW w:w="9354" w:type="dxa"/>
            <w:gridSpan w:val="10"/>
          </w:tcPr>
          <w:p w:rsidR="00D42EB1" w:rsidRDefault="00D42EB1">
            <w:pPr>
              <w:spacing w:after="0" w:line="240" w:lineRule="auto"/>
              <w:rPr>
                <w:rFonts w:ascii="Calibri" w:hAnsi="Calibri"/>
                <w:sz w:val="17"/>
              </w:rPr>
            </w:pPr>
            <w:bookmarkStart w:id="0" w:name="_GoBack"/>
            <w:bookmarkEnd w:id="0"/>
          </w:p>
        </w:tc>
      </w:tr>
      <w:tr w:rsidR="00D42EB1">
        <w:trPr>
          <w:cantSplit/>
        </w:trPr>
        <w:tc>
          <w:tcPr>
            <w:tcW w:w="9354" w:type="dxa"/>
            <w:gridSpan w:val="10"/>
          </w:tcPr>
          <w:p w:rsidR="00D42EB1" w:rsidRDefault="00D42EB1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D42EB1">
        <w:trPr>
          <w:cantSplit/>
        </w:trPr>
        <w:tc>
          <w:tcPr>
            <w:tcW w:w="9354" w:type="dxa"/>
            <w:gridSpan w:val="10"/>
          </w:tcPr>
          <w:p w:rsidR="00D42EB1" w:rsidRDefault="00D42EB1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D42EB1">
        <w:trPr>
          <w:cantSplit/>
          <w:trHeight w:hRule="exact" w:val="283"/>
        </w:trPr>
        <w:tc>
          <w:tcPr>
            <w:tcW w:w="9354" w:type="dxa"/>
            <w:gridSpan w:val="10"/>
            <w:vAlign w:val="center"/>
          </w:tcPr>
          <w:p w:rsidR="00D42EB1" w:rsidRDefault="0006784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D42EB1">
        <w:trPr>
          <w:cantSplit/>
        </w:trPr>
        <w:tc>
          <w:tcPr>
            <w:tcW w:w="9354" w:type="dxa"/>
            <w:gridSpan w:val="10"/>
          </w:tcPr>
          <w:p w:rsidR="00D42EB1" w:rsidRDefault="00D42EB1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</w:tbl>
    <w:p w:rsidR="00196552" w:rsidRDefault="00196552"/>
    <w:p w:rsidR="00CB1214" w:rsidRDefault="00CB1214"/>
    <w:p w:rsidR="00CB1214" w:rsidRDefault="00CB1214"/>
    <w:p w:rsidR="00CB1214" w:rsidRDefault="00CB1214"/>
    <w:p w:rsidR="00CB1214" w:rsidRDefault="00CB1214"/>
    <w:p w:rsidR="00CB1214" w:rsidRDefault="00CB1214"/>
    <w:p w:rsidR="00CB1214" w:rsidRDefault="00CB1214"/>
    <w:p w:rsidR="00CB1214" w:rsidRDefault="00CB1214"/>
    <w:p w:rsidR="00CB1214" w:rsidRDefault="00CB1214"/>
    <w:p w:rsidR="00CB1214" w:rsidRDefault="00CB1214"/>
    <w:p w:rsidR="00CB1214" w:rsidRDefault="00CB1214"/>
    <w:p w:rsidR="00CB1214" w:rsidRDefault="00CB1214"/>
    <w:p w:rsidR="00CB1214" w:rsidRDefault="00CB1214"/>
    <w:p w:rsidR="00CB1214" w:rsidRDefault="00CB1214" w:rsidP="00CB1214"/>
    <w:sectPr w:rsidR="00CB1214">
      <w:pgSz w:w="11906" w:h="16838"/>
      <w:pgMar w:top="566" w:right="1419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A3512"/>
    <w:multiLevelType w:val="hybridMultilevel"/>
    <w:tmpl w:val="5D8C59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9182826"/>
    <w:multiLevelType w:val="hybridMultilevel"/>
    <w:tmpl w:val="F5CEA44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D42EB1"/>
    <w:rsid w:val="0006784C"/>
    <w:rsid w:val="00196552"/>
    <w:rsid w:val="003F3DB7"/>
    <w:rsid w:val="006C4006"/>
    <w:rsid w:val="006D042E"/>
    <w:rsid w:val="00BE5AE4"/>
    <w:rsid w:val="00CB1214"/>
    <w:rsid w:val="00D4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042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B1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12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042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B1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12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465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Konstantinová Blanka</dc:creator>
  <cp:lastModifiedBy>Konstantinová Blanka</cp:lastModifiedBy>
  <cp:revision>3</cp:revision>
  <dcterms:created xsi:type="dcterms:W3CDTF">2017-11-02T09:03:00Z</dcterms:created>
  <dcterms:modified xsi:type="dcterms:W3CDTF">2017-11-02T11:29:00Z</dcterms:modified>
</cp:coreProperties>
</file>