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25" w:rsidRPr="00EB0249" w:rsidRDefault="00D23925" w:rsidP="00F300EA">
      <w:pPr>
        <w:rPr>
          <w:b/>
          <w:sz w:val="24"/>
          <w:szCs w:val="24"/>
          <w:u w:val="single"/>
        </w:rPr>
      </w:pPr>
      <w:r>
        <w:rPr>
          <w:sz w:val="24"/>
          <w:szCs w:val="24"/>
        </w:rPr>
        <w:t>Níže uvedeného dne, mě</w:t>
      </w:r>
      <w:bookmarkStart w:id="0" w:name="_GoBack"/>
      <w:bookmarkEnd w:id="0"/>
      <w:r>
        <w:rPr>
          <w:sz w:val="24"/>
          <w:szCs w:val="24"/>
        </w:rPr>
        <w:t xml:space="preserve">síce a roku uzavřeli                                                       </w:t>
      </w:r>
    </w:p>
    <w:p w:rsidR="00D23925" w:rsidRDefault="00D23925" w:rsidP="00F300EA">
      <w:pPr>
        <w:rPr>
          <w:sz w:val="24"/>
          <w:szCs w:val="24"/>
        </w:rPr>
      </w:pPr>
    </w:p>
    <w:p w:rsidR="00D23925" w:rsidRDefault="00D23925" w:rsidP="00F300EA">
      <w:pPr>
        <w:pStyle w:val="Nadpis2"/>
        <w:rPr>
          <w:rFonts w:ascii="Times New Roman" w:hAnsi="Times New Roman" w:cs="Times New Roman"/>
          <w:i w:val="0"/>
          <w:iCs w:val="0"/>
          <w:sz w:val="24"/>
          <w:szCs w:val="24"/>
        </w:rPr>
      </w:pPr>
      <w:r>
        <w:rPr>
          <w:rFonts w:ascii="Times New Roman" w:hAnsi="Times New Roman" w:cs="Times New Roman"/>
          <w:i w:val="0"/>
          <w:iCs w:val="0"/>
          <w:sz w:val="24"/>
          <w:szCs w:val="24"/>
        </w:rPr>
        <w:t>UNIVERZITA KARLOVA V PRAZE</w:t>
      </w:r>
    </w:p>
    <w:p w:rsidR="00D23925" w:rsidRPr="00826D93" w:rsidRDefault="00D23925" w:rsidP="00F300EA">
      <w:r w:rsidRPr="00826D93">
        <w:rPr>
          <w:bCs/>
          <w:sz w:val="24"/>
          <w:szCs w:val="24"/>
        </w:rPr>
        <w:t>Správ</w:t>
      </w:r>
      <w:r>
        <w:rPr>
          <w:bCs/>
          <w:sz w:val="24"/>
          <w:szCs w:val="24"/>
        </w:rPr>
        <w:t>a</w:t>
      </w:r>
      <w:r w:rsidRPr="00826D93">
        <w:rPr>
          <w:bCs/>
          <w:sz w:val="24"/>
          <w:szCs w:val="24"/>
        </w:rPr>
        <w:t xml:space="preserve"> budov a zařízení</w:t>
      </w:r>
    </w:p>
    <w:p w:rsidR="00D23925" w:rsidRDefault="00D23925" w:rsidP="00F300EA">
      <w:pPr>
        <w:rPr>
          <w:bCs/>
          <w:sz w:val="24"/>
          <w:szCs w:val="24"/>
        </w:rPr>
      </w:pPr>
      <w:r>
        <w:rPr>
          <w:bCs/>
          <w:sz w:val="24"/>
          <w:szCs w:val="24"/>
        </w:rPr>
        <w:t>se sídlem Ovocný trh 3/5, 116 36  Praha 1 – Staré Město</w:t>
      </w:r>
      <w:r>
        <w:rPr>
          <w:sz w:val="24"/>
          <w:szCs w:val="24"/>
        </w:rPr>
        <w:t>,</w:t>
      </w:r>
      <w:r>
        <w:rPr>
          <w:bCs/>
          <w:sz w:val="24"/>
          <w:szCs w:val="24"/>
        </w:rPr>
        <w:t xml:space="preserve">           </w:t>
      </w:r>
    </w:p>
    <w:p w:rsidR="00D23925" w:rsidRDefault="00D23925" w:rsidP="00F300EA">
      <w:pPr>
        <w:rPr>
          <w:bCs/>
          <w:sz w:val="24"/>
          <w:szCs w:val="24"/>
        </w:rPr>
      </w:pPr>
      <w:r>
        <w:rPr>
          <w:bCs/>
          <w:sz w:val="24"/>
          <w:szCs w:val="24"/>
        </w:rPr>
        <w:t>IČ: 00216208,</w:t>
      </w:r>
      <w:r>
        <w:rPr>
          <w:bCs/>
          <w:sz w:val="24"/>
          <w:szCs w:val="24"/>
        </w:rPr>
        <w:tab/>
      </w:r>
    </w:p>
    <w:p w:rsidR="00D23925" w:rsidRDefault="00D23925" w:rsidP="00F300EA">
      <w:pPr>
        <w:rPr>
          <w:bCs/>
          <w:sz w:val="24"/>
          <w:szCs w:val="24"/>
        </w:rPr>
      </w:pPr>
      <w:r>
        <w:rPr>
          <w:sz w:val="24"/>
          <w:szCs w:val="24"/>
        </w:rPr>
        <w:t>DIČ: CZ</w:t>
      </w:r>
      <w:r>
        <w:rPr>
          <w:bCs/>
          <w:sz w:val="24"/>
          <w:szCs w:val="24"/>
        </w:rPr>
        <w:t>00216208,</w:t>
      </w:r>
      <w:r>
        <w:rPr>
          <w:bCs/>
          <w:sz w:val="24"/>
          <w:szCs w:val="24"/>
        </w:rPr>
        <w:tab/>
      </w:r>
    </w:p>
    <w:p w:rsidR="00D23925" w:rsidRDefault="00D23925" w:rsidP="00F300EA">
      <w:pPr>
        <w:rPr>
          <w:sz w:val="24"/>
        </w:rPr>
      </w:pPr>
      <w:r>
        <w:rPr>
          <w:sz w:val="24"/>
          <w:szCs w:val="24"/>
        </w:rPr>
        <w:t xml:space="preserve">účet č. 83636-011/0100, vedený u </w:t>
      </w:r>
      <w:r>
        <w:rPr>
          <w:sz w:val="24"/>
        </w:rPr>
        <w:t xml:space="preserve"> KB, a.s.,</w:t>
      </w:r>
    </w:p>
    <w:p w:rsidR="00D23925" w:rsidRDefault="00D23925" w:rsidP="00F300EA">
      <w:pPr>
        <w:tabs>
          <w:tab w:val="left" w:pos="1276"/>
        </w:tabs>
        <w:rPr>
          <w:bCs/>
          <w:sz w:val="24"/>
          <w:szCs w:val="24"/>
        </w:rPr>
      </w:pPr>
      <w:r>
        <w:rPr>
          <w:sz w:val="24"/>
        </w:rPr>
        <w:t>jednající</w:t>
      </w:r>
      <w:r>
        <w:rPr>
          <w:bCs/>
          <w:sz w:val="24"/>
          <w:szCs w:val="24"/>
        </w:rPr>
        <w:t xml:space="preserve"> Ing. Josefem Kubíčkem, kvestorem </w:t>
      </w:r>
    </w:p>
    <w:p w:rsidR="00D23925" w:rsidRDefault="00D23925" w:rsidP="00F300EA">
      <w:pPr>
        <w:rPr>
          <w:bCs/>
          <w:snapToGrid w:val="0"/>
          <w:sz w:val="24"/>
          <w:szCs w:val="24"/>
        </w:rPr>
      </w:pPr>
      <w:r w:rsidDel="0024289E">
        <w:rPr>
          <w:sz w:val="24"/>
        </w:rPr>
        <w:t xml:space="preserve"> </w:t>
      </w:r>
      <w:r>
        <w:rPr>
          <w:bCs/>
          <w:snapToGrid w:val="0"/>
          <w:sz w:val="24"/>
          <w:szCs w:val="24"/>
        </w:rPr>
        <w:t>(dále jen „odběratel“) na straně jedné,</w:t>
      </w:r>
    </w:p>
    <w:p w:rsidR="00D23925" w:rsidRDefault="00D23925" w:rsidP="00F300EA">
      <w:pPr>
        <w:rPr>
          <w:sz w:val="24"/>
          <w:szCs w:val="24"/>
        </w:rPr>
      </w:pPr>
    </w:p>
    <w:p w:rsidR="00D23925" w:rsidRDefault="00D23925" w:rsidP="00F300EA">
      <w:pPr>
        <w:pStyle w:val="Nadpis1"/>
        <w:jc w:val="both"/>
        <w:rPr>
          <w:snapToGrid w:val="0"/>
          <w:szCs w:val="24"/>
        </w:rPr>
      </w:pPr>
      <w:r>
        <w:rPr>
          <w:snapToGrid w:val="0"/>
          <w:szCs w:val="24"/>
        </w:rPr>
        <w:t>a</w:t>
      </w:r>
    </w:p>
    <w:p w:rsidR="00D23925" w:rsidRDefault="00D23925" w:rsidP="00F300EA">
      <w:pPr>
        <w:rPr>
          <w:sz w:val="24"/>
          <w:szCs w:val="24"/>
        </w:rPr>
      </w:pPr>
    </w:p>
    <w:p w:rsidR="00D23925" w:rsidRDefault="00D23925" w:rsidP="00F300EA">
      <w:pPr>
        <w:rPr>
          <w:sz w:val="24"/>
          <w:szCs w:val="24"/>
        </w:rPr>
      </w:pPr>
      <w:r>
        <w:rPr>
          <w:sz w:val="24"/>
          <w:szCs w:val="24"/>
        </w:rPr>
        <w:t xml:space="preserve">Obchodní firma: </w:t>
      </w:r>
      <w:r>
        <w:rPr>
          <w:b/>
          <w:sz w:val="24"/>
          <w:szCs w:val="24"/>
        </w:rPr>
        <w:t>K-V UNION, s.r.o.</w:t>
      </w:r>
      <w:r>
        <w:rPr>
          <w:sz w:val="24"/>
          <w:szCs w:val="24"/>
        </w:rPr>
        <w:t xml:space="preserve"> </w:t>
      </w:r>
    </w:p>
    <w:p w:rsidR="00D23925" w:rsidRDefault="00D23925" w:rsidP="00F300EA">
      <w:pPr>
        <w:rPr>
          <w:sz w:val="24"/>
          <w:szCs w:val="24"/>
        </w:rPr>
      </w:pPr>
      <w:r>
        <w:rPr>
          <w:sz w:val="24"/>
          <w:szCs w:val="24"/>
        </w:rPr>
        <w:t>se sídlem Praha 3 – Žižkov, Seifertova 36, PSČ 130 00</w:t>
      </w:r>
    </w:p>
    <w:p w:rsidR="00D23925" w:rsidRDefault="00D23925" w:rsidP="00F300EA">
      <w:pPr>
        <w:rPr>
          <w:sz w:val="24"/>
          <w:szCs w:val="24"/>
        </w:rPr>
      </w:pPr>
      <w:r>
        <w:rPr>
          <w:sz w:val="24"/>
          <w:szCs w:val="24"/>
        </w:rPr>
        <w:t>IČ:   250 52 632</w:t>
      </w:r>
    </w:p>
    <w:p w:rsidR="00D23925" w:rsidRDefault="00D23925" w:rsidP="00F300EA">
      <w:pPr>
        <w:rPr>
          <w:sz w:val="24"/>
          <w:szCs w:val="24"/>
        </w:rPr>
      </w:pPr>
      <w:r>
        <w:rPr>
          <w:sz w:val="24"/>
          <w:szCs w:val="24"/>
        </w:rPr>
        <w:t>DIČ: CZ 25052632</w:t>
      </w:r>
    </w:p>
    <w:p w:rsidR="00D23925" w:rsidRDefault="00D23925" w:rsidP="00F300EA">
      <w:pPr>
        <w:rPr>
          <w:sz w:val="24"/>
        </w:rPr>
      </w:pPr>
      <w:r>
        <w:rPr>
          <w:sz w:val="24"/>
          <w:szCs w:val="24"/>
        </w:rPr>
        <w:t xml:space="preserve">účet č. 66905339/0800, vedený u </w:t>
      </w:r>
      <w:r>
        <w:rPr>
          <w:sz w:val="24"/>
        </w:rPr>
        <w:t xml:space="preserve"> ČS, a.s.,</w:t>
      </w:r>
    </w:p>
    <w:p w:rsidR="00D23925" w:rsidRDefault="00D23925" w:rsidP="00F300EA">
      <w:pPr>
        <w:rPr>
          <w:sz w:val="24"/>
        </w:rPr>
      </w:pPr>
      <w:r>
        <w:rPr>
          <w:sz w:val="24"/>
        </w:rPr>
        <w:t>jednající (funkce): Miroslav Vašek, jednatel</w:t>
      </w:r>
    </w:p>
    <w:p w:rsidR="00D23925" w:rsidRDefault="00D23925" w:rsidP="00F300EA">
      <w:pPr>
        <w:rPr>
          <w:sz w:val="24"/>
        </w:rPr>
      </w:pPr>
      <w:r>
        <w:rPr>
          <w:sz w:val="24"/>
        </w:rPr>
        <w:t>zapsaný v obchodním rejstříku vedeném Městským soudem v Praze, oddíl C, vložka 45455</w:t>
      </w:r>
    </w:p>
    <w:p w:rsidR="00D23925" w:rsidRDefault="00D23925" w:rsidP="00F300EA">
      <w:pPr>
        <w:rPr>
          <w:sz w:val="24"/>
        </w:rPr>
      </w:pPr>
      <w:r>
        <w:rPr>
          <w:bCs/>
          <w:sz w:val="24"/>
          <w:szCs w:val="24"/>
        </w:rPr>
        <w:t>(dále jen „provozovatel“) na straně druhé,</w:t>
      </w:r>
    </w:p>
    <w:p w:rsidR="00D23925" w:rsidRDefault="00D23925" w:rsidP="00F300EA">
      <w:pPr>
        <w:rPr>
          <w:sz w:val="24"/>
          <w:szCs w:val="24"/>
        </w:rPr>
      </w:pPr>
    </w:p>
    <w:p w:rsidR="00D23925" w:rsidRPr="00630F27" w:rsidRDefault="00D23925" w:rsidP="00F300EA">
      <w:pPr>
        <w:rPr>
          <w:sz w:val="24"/>
          <w:szCs w:val="24"/>
        </w:rPr>
      </w:pPr>
      <w:r>
        <w:rPr>
          <w:sz w:val="24"/>
          <w:szCs w:val="24"/>
        </w:rPr>
        <w:t xml:space="preserve">tuto </w:t>
      </w:r>
    </w:p>
    <w:p w:rsidR="00D23925" w:rsidRPr="00F71B50" w:rsidRDefault="00D23925" w:rsidP="00F300EA">
      <w:pPr>
        <w:pStyle w:val="Nadpis1"/>
        <w:jc w:val="center"/>
        <w:rPr>
          <w:b/>
          <w:snapToGrid w:val="0"/>
          <w:sz w:val="28"/>
          <w:szCs w:val="28"/>
        </w:rPr>
      </w:pPr>
      <w:r w:rsidRPr="00F71B50">
        <w:rPr>
          <w:b/>
          <w:snapToGrid w:val="0"/>
          <w:sz w:val="28"/>
          <w:szCs w:val="28"/>
        </w:rPr>
        <w:t>SMLOUV</w:t>
      </w:r>
      <w:r>
        <w:rPr>
          <w:b/>
          <w:snapToGrid w:val="0"/>
          <w:sz w:val="28"/>
          <w:szCs w:val="28"/>
        </w:rPr>
        <w:t>U</w:t>
      </w:r>
    </w:p>
    <w:p w:rsidR="00D23925" w:rsidRDefault="00D23925" w:rsidP="00F300EA">
      <w:pPr>
        <w:pStyle w:val="Nadpis1"/>
        <w:jc w:val="center"/>
        <w:rPr>
          <w:b/>
          <w:snapToGrid w:val="0"/>
          <w:sz w:val="28"/>
          <w:szCs w:val="28"/>
        </w:rPr>
      </w:pPr>
      <w:r w:rsidRPr="00F71B50">
        <w:rPr>
          <w:b/>
          <w:snapToGrid w:val="0"/>
          <w:sz w:val="28"/>
          <w:szCs w:val="28"/>
        </w:rPr>
        <w:t xml:space="preserve"> o</w:t>
      </w:r>
      <w:r>
        <w:rPr>
          <w:b/>
          <w:snapToGrid w:val="0"/>
          <w:sz w:val="28"/>
          <w:szCs w:val="28"/>
        </w:rPr>
        <w:t xml:space="preserve"> umístění a provozování prodejních automatů</w:t>
      </w:r>
    </w:p>
    <w:p w:rsidR="00D23925" w:rsidRPr="00EB7DDC" w:rsidRDefault="00D23925" w:rsidP="00F300EA">
      <w:pPr>
        <w:pStyle w:val="Nadpis1"/>
        <w:jc w:val="center"/>
        <w:rPr>
          <w:sz w:val="28"/>
          <w:szCs w:val="28"/>
        </w:rPr>
      </w:pPr>
      <w:r>
        <w:rPr>
          <w:sz w:val="28"/>
          <w:szCs w:val="28"/>
        </w:rPr>
        <w:t>(dále jen „smlouva“)</w:t>
      </w:r>
    </w:p>
    <w:p w:rsidR="00D23925" w:rsidRPr="0051105C" w:rsidRDefault="00D23925" w:rsidP="00F300EA">
      <w:pPr>
        <w:pStyle w:val="Nadpis3"/>
        <w:jc w:val="center"/>
        <w:rPr>
          <w:rFonts w:ascii="Times New Roman" w:hAnsi="Times New Roman" w:cs="Times New Roman"/>
          <w:b w:val="0"/>
          <w:sz w:val="24"/>
          <w:szCs w:val="24"/>
        </w:rPr>
      </w:pPr>
      <w:r w:rsidRPr="0051105C">
        <w:rPr>
          <w:rFonts w:ascii="Times New Roman" w:hAnsi="Times New Roman" w:cs="Times New Roman"/>
          <w:b w:val="0"/>
          <w:sz w:val="24"/>
          <w:szCs w:val="24"/>
        </w:rPr>
        <w:t xml:space="preserve">v souladu s ust. </w:t>
      </w:r>
      <w:r w:rsidRPr="00034152">
        <w:rPr>
          <w:rFonts w:ascii="Times New Roman" w:hAnsi="Times New Roman" w:cs="Times New Roman"/>
          <w:b w:val="0"/>
          <w:sz w:val="24"/>
          <w:szCs w:val="24"/>
        </w:rPr>
        <w:t>§ 269 odst. 2</w:t>
      </w:r>
      <w:r>
        <w:rPr>
          <w:rFonts w:ascii="Times New Roman" w:hAnsi="Times New Roman" w:cs="Times New Roman"/>
          <w:b w:val="0"/>
          <w:sz w:val="24"/>
          <w:szCs w:val="24"/>
        </w:rPr>
        <w:t xml:space="preserve"> zákona č. 513/1991 Sb., obchodního zákoníku,</w:t>
      </w:r>
      <w:r w:rsidRPr="0051105C">
        <w:rPr>
          <w:rFonts w:ascii="Times New Roman" w:hAnsi="Times New Roman" w:cs="Times New Roman"/>
          <w:b w:val="0"/>
          <w:sz w:val="24"/>
          <w:szCs w:val="24"/>
        </w:rPr>
        <w:t xml:space="preserve"> v platném znění</w:t>
      </w:r>
      <w:r>
        <w:rPr>
          <w:rFonts w:ascii="Times New Roman" w:hAnsi="Times New Roman" w:cs="Times New Roman"/>
          <w:b w:val="0"/>
          <w:sz w:val="24"/>
          <w:szCs w:val="24"/>
        </w:rPr>
        <w:t>:</w:t>
      </w:r>
    </w:p>
    <w:p w:rsidR="00D23925" w:rsidRPr="00F71B50" w:rsidRDefault="00D23925" w:rsidP="00F300EA"/>
    <w:p w:rsidR="00D23925" w:rsidRPr="00F71B50" w:rsidRDefault="00D23925" w:rsidP="00F300EA"/>
    <w:p w:rsidR="00D23925" w:rsidRDefault="00D23925" w:rsidP="00F300EA">
      <w:pPr>
        <w:pStyle w:val="Standardnte"/>
        <w:jc w:val="center"/>
        <w:rPr>
          <w:color w:val="auto"/>
        </w:rPr>
      </w:pPr>
      <w:r>
        <w:rPr>
          <w:b/>
          <w:bCs/>
          <w:color w:val="auto"/>
        </w:rPr>
        <w:t>Čl. I.</w:t>
      </w:r>
    </w:p>
    <w:p w:rsidR="00D23925" w:rsidRPr="00630F27" w:rsidRDefault="00D23925" w:rsidP="00630F27">
      <w:pPr>
        <w:pStyle w:val="Standardnte"/>
        <w:jc w:val="center"/>
        <w:rPr>
          <w:b/>
          <w:color w:val="auto"/>
        </w:rPr>
      </w:pPr>
      <w:r>
        <w:rPr>
          <w:b/>
          <w:color w:val="auto"/>
        </w:rPr>
        <w:t>Předmět smlouvy</w:t>
      </w:r>
    </w:p>
    <w:p w:rsidR="00D23925" w:rsidRDefault="00D23925" w:rsidP="00F300EA">
      <w:pPr>
        <w:jc w:val="both"/>
        <w:rPr>
          <w:sz w:val="24"/>
          <w:szCs w:val="24"/>
        </w:rPr>
      </w:pPr>
      <w:r>
        <w:rPr>
          <w:sz w:val="24"/>
          <w:szCs w:val="24"/>
        </w:rPr>
        <w:t>1.       Předmětem této smlouvy je umístění, montáž a provozování prodejních automatů:</w:t>
      </w:r>
    </w:p>
    <w:p w:rsidR="00D23925" w:rsidRPr="00885CCE" w:rsidRDefault="00D23925" w:rsidP="00630F27">
      <w:pPr>
        <w:spacing w:line="120" w:lineRule="atLeast"/>
        <w:jc w:val="both"/>
        <w:rPr>
          <w:sz w:val="24"/>
          <w:szCs w:val="24"/>
        </w:rPr>
      </w:pPr>
    </w:p>
    <w:p w:rsidR="00D23925" w:rsidRPr="008930EC" w:rsidRDefault="00D23925" w:rsidP="008930EC">
      <w:pPr>
        <w:spacing w:line="120" w:lineRule="atLeast"/>
        <w:jc w:val="both"/>
        <w:rPr>
          <w:b/>
          <w:sz w:val="24"/>
          <w:szCs w:val="24"/>
        </w:rPr>
      </w:pPr>
      <w:r>
        <w:rPr>
          <w:sz w:val="24"/>
          <w:szCs w:val="24"/>
        </w:rPr>
        <w:t xml:space="preserve">                    </w:t>
      </w:r>
      <w:r w:rsidRPr="008930EC">
        <w:rPr>
          <w:b/>
          <w:sz w:val="24"/>
          <w:szCs w:val="24"/>
        </w:rPr>
        <w:t>prodejní automaty na teplé nápoje</w:t>
      </w:r>
    </w:p>
    <w:p w:rsidR="00D23925" w:rsidRDefault="00D23925" w:rsidP="00F300EA">
      <w:pPr>
        <w:jc w:val="both"/>
        <w:rPr>
          <w:sz w:val="24"/>
          <w:szCs w:val="24"/>
        </w:rPr>
      </w:pPr>
    </w:p>
    <w:p w:rsidR="00D23925" w:rsidRDefault="00D23925" w:rsidP="00F300EA">
      <w:pPr>
        <w:jc w:val="both"/>
        <w:rPr>
          <w:sz w:val="24"/>
          <w:szCs w:val="24"/>
        </w:rPr>
      </w:pPr>
      <w:r>
        <w:rPr>
          <w:sz w:val="24"/>
          <w:szCs w:val="24"/>
        </w:rPr>
        <w:t xml:space="preserve">(dále také jen „prodejní automaty“ nebo „PA“) ve specifikaci umístění a počtu  PA uvedených v příloze č. 1, která je nedílnou součástí této smlouvy. </w:t>
      </w:r>
    </w:p>
    <w:p w:rsidR="00D23925" w:rsidRDefault="00D23925" w:rsidP="00F300EA">
      <w:pPr>
        <w:jc w:val="both"/>
        <w:rPr>
          <w:sz w:val="24"/>
          <w:szCs w:val="24"/>
        </w:rPr>
      </w:pPr>
    </w:p>
    <w:p w:rsidR="00D23925" w:rsidRPr="00034152" w:rsidRDefault="00D23925" w:rsidP="00F300EA">
      <w:pPr>
        <w:numPr>
          <w:ilvl w:val="0"/>
          <w:numId w:val="4"/>
        </w:numPr>
        <w:ind w:left="0" w:firstLine="0"/>
        <w:jc w:val="both"/>
        <w:rPr>
          <w:sz w:val="24"/>
          <w:szCs w:val="24"/>
        </w:rPr>
      </w:pPr>
      <w:r w:rsidRPr="00034152">
        <w:rPr>
          <w:sz w:val="24"/>
          <w:szCs w:val="24"/>
        </w:rPr>
        <w:t>Smluvní strany prohlašují, že vymezení svých závazků v této smlouvě považují za dostatečně určité ve smyslu ust. § 269 odst. 2 věta druhá zákona č. 513/1991 Sb., obchodního zákoníku, v platném znění.</w:t>
      </w:r>
    </w:p>
    <w:p w:rsidR="00D23925" w:rsidRDefault="00D23925" w:rsidP="00F300EA">
      <w:pPr>
        <w:pStyle w:val="Standardnte"/>
        <w:jc w:val="both"/>
        <w:rPr>
          <w:color w:val="auto"/>
        </w:rPr>
      </w:pPr>
    </w:p>
    <w:p w:rsidR="00D23925" w:rsidRDefault="00D23925" w:rsidP="00F300EA">
      <w:pPr>
        <w:pStyle w:val="Standardnte"/>
        <w:jc w:val="both"/>
        <w:rPr>
          <w:color w:val="auto"/>
        </w:rPr>
      </w:pPr>
    </w:p>
    <w:p w:rsidR="00D23925" w:rsidRDefault="00D23925" w:rsidP="00F300EA">
      <w:pPr>
        <w:pStyle w:val="Standardnte"/>
        <w:jc w:val="center"/>
        <w:rPr>
          <w:b/>
          <w:color w:val="auto"/>
        </w:rPr>
      </w:pPr>
      <w:r>
        <w:rPr>
          <w:b/>
          <w:color w:val="auto"/>
        </w:rPr>
        <w:t>Čl. II.</w:t>
      </w:r>
    </w:p>
    <w:p w:rsidR="00D23925" w:rsidRDefault="00D23925" w:rsidP="00630F27">
      <w:pPr>
        <w:pStyle w:val="Standardnte"/>
        <w:jc w:val="center"/>
        <w:rPr>
          <w:b/>
          <w:color w:val="auto"/>
        </w:rPr>
      </w:pPr>
      <w:r>
        <w:rPr>
          <w:b/>
          <w:color w:val="auto"/>
        </w:rPr>
        <w:t>Účel smlouvy</w:t>
      </w:r>
    </w:p>
    <w:p w:rsidR="00D23925" w:rsidRDefault="00D23925" w:rsidP="00F300EA">
      <w:pPr>
        <w:pStyle w:val="Standardnte"/>
        <w:jc w:val="both"/>
        <w:rPr>
          <w:color w:val="auto"/>
        </w:rPr>
      </w:pPr>
      <w:r>
        <w:rPr>
          <w:color w:val="auto"/>
        </w:rPr>
        <w:t>1.</w:t>
      </w:r>
      <w:r>
        <w:rPr>
          <w:color w:val="auto"/>
        </w:rPr>
        <w:tab/>
        <w:t>Účelem smlouvy je vymezení práv a povinností smluvních stran při zabezpečení řádného provozování prodejních automatů na určeném místě pro studenty Univerzity Karlovy v Praze, její návštěvníky a zaměstnance.</w:t>
      </w:r>
    </w:p>
    <w:p w:rsidR="00D23925" w:rsidRDefault="00D23925" w:rsidP="00F300EA">
      <w:pPr>
        <w:pStyle w:val="Standardnte"/>
        <w:jc w:val="center"/>
        <w:rPr>
          <w:b/>
          <w:color w:val="auto"/>
        </w:rPr>
      </w:pPr>
      <w:r>
        <w:rPr>
          <w:b/>
          <w:color w:val="auto"/>
        </w:rPr>
        <w:lastRenderedPageBreak/>
        <w:t>Čl. III.</w:t>
      </w:r>
    </w:p>
    <w:p w:rsidR="00D23925" w:rsidRDefault="00D23925" w:rsidP="00630F27">
      <w:pPr>
        <w:pStyle w:val="Standardnte"/>
        <w:jc w:val="center"/>
        <w:rPr>
          <w:b/>
          <w:color w:val="auto"/>
        </w:rPr>
      </w:pPr>
      <w:r>
        <w:rPr>
          <w:b/>
          <w:color w:val="auto"/>
        </w:rPr>
        <w:t>Vlastnické vztahy</w:t>
      </w:r>
    </w:p>
    <w:p w:rsidR="00D23925" w:rsidRDefault="00D23925" w:rsidP="00F300EA">
      <w:pPr>
        <w:pStyle w:val="Standardnte"/>
        <w:jc w:val="both"/>
        <w:rPr>
          <w:color w:val="auto"/>
        </w:rPr>
      </w:pPr>
      <w:r>
        <w:rPr>
          <w:color w:val="auto"/>
        </w:rPr>
        <w:t xml:space="preserve">1. </w:t>
      </w:r>
      <w:r>
        <w:rPr>
          <w:color w:val="auto"/>
        </w:rPr>
        <w:tab/>
        <w:t>Provozovatel prohlašuje, že má dispoziční právo ke všem prodejním automatům umístěným a provozovaným</w:t>
      </w:r>
      <w:r w:rsidRPr="003108F6">
        <w:rPr>
          <w:color w:val="auto"/>
        </w:rPr>
        <w:t xml:space="preserve"> </w:t>
      </w:r>
      <w:r>
        <w:rPr>
          <w:color w:val="auto"/>
        </w:rPr>
        <w:t xml:space="preserve">v určených objektech odběratele. Prostory umístění, specifikace druhu a počty PA jsou uvedeny v příloze č. 1 této smlouvy. </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2.</w:t>
      </w:r>
      <w:r>
        <w:rPr>
          <w:color w:val="auto"/>
        </w:rPr>
        <w:tab/>
        <w:t>Odběratel prohlašuje, že má ke všem objektům, kde jsou umístěny a provozovány PA provozovatele dle přílohy č. 1 vlastnická práva.</w:t>
      </w:r>
    </w:p>
    <w:p w:rsidR="00D23925" w:rsidRDefault="00D23925" w:rsidP="00F300EA">
      <w:pPr>
        <w:pStyle w:val="Standardnte"/>
        <w:jc w:val="both"/>
        <w:rPr>
          <w:color w:val="auto"/>
        </w:rPr>
      </w:pPr>
    </w:p>
    <w:p w:rsidR="00D23925" w:rsidRDefault="00D23925" w:rsidP="00F300EA">
      <w:pPr>
        <w:pStyle w:val="Standardnte"/>
        <w:jc w:val="both"/>
        <w:rPr>
          <w:color w:val="auto"/>
        </w:rPr>
      </w:pPr>
    </w:p>
    <w:p w:rsidR="00D23925" w:rsidRDefault="00D23925" w:rsidP="00F300EA">
      <w:pPr>
        <w:pStyle w:val="Standardnte"/>
        <w:jc w:val="center"/>
        <w:rPr>
          <w:b/>
          <w:color w:val="auto"/>
        </w:rPr>
      </w:pPr>
      <w:r>
        <w:rPr>
          <w:b/>
          <w:color w:val="auto"/>
        </w:rPr>
        <w:t>Čl. IV.</w:t>
      </w:r>
    </w:p>
    <w:p w:rsidR="00D23925" w:rsidRDefault="00D23925" w:rsidP="00F300EA">
      <w:pPr>
        <w:pStyle w:val="Standardnte"/>
        <w:jc w:val="center"/>
        <w:rPr>
          <w:b/>
          <w:color w:val="auto"/>
        </w:rPr>
      </w:pPr>
      <w:r>
        <w:rPr>
          <w:b/>
          <w:color w:val="auto"/>
        </w:rPr>
        <w:t>Finanční úhrada</w:t>
      </w:r>
    </w:p>
    <w:p w:rsidR="00D23925" w:rsidRDefault="00D23925" w:rsidP="00F300EA">
      <w:pPr>
        <w:pStyle w:val="Standardnte"/>
        <w:jc w:val="both"/>
        <w:rPr>
          <w:color w:val="auto"/>
        </w:rPr>
      </w:pPr>
      <w:r>
        <w:rPr>
          <w:color w:val="auto"/>
        </w:rPr>
        <w:t>1.</w:t>
      </w:r>
      <w:r>
        <w:rPr>
          <w:color w:val="auto"/>
        </w:rPr>
        <w:tab/>
        <w:t>Za umístění prodejních automatů na teplé nápoje zaplatí provozovatel odběrateli smluvně stanovenou úhradu viz. níže uvedená tabulka. Dále bude provozovatel hradit provozní paušálně stanovené částky za média - el. energii a vodu -  podle následující tabulky:</w:t>
      </w:r>
    </w:p>
    <w:tbl>
      <w:tblPr>
        <w:tblW w:w="8240" w:type="dxa"/>
        <w:tblInd w:w="58" w:type="dxa"/>
        <w:tblCellMar>
          <w:left w:w="70" w:type="dxa"/>
          <w:right w:w="70" w:type="dxa"/>
        </w:tblCellMar>
        <w:tblLook w:val="0000" w:firstRow="0" w:lastRow="0" w:firstColumn="0" w:lastColumn="0" w:noHBand="0" w:noVBand="0"/>
      </w:tblPr>
      <w:tblGrid>
        <w:gridCol w:w="2760"/>
        <w:gridCol w:w="240"/>
        <w:gridCol w:w="1096"/>
        <w:gridCol w:w="1585"/>
        <w:gridCol w:w="1585"/>
        <w:gridCol w:w="1100"/>
      </w:tblGrid>
      <w:tr w:rsidR="00D23925" w:rsidTr="003B5E82">
        <w:trPr>
          <w:trHeight w:val="1068"/>
        </w:trPr>
        <w:tc>
          <w:tcPr>
            <w:tcW w:w="2760" w:type="dxa"/>
            <w:tcBorders>
              <w:top w:val="single" w:sz="8" w:space="0" w:color="auto"/>
              <w:left w:val="single" w:sz="8" w:space="0" w:color="auto"/>
              <w:bottom w:val="single" w:sz="4" w:space="0" w:color="auto"/>
              <w:right w:val="single" w:sz="8" w:space="0" w:color="auto"/>
            </w:tcBorders>
            <w:vAlign w:val="bottom"/>
          </w:tcPr>
          <w:p w:rsidR="00D23925" w:rsidRPr="00811563" w:rsidRDefault="00D23925" w:rsidP="003B5E82">
            <w:pPr>
              <w:rPr>
                <w:rFonts w:ascii="Arial" w:hAnsi="Arial" w:cs="Arial"/>
                <w:b/>
                <w:bCs/>
              </w:rPr>
            </w:pPr>
            <w:r w:rsidRPr="00811563">
              <w:rPr>
                <w:rFonts w:ascii="Arial" w:hAnsi="Arial" w:cs="Arial"/>
                <w:b/>
                <w:bCs/>
              </w:rPr>
              <w:t xml:space="preserve">Platba v Kč bez DPH za jeden PA za </w:t>
            </w:r>
            <w:r>
              <w:rPr>
                <w:rFonts w:ascii="Arial" w:hAnsi="Arial" w:cs="Arial"/>
                <w:b/>
                <w:bCs/>
              </w:rPr>
              <w:t xml:space="preserve">jeden </w:t>
            </w:r>
            <w:r w:rsidRPr="00811563">
              <w:rPr>
                <w:rFonts w:ascii="Arial" w:hAnsi="Arial" w:cs="Arial"/>
                <w:b/>
                <w:bCs/>
              </w:rPr>
              <w:t>kale</w:t>
            </w:r>
            <w:r>
              <w:rPr>
                <w:rFonts w:ascii="Arial" w:hAnsi="Arial" w:cs="Arial"/>
                <w:b/>
                <w:bCs/>
              </w:rPr>
              <w:t>n</w:t>
            </w:r>
            <w:r w:rsidRPr="00811563">
              <w:rPr>
                <w:rFonts w:ascii="Arial" w:hAnsi="Arial" w:cs="Arial"/>
                <w:b/>
                <w:bCs/>
              </w:rPr>
              <w:t>dářní měsíc</w:t>
            </w:r>
          </w:p>
        </w:tc>
        <w:tc>
          <w:tcPr>
            <w:tcW w:w="240" w:type="dxa"/>
            <w:tcBorders>
              <w:top w:val="single" w:sz="8" w:space="0" w:color="auto"/>
              <w:left w:val="nil"/>
              <w:bottom w:val="single" w:sz="4" w:space="0" w:color="auto"/>
              <w:right w:val="nil"/>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080" w:type="dxa"/>
            <w:tcBorders>
              <w:top w:val="single" w:sz="8" w:space="0" w:color="auto"/>
              <w:left w:val="single" w:sz="8" w:space="0" w:color="auto"/>
              <w:bottom w:val="single" w:sz="8" w:space="0" w:color="auto"/>
              <w:right w:val="single" w:sz="4" w:space="0" w:color="auto"/>
            </w:tcBorders>
            <w:vAlign w:val="bottom"/>
          </w:tcPr>
          <w:p w:rsidR="00D23925" w:rsidRPr="00811563" w:rsidRDefault="00D23925" w:rsidP="003B5E82">
            <w:pPr>
              <w:rPr>
                <w:rFonts w:ascii="Arial" w:hAnsi="Arial" w:cs="Arial"/>
                <w:b/>
                <w:bCs/>
              </w:rPr>
            </w:pPr>
            <w:r w:rsidRPr="00811563">
              <w:rPr>
                <w:rFonts w:ascii="Arial" w:hAnsi="Arial" w:cs="Arial"/>
                <w:b/>
                <w:bCs/>
              </w:rPr>
              <w:t>Za U</w:t>
            </w:r>
            <w:r>
              <w:rPr>
                <w:rFonts w:ascii="Arial" w:hAnsi="Arial" w:cs="Arial"/>
                <w:b/>
                <w:bCs/>
              </w:rPr>
              <w:t>MÍSTĚNÍ</w:t>
            </w:r>
          </w:p>
        </w:tc>
        <w:tc>
          <w:tcPr>
            <w:tcW w:w="1520" w:type="dxa"/>
            <w:tcBorders>
              <w:top w:val="single" w:sz="8" w:space="0" w:color="auto"/>
              <w:left w:val="nil"/>
              <w:bottom w:val="single" w:sz="8" w:space="0" w:color="auto"/>
              <w:right w:val="single" w:sz="4" w:space="0" w:color="auto"/>
            </w:tcBorders>
            <w:vAlign w:val="bottom"/>
          </w:tcPr>
          <w:p w:rsidR="00D23925" w:rsidRPr="00811563" w:rsidRDefault="00D23925" w:rsidP="003B5E82">
            <w:pPr>
              <w:rPr>
                <w:rFonts w:ascii="Arial" w:hAnsi="Arial" w:cs="Arial"/>
                <w:b/>
                <w:bCs/>
              </w:rPr>
            </w:pPr>
            <w:r w:rsidRPr="00811563">
              <w:rPr>
                <w:rFonts w:ascii="Arial" w:hAnsi="Arial" w:cs="Arial"/>
                <w:b/>
                <w:bCs/>
              </w:rPr>
              <w:t>Za</w:t>
            </w:r>
            <w:r>
              <w:rPr>
                <w:rFonts w:ascii="Arial" w:hAnsi="Arial" w:cs="Arial"/>
                <w:b/>
                <w:bCs/>
              </w:rPr>
              <w:t xml:space="preserve"> provozem</w:t>
            </w:r>
            <w:r w:rsidRPr="00811563">
              <w:rPr>
                <w:rFonts w:ascii="Arial" w:hAnsi="Arial" w:cs="Arial"/>
                <w:b/>
                <w:bCs/>
              </w:rPr>
              <w:t xml:space="preserve"> spotřebovanou elektrickou energii</w:t>
            </w:r>
          </w:p>
        </w:tc>
        <w:tc>
          <w:tcPr>
            <w:tcW w:w="1540" w:type="dxa"/>
            <w:tcBorders>
              <w:top w:val="single" w:sz="8" w:space="0" w:color="auto"/>
              <w:left w:val="nil"/>
              <w:bottom w:val="single" w:sz="8" w:space="0" w:color="auto"/>
              <w:right w:val="single" w:sz="4" w:space="0" w:color="auto"/>
            </w:tcBorders>
            <w:vAlign w:val="bottom"/>
          </w:tcPr>
          <w:p w:rsidR="00D23925" w:rsidRPr="00811563" w:rsidRDefault="00D23925" w:rsidP="003B5E82">
            <w:pPr>
              <w:rPr>
                <w:rFonts w:ascii="Arial" w:hAnsi="Arial" w:cs="Arial"/>
                <w:b/>
                <w:bCs/>
              </w:rPr>
            </w:pPr>
            <w:r w:rsidRPr="00811563">
              <w:rPr>
                <w:rFonts w:ascii="Arial" w:hAnsi="Arial" w:cs="Arial"/>
                <w:b/>
                <w:bCs/>
              </w:rPr>
              <w:t>Za</w:t>
            </w:r>
            <w:r>
              <w:rPr>
                <w:rFonts w:ascii="Arial" w:hAnsi="Arial" w:cs="Arial"/>
                <w:b/>
                <w:bCs/>
              </w:rPr>
              <w:t xml:space="preserve"> provozem</w:t>
            </w:r>
            <w:r w:rsidRPr="00811563">
              <w:rPr>
                <w:rFonts w:ascii="Arial" w:hAnsi="Arial" w:cs="Arial"/>
                <w:b/>
                <w:bCs/>
              </w:rPr>
              <w:t xml:space="preserve"> spotřebovanou  studenou pitnou vodu </w:t>
            </w:r>
          </w:p>
        </w:tc>
        <w:tc>
          <w:tcPr>
            <w:tcW w:w="1100" w:type="dxa"/>
            <w:tcBorders>
              <w:top w:val="single" w:sz="8" w:space="0" w:color="auto"/>
              <w:left w:val="nil"/>
              <w:bottom w:val="single" w:sz="8" w:space="0" w:color="auto"/>
              <w:right w:val="single" w:sz="8" w:space="0" w:color="auto"/>
            </w:tcBorders>
            <w:vAlign w:val="bottom"/>
          </w:tcPr>
          <w:p w:rsidR="00D23925" w:rsidRPr="00811563" w:rsidRDefault="00D23925" w:rsidP="003B5E82">
            <w:pPr>
              <w:rPr>
                <w:rFonts w:ascii="Arial" w:hAnsi="Arial" w:cs="Arial"/>
                <w:b/>
                <w:bCs/>
              </w:rPr>
            </w:pPr>
            <w:r w:rsidRPr="00811563">
              <w:rPr>
                <w:rFonts w:ascii="Arial" w:hAnsi="Arial" w:cs="Arial"/>
                <w:b/>
                <w:bCs/>
              </w:rPr>
              <w:t>Měsíční platba CELKEM</w:t>
            </w:r>
          </w:p>
        </w:tc>
      </w:tr>
      <w:tr w:rsidR="00D23925" w:rsidTr="003B5E82">
        <w:trPr>
          <w:trHeight w:val="276"/>
        </w:trPr>
        <w:tc>
          <w:tcPr>
            <w:tcW w:w="2760" w:type="dxa"/>
            <w:tcBorders>
              <w:top w:val="nil"/>
              <w:left w:val="single" w:sz="8" w:space="0" w:color="auto"/>
              <w:bottom w:val="single" w:sz="8" w:space="0" w:color="auto"/>
              <w:right w:val="single" w:sz="8"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240" w:type="dxa"/>
            <w:tcBorders>
              <w:top w:val="nil"/>
              <w:left w:val="nil"/>
              <w:bottom w:val="single" w:sz="8"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080" w:type="dxa"/>
            <w:tcBorders>
              <w:top w:val="nil"/>
              <w:left w:val="nil"/>
              <w:bottom w:val="single" w:sz="8"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520" w:type="dxa"/>
            <w:tcBorders>
              <w:top w:val="nil"/>
              <w:left w:val="nil"/>
              <w:bottom w:val="single" w:sz="8"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540" w:type="dxa"/>
            <w:tcBorders>
              <w:top w:val="nil"/>
              <w:left w:val="nil"/>
              <w:bottom w:val="single" w:sz="8"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100" w:type="dxa"/>
            <w:tcBorders>
              <w:top w:val="nil"/>
              <w:left w:val="nil"/>
              <w:bottom w:val="single" w:sz="8" w:space="0" w:color="auto"/>
              <w:right w:val="single" w:sz="8"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r>
      <w:tr w:rsidR="00D23925" w:rsidTr="003B5E82">
        <w:trPr>
          <w:trHeight w:val="264"/>
        </w:trPr>
        <w:tc>
          <w:tcPr>
            <w:tcW w:w="2760" w:type="dxa"/>
            <w:tcBorders>
              <w:top w:val="nil"/>
              <w:left w:val="single" w:sz="8" w:space="0" w:color="auto"/>
              <w:bottom w:val="single" w:sz="4" w:space="0" w:color="auto"/>
              <w:right w:val="single" w:sz="8" w:space="0" w:color="auto"/>
            </w:tcBorders>
            <w:noWrap/>
            <w:vAlign w:val="bottom"/>
          </w:tcPr>
          <w:p w:rsidR="00D23925" w:rsidRPr="00811563" w:rsidRDefault="00D23925" w:rsidP="003B5E82">
            <w:pPr>
              <w:rPr>
                <w:rFonts w:ascii="Arial" w:hAnsi="Arial" w:cs="Arial"/>
                <w:b/>
                <w:bCs/>
              </w:rPr>
            </w:pPr>
            <w:r w:rsidRPr="00811563">
              <w:rPr>
                <w:rFonts w:ascii="Arial" w:hAnsi="Arial" w:cs="Arial"/>
                <w:b/>
                <w:bCs/>
              </w:rPr>
              <w:t>Druh PA</w:t>
            </w:r>
          </w:p>
        </w:tc>
        <w:tc>
          <w:tcPr>
            <w:tcW w:w="240" w:type="dxa"/>
            <w:tcBorders>
              <w:top w:val="nil"/>
              <w:left w:val="nil"/>
              <w:bottom w:val="single" w:sz="4"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080" w:type="dxa"/>
            <w:tcBorders>
              <w:top w:val="nil"/>
              <w:left w:val="nil"/>
              <w:bottom w:val="single" w:sz="4"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520" w:type="dxa"/>
            <w:tcBorders>
              <w:top w:val="nil"/>
              <w:left w:val="nil"/>
              <w:bottom w:val="single" w:sz="4"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540" w:type="dxa"/>
            <w:tcBorders>
              <w:top w:val="nil"/>
              <w:left w:val="nil"/>
              <w:bottom w:val="single" w:sz="4"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100" w:type="dxa"/>
            <w:tcBorders>
              <w:top w:val="nil"/>
              <w:left w:val="nil"/>
              <w:bottom w:val="single" w:sz="4" w:space="0" w:color="auto"/>
              <w:right w:val="single" w:sz="8"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r>
      <w:tr w:rsidR="00D23925" w:rsidTr="003B5E82">
        <w:trPr>
          <w:trHeight w:val="264"/>
        </w:trPr>
        <w:tc>
          <w:tcPr>
            <w:tcW w:w="2760" w:type="dxa"/>
            <w:tcBorders>
              <w:top w:val="nil"/>
              <w:left w:val="single" w:sz="8" w:space="0" w:color="auto"/>
              <w:bottom w:val="single" w:sz="4" w:space="0" w:color="auto"/>
              <w:right w:val="single" w:sz="8" w:space="0" w:color="auto"/>
            </w:tcBorders>
            <w:noWrap/>
            <w:vAlign w:val="bottom"/>
          </w:tcPr>
          <w:p w:rsidR="00D23925" w:rsidRPr="00811563" w:rsidRDefault="00D23925" w:rsidP="003B5E82">
            <w:pPr>
              <w:rPr>
                <w:rFonts w:ascii="Arial" w:hAnsi="Arial" w:cs="Arial"/>
              </w:rPr>
            </w:pPr>
          </w:p>
        </w:tc>
        <w:tc>
          <w:tcPr>
            <w:tcW w:w="240" w:type="dxa"/>
            <w:tcBorders>
              <w:top w:val="nil"/>
              <w:left w:val="nil"/>
              <w:bottom w:val="single" w:sz="4"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080" w:type="dxa"/>
            <w:tcBorders>
              <w:top w:val="nil"/>
              <w:left w:val="nil"/>
              <w:bottom w:val="single" w:sz="4" w:space="0" w:color="auto"/>
              <w:right w:val="single" w:sz="4" w:space="0" w:color="auto"/>
            </w:tcBorders>
            <w:shd w:val="clear" w:color="auto" w:fill="FFFF99"/>
            <w:noWrap/>
            <w:vAlign w:val="bottom"/>
          </w:tcPr>
          <w:p w:rsidR="00D23925" w:rsidRPr="00811563" w:rsidRDefault="00D23925" w:rsidP="003B5E82">
            <w:pPr>
              <w:rPr>
                <w:rFonts w:ascii="Arial" w:hAnsi="Arial" w:cs="Arial"/>
              </w:rPr>
            </w:pPr>
            <w:r w:rsidRPr="00811563">
              <w:rPr>
                <w:rFonts w:ascii="Arial" w:hAnsi="Arial" w:cs="Arial"/>
              </w:rPr>
              <w:t> </w:t>
            </w:r>
          </w:p>
        </w:tc>
        <w:tc>
          <w:tcPr>
            <w:tcW w:w="1520" w:type="dxa"/>
            <w:tcBorders>
              <w:top w:val="nil"/>
              <w:left w:val="nil"/>
              <w:bottom w:val="single" w:sz="4" w:space="0" w:color="auto"/>
              <w:right w:val="single" w:sz="4" w:space="0" w:color="auto"/>
            </w:tcBorders>
            <w:noWrap/>
            <w:vAlign w:val="bottom"/>
          </w:tcPr>
          <w:p w:rsidR="00D23925" w:rsidRPr="00811563" w:rsidRDefault="00D23925" w:rsidP="003B5E82">
            <w:pPr>
              <w:jc w:val="right"/>
              <w:rPr>
                <w:rFonts w:ascii="Arial" w:hAnsi="Arial" w:cs="Arial"/>
              </w:rPr>
            </w:pPr>
          </w:p>
        </w:tc>
        <w:tc>
          <w:tcPr>
            <w:tcW w:w="1540" w:type="dxa"/>
            <w:tcBorders>
              <w:top w:val="nil"/>
              <w:left w:val="nil"/>
              <w:bottom w:val="single" w:sz="4" w:space="0" w:color="auto"/>
              <w:right w:val="single" w:sz="4" w:space="0" w:color="auto"/>
            </w:tcBorders>
            <w:noWrap/>
            <w:vAlign w:val="bottom"/>
          </w:tcPr>
          <w:p w:rsidR="00D23925" w:rsidRPr="00811563" w:rsidRDefault="00D23925" w:rsidP="003B5E82">
            <w:pPr>
              <w:jc w:val="right"/>
              <w:rPr>
                <w:rFonts w:ascii="Arial" w:hAnsi="Arial" w:cs="Arial"/>
              </w:rPr>
            </w:pPr>
          </w:p>
        </w:tc>
        <w:tc>
          <w:tcPr>
            <w:tcW w:w="1100" w:type="dxa"/>
            <w:tcBorders>
              <w:top w:val="nil"/>
              <w:left w:val="nil"/>
              <w:bottom w:val="single" w:sz="4" w:space="0" w:color="auto"/>
              <w:right w:val="single" w:sz="8" w:space="0" w:color="auto"/>
            </w:tcBorders>
            <w:shd w:val="clear" w:color="auto" w:fill="CCFFFF"/>
            <w:noWrap/>
            <w:vAlign w:val="bottom"/>
          </w:tcPr>
          <w:p w:rsidR="00D23925" w:rsidRPr="00811563" w:rsidRDefault="00D23925" w:rsidP="003B5E82">
            <w:pPr>
              <w:rPr>
                <w:rFonts w:ascii="Arial" w:hAnsi="Arial" w:cs="Arial"/>
              </w:rPr>
            </w:pPr>
            <w:r w:rsidRPr="00811563">
              <w:rPr>
                <w:rFonts w:ascii="Arial" w:hAnsi="Arial" w:cs="Arial"/>
              </w:rPr>
              <w:t> </w:t>
            </w:r>
          </w:p>
        </w:tc>
      </w:tr>
      <w:tr w:rsidR="00D23925" w:rsidTr="003B5E82">
        <w:trPr>
          <w:trHeight w:val="264"/>
        </w:trPr>
        <w:tc>
          <w:tcPr>
            <w:tcW w:w="2760" w:type="dxa"/>
            <w:tcBorders>
              <w:top w:val="nil"/>
              <w:left w:val="single" w:sz="8" w:space="0" w:color="auto"/>
              <w:bottom w:val="single" w:sz="4" w:space="0" w:color="auto"/>
              <w:right w:val="single" w:sz="8" w:space="0" w:color="auto"/>
            </w:tcBorders>
            <w:noWrap/>
            <w:vAlign w:val="bottom"/>
          </w:tcPr>
          <w:p w:rsidR="00D23925" w:rsidRPr="00811563" w:rsidRDefault="00D23925" w:rsidP="003B5E82">
            <w:pPr>
              <w:rPr>
                <w:rFonts w:ascii="Arial" w:hAnsi="Arial" w:cs="Arial"/>
              </w:rPr>
            </w:pPr>
            <w:r w:rsidRPr="00811563">
              <w:rPr>
                <w:rFonts w:ascii="Arial" w:hAnsi="Arial" w:cs="Arial"/>
              </w:rPr>
              <w:t>Teplé nápoje</w:t>
            </w:r>
          </w:p>
        </w:tc>
        <w:tc>
          <w:tcPr>
            <w:tcW w:w="240" w:type="dxa"/>
            <w:tcBorders>
              <w:top w:val="nil"/>
              <w:left w:val="nil"/>
              <w:bottom w:val="single" w:sz="4" w:space="0" w:color="auto"/>
              <w:right w:val="single" w:sz="4" w:space="0" w:color="auto"/>
            </w:tcBorders>
            <w:noWrap/>
            <w:vAlign w:val="bottom"/>
          </w:tcPr>
          <w:p w:rsidR="00D23925" w:rsidRPr="00811563" w:rsidRDefault="00D23925" w:rsidP="003B5E82">
            <w:pPr>
              <w:rPr>
                <w:rFonts w:ascii="Arial" w:hAnsi="Arial" w:cs="Arial"/>
              </w:rPr>
            </w:pPr>
            <w:r w:rsidRPr="00811563">
              <w:rPr>
                <w:rFonts w:ascii="Arial" w:hAnsi="Arial" w:cs="Arial"/>
              </w:rPr>
              <w:t> </w:t>
            </w:r>
          </w:p>
        </w:tc>
        <w:tc>
          <w:tcPr>
            <w:tcW w:w="1080" w:type="dxa"/>
            <w:tcBorders>
              <w:top w:val="nil"/>
              <w:left w:val="nil"/>
              <w:bottom w:val="single" w:sz="4" w:space="0" w:color="auto"/>
              <w:right w:val="single" w:sz="4" w:space="0" w:color="auto"/>
            </w:tcBorders>
            <w:shd w:val="clear" w:color="auto" w:fill="FFFF99"/>
            <w:noWrap/>
            <w:vAlign w:val="bottom"/>
          </w:tcPr>
          <w:p w:rsidR="00D23925" w:rsidRPr="00811563" w:rsidRDefault="00D23925" w:rsidP="003B5E82">
            <w:pPr>
              <w:rPr>
                <w:rFonts w:ascii="Arial" w:hAnsi="Arial" w:cs="Arial"/>
              </w:rPr>
            </w:pPr>
            <w:r w:rsidRPr="00811563">
              <w:rPr>
                <w:rFonts w:ascii="Arial" w:hAnsi="Arial" w:cs="Arial"/>
              </w:rPr>
              <w:t> </w:t>
            </w:r>
            <w:r>
              <w:rPr>
                <w:rFonts w:ascii="Arial" w:hAnsi="Arial" w:cs="Arial"/>
              </w:rPr>
              <w:t>2 000</w:t>
            </w:r>
          </w:p>
        </w:tc>
        <w:tc>
          <w:tcPr>
            <w:tcW w:w="1520" w:type="dxa"/>
            <w:tcBorders>
              <w:top w:val="nil"/>
              <w:left w:val="nil"/>
              <w:bottom w:val="single" w:sz="4" w:space="0" w:color="auto"/>
              <w:right w:val="single" w:sz="4" w:space="0" w:color="auto"/>
            </w:tcBorders>
            <w:noWrap/>
            <w:vAlign w:val="bottom"/>
          </w:tcPr>
          <w:p w:rsidR="00D23925" w:rsidRPr="00811563" w:rsidRDefault="00D23925" w:rsidP="003B5E82">
            <w:pPr>
              <w:jc w:val="right"/>
              <w:rPr>
                <w:rFonts w:ascii="Arial" w:hAnsi="Arial" w:cs="Arial"/>
              </w:rPr>
            </w:pPr>
            <w:r w:rsidRPr="00811563">
              <w:rPr>
                <w:rFonts w:ascii="Arial" w:hAnsi="Arial" w:cs="Arial"/>
              </w:rPr>
              <w:t>875</w:t>
            </w:r>
          </w:p>
        </w:tc>
        <w:tc>
          <w:tcPr>
            <w:tcW w:w="1540" w:type="dxa"/>
            <w:tcBorders>
              <w:top w:val="nil"/>
              <w:left w:val="nil"/>
              <w:bottom w:val="single" w:sz="4" w:space="0" w:color="auto"/>
              <w:right w:val="single" w:sz="4" w:space="0" w:color="auto"/>
            </w:tcBorders>
            <w:noWrap/>
            <w:vAlign w:val="bottom"/>
          </w:tcPr>
          <w:p w:rsidR="00D23925" w:rsidRPr="00811563" w:rsidRDefault="00D23925" w:rsidP="003B5E82">
            <w:pPr>
              <w:jc w:val="right"/>
              <w:rPr>
                <w:rFonts w:ascii="Arial" w:hAnsi="Arial" w:cs="Arial"/>
              </w:rPr>
            </w:pPr>
            <w:r w:rsidRPr="00811563">
              <w:rPr>
                <w:rFonts w:ascii="Arial" w:hAnsi="Arial" w:cs="Arial"/>
              </w:rPr>
              <w:t>44</w:t>
            </w:r>
          </w:p>
        </w:tc>
        <w:tc>
          <w:tcPr>
            <w:tcW w:w="1100" w:type="dxa"/>
            <w:tcBorders>
              <w:top w:val="nil"/>
              <w:left w:val="nil"/>
              <w:bottom w:val="single" w:sz="4" w:space="0" w:color="auto"/>
              <w:right w:val="single" w:sz="8" w:space="0" w:color="auto"/>
            </w:tcBorders>
            <w:shd w:val="clear" w:color="auto" w:fill="CCFFFF"/>
            <w:noWrap/>
            <w:vAlign w:val="bottom"/>
          </w:tcPr>
          <w:p w:rsidR="00D23925" w:rsidRPr="00811563" w:rsidRDefault="00D23925" w:rsidP="003B5E82">
            <w:pPr>
              <w:rPr>
                <w:rFonts w:ascii="Arial" w:hAnsi="Arial" w:cs="Arial"/>
              </w:rPr>
            </w:pPr>
            <w:r>
              <w:rPr>
                <w:rFonts w:ascii="Arial" w:hAnsi="Arial" w:cs="Arial"/>
              </w:rPr>
              <w:t>2 919</w:t>
            </w:r>
            <w:r w:rsidRPr="00811563">
              <w:rPr>
                <w:rFonts w:ascii="Arial" w:hAnsi="Arial" w:cs="Arial"/>
              </w:rPr>
              <w:t> </w:t>
            </w:r>
          </w:p>
        </w:tc>
      </w:tr>
      <w:tr w:rsidR="00D23925" w:rsidTr="003B5E82">
        <w:trPr>
          <w:trHeight w:val="276"/>
        </w:trPr>
        <w:tc>
          <w:tcPr>
            <w:tcW w:w="2760" w:type="dxa"/>
            <w:tcBorders>
              <w:top w:val="nil"/>
              <w:left w:val="single" w:sz="8" w:space="0" w:color="auto"/>
              <w:bottom w:val="single" w:sz="8" w:space="0" w:color="auto"/>
              <w:right w:val="single" w:sz="8" w:space="0" w:color="auto"/>
            </w:tcBorders>
            <w:noWrap/>
            <w:vAlign w:val="bottom"/>
          </w:tcPr>
          <w:p w:rsidR="00D23925" w:rsidRPr="00811563" w:rsidRDefault="00D23925" w:rsidP="003B5E82">
            <w:pPr>
              <w:rPr>
                <w:rFonts w:ascii="Arial" w:hAnsi="Arial" w:cs="Arial"/>
              </w:rPr>
            </w:pPr>
          </w:p>
        </w:tc>
        <w:tc>
          <w:tcPr>
            <w:tcW w:w="240" w:type="dxa"/>
            <w:tcBorders>
              <w:top w:val="nil"/>
              <w:left w:val="nil"/>
              <w:bottom w:val="single" w:sz="8" w:space="0" w:color="auto"/>
              <w:right w:val="single" w:sz="4" w:space="0" w:color="auto"/>
            </w:tcBorders>
            <w:noWrap/>
            <w:vAlign w:val="bottom"/>
          </w:tcPr>
          <w:p w:rsidR="00D23925" w:rsidRPr="00811563" w:rsidRDefault="00D23925" w:rsidP="003B5E82">
            <w:pPr>
              <w:rPr>
                <w:rFonts w:ascii="Arial" w:hAnsi="Arial" w:cs="Arial"/>
              </w:rPr>
            </w:pPr>
          </w:p>
        </w:tc>
        <w:tc>
          <w:tcPr>
            <w:tcW w:w="1080" w:type="dxa"/>
            <w:tcBorders>
              <w:top w:val="nil"/>
              <w:left w:val="nil"/>
              <w:bottom w:val="single" w:sz="8" w:space="0" w:color="auto"/>
              <w:right w:val="single" w:sz="4" w:space="0" w:color="auto"/>
            </w:tcBorders>
            <w:shd w:val="clear" w:color="auto" w:fill="FFFF99"/>
            <w:noWrap/>
            <w:vAlign w:val="bottom"/>
          </w:tcPr>
          <w:p w:rsidR="00D23925" w:rsidRPr="00811563" w:rsidRDefault="00D23925" w:rsidP="003B5E82">
            <w:pPr>
              <w:rPr>
                <w:rFonts w:ascii="Arial" w:hAnsi="Arial" w:cs="Arial"/>
              </w:rPr>
            </w:pPr>
          </w:p>
        </w:tc>
        <w:tc>
          <w:tcPr>
            <w:tcW w:w="1520" w:type="dxa"/>
            <w:tcBorders>
              <w:top w:val="nil"/>
              <w:left w:val="nil"/>
              <w:bottom w:val="single" w:sz="8" w:space="0" w:color="auto"/>
              <w:right w:val="nil"/>
            </w:tcBorders>
            <w:noWrap/>
            <w:vAlign w:val="bottom"/>
          </w:tcPr>
          <w:p w:rsidR="00D23925" w:rsidRPr="00811563" w:rsidRDefault="00D23925" w:rsidP="003B5E82">
            <w:pPr>
              <w:jc w:val="right"/>
              <w:rPr>
                <w:rFonts w:ascii="Arial" w:hAnsi="Arial" w:cs="Arial"/>
              </w:rPr>
            </w:pPr>
          </w:p>
        </w:tc>
        <w:tc>
          <w:tcPr>
            <w:tcW w:w="1540" w:type="dxa"/>
            <w:tcBorders>
              <w:top w:val="nil"/>
              <w:left w:val="single" w:sz="4" w:space="0" w:color="auto"/>
              <w:bottom w:val="single" w:sz="8" w:space="0" w:color="auto"/>
              <w:right w:val="single" w:sz="4" w:space="0" w:color="auto"/>
            </w:tcBorders>
            <w:noWrap/>
            <w:vAlign w:val="bottom"/>
          </w:tcPr>
          <w:p w:rsidR="00D23925" w:rsidRPr="00811563" w:rsidRDefault="00D23925" w:rsidP="003B5E82">
            <w:pPr>
              <w:jc w:val="right"/>
              <w:rPr>
                <w:rFonts w:ascii="Arial" w:hAnsi="Arial" w:cs="Arial"/>
              </w:rPr>
            </w:pPr>
          </w:p>
        </w:tc>
        <w:tc>
          <w:tcPr>
            <w:tcW w:w="1100" w:type="dxa"/>
            <w:tcBorders>
              <w:top w:val="nil"/>
              <w:left w:val="nil"/>
              <w:bottom w:val="single" w:sz="8" w:space="0" w:color="auto"/>
              <w:right w:val="single" w:sz="8" w:space="0" w:color="auto"/>
            </w:tcBorders>
            <w:shd w:val="clear" w:color="auto" w:fill="CCFFFF"/>
            <w:noWrap/>
            <w:vAlign w:val="bottom"/>
          </w:tcPr>
          <w:p w:rsidR="00D23925" w:rsidRPr="00811563" w:rsidRDefault="00D23925" w:rsidP="003B5E82">
            <w:pPr>
              <w:rPr>
                <w:rFonts w:ascii="Arial" w:hAnsi="Arial" w:cs="Arial"/>
              </w:rPr>
            </w:pPr>
          </w:p>
        </w:tc>
      </w:tr>
    </w:tbl>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Sportovní centrum Univerzity Karlovy v Praze Bruslařská 1132/10, Praha 10 Hostivař bude v době provozní odstávky od 1.6. do 31.8. pro veřejnost uzavřené. Nápojové automaty ve Sportovním centru budou provozovány nepřetržitě.</w:t>
      </w:r>
    </w:p>
    <w:p w:rsidR="00D23925" w:rsidRDefault="00D23925" w:rsidP="00F300EA">
      <w:pPr>
        <w:pStyle w:val="Standardnte"/>
        <w:jc w:val="both"/>
        <w:rPr>
          <w:color w:val="auto"/>
        </w:rPr>
      </w:pPr>
    </w:p>
    <w:p w:rsidR="00D23925" w:rsidRPr="006B5BF0" w:rsidRDefault="00D23925" w:rsidP="00F300EA">
      <w:pPr>
        <w:pStyle w:val="Standardnte"/>
        <w:jc w:val="both"/>
        <w:rPr>
          <w:color w:val="auto"/>
        </w:rPr>
      </w:pPr>
      <w:r w:rsidRPr="006B5BF0">
        <w:rPr>
          <w:color w:val="auto"/>
        </w:rPr>
        <w:t xml:space="preserve">2.    </w:t>
      </w:r>
      <w:r>
        <w:rPr>
          <w:color w:val="auto"/>
        </w:rPr>
        <w:t xml:space="preserve">  Platbu</w:t>
      </w:r>
      <w:r w:rsidRPr="006B5BF0">
        <w:rPr>
          <w:color w:val="auto"/>
        </w:rPr>
        <w:t xml:space="preserve"> za umístění a za odběr </w:t>
      </w:r>
      <w:r>
        <w:rPr>
          <w:color w:val="auto"/>
        </w:rPr>
        <w:t xml:space="preserve">el. </w:t>
      </w:r>
      <w:r w:rsidRPr="006B5BF0">
        <w:rPr>
          <w:color w:val="auto"/>
        </w:rPr>
        <w:t>energi</w:t>
      </w:r>
      <w:r>
        <w:rPr>
          <w:color w:val="auto"/>
        </w:rPr>
        <w:t>e a vody</w:t>
      </w:r>
      <w:r w:rsidRPr="006B5BF0">
        <w:rPr>
          <w:color w:val="auto"/>
        </w:rPr>
        <w:t xml:space="preserve"> </w:t>
      </w:r>
      <w:r>
        <w:rPr>
          <w:color w:val="auto"/>
        </w:rPr>
        <w:t xml:space="preserve">prodejními automaty dle předchozího odstavce </w:t>
      </w:r>
      <w:r w:rsidRPr="006B5BF0">
        <w:rPr>
          <w:color w:val="auto"/>
        </w:rPr>
        <w:t xml:space="preserve">zaplatí provozovatel zpětně </w:t>
      </w:r>
      <w:r>
        <w:rPr>
          <w:color w:val="auto"/>
        </w:rPr>
        <w:t xml:space="preserve">ve třetím měsíci kalendářního </w:t>
      </w:r>
      <w:r w:rsidRPr="006B5BF0">
        <w:rPr>
          <w:color w:val="auto"/>
        </w:rPr>
        <w:t>čtvrtlet</w:t>
      </w:r>
      <w:r>
        <w:rPr>
          <w:color w:val="auto"/>
        </w:rPr>
        <w:t>í</w:t>
      </w:r>
      <w:r w:rsidRPr="006B5BF0">
        <w:rPr>
          <w:color w:val="auto"/>
        </w:rPr>
        <w:t xml:space="preserve"> na základě faktury </w:t>
      </w:r>
      <w:r>
        <w:rPr>
          <w:color w:val="auto"/>
        </w:rPr>
        <w:t xml:space="preserve">- </w:t>
      </w:r>
      <w:r w:rsidRPr="006B5BF0">
        <w:rPr>
          <w:color w:val="auto"/>
        </w:rPr>
        <w:t>daňového dokladu</w:t>
      </w:r>
      <w:r>
        <w:rPr>
          <w:color w:val="auto"/>
        </w:rPr>
        <w:t xml:space="preserve"> -</w:t>
      </w:r>
      <w:r w:rsidRPr="006B5BF0">
        <w:rPr>
          <w:color w:val="auto"/>
        </w:rPr>
        <w:t xml:space="preserve"> vystavené odběratelem</w:t>
      </w:r>
      <w:r>
        <w:rPr>
          <w:color w:val="auto"/>
        </w:rPr>
        <w:t xml:space="preserve"> se splatností 14 dnů</w:t>
      </w:r>
      <w:r w:rsidRPr="006B5BF0">
        <w:rPr>
          <w:color w:val="auto"/>
        </w:rPr>
        <w:t>.</w:t>
      </w:r>
      <w:r>
        <w:rPr>
          <w:color w:val="auto"/>
        </w:rPr>
        <w:t xml:space="preserve"> Platba</w:t>
      </w:r>
      <w:r w:rsidRPr="006B5BF0">
        <w:rPr>
          <w:color w:val="auto"/>
        </w:rPr>
        <w:t xml:space="preserve"> bude splatná bankovním převodem v české měně na účet odběratele uvedený v </w:t>
      </w:r>
      <w:r>
        <w:rPr>
          <w:color w:val="auto"/>
        </w:rPr>
        <w:t>záhlaví</w:t>
      </w:r>
      <w:r w:rsidRPr="006B5BF0">
        <w:rPr>
          <w:color w:val="auto"/>
        </w:rPr>
        <w:t xml:space="preserve"> této smlouv</w:t>
      </w:r>
      <w:r>
        <w:rPr>
          <w:color w:val="auto"/>
        </w:rPr>
        <w:t>y.</w:t>
      </w:r>
      <w:r w:rsidRPr="006B5BF0">
        <w:rPr>
          <w:color w:val="auto"/>
        </w:rPr>
        <w:t xml:space="preserve"> </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3.      V případě prodlení s placením se sjednává úrok z prodlení ve výši 0,1% z dlužné částky denně.</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4.      Provozovatel uhradí veškeré náklady na přepravu, stěhování, instalaci a zprovoznění PA. To platí i v případě ukončení účinnosti této smlouvy.</w:t>
      </w:r>
    </w:p>
    <w:p w:rsidR="00D23925" w:rsidRPr="0040218B" w:rsidRDefault="00D23925" w:rsidP="00F300EA">
      <w:pPr>
        <w:pStyle w:val="Standardnte"/>
        <w:jc w:val="both"/>
        <w:rPr>
          <w:color w:val="auto"/>
        </w:rPr>
      </w:pPr>
    </w:p>
    <w:p w:rsidR="00D23925" w:rsidRPr="00630F27" w:rsidRDefault="00D23925" w:rsidP="00630F27">
      <w:pPr>
        <w:pStyle w:val="Default"/>
        <w:jc w:val="both"/>
        <w:rPr>
          <w:rFonts w:ascii="Times New Roman" w:hAnsi="Times New Roman"/>
        </w:rPr>
      </w:pPr>
      <w:r w:rsidRPr="0040218B">
        <w:t xml:space="preserve">5.        </w:t>
      </w:r>
      <w:r w:rsidRPr="00630F27">
        <w:rPr>
          <w:rFonts w:ascii="Times New Roman" w:hAnsi="Times New Roman"/>
        </w:rPr>
        <w:t>Odběratel má právo hodnoty plateb uvedené ve smlouvě čl. IV. odst. 1. jednostranně navyšovat prostřednictvím písemného oznámení o částku procentuálně odpovídající zvýšení míry inflace vyjádřené přírůstkem průměrného ročního indexu spotřebitelských cen (CPI) ve vazbě na příslušný kalendářní rok trvání účinnosti této smlouvy, a to vždy s účinností ode dne 1. ledna příslušného kalendářního roku trvání účinnosti této smlouvy bez zbytečného odkladu poté, co bude toto zvýšení ve vazbě na příslušný kalendářní rok trvání účinnosti této smlouvy zveřejněno Českým statistickým úřadem, přičemž doručením tohoto písemného oznámení provozovateli se toto písemné podání stává nedílnou součástí této smlouvy závaznou pro smluvní strany. První navýšení na základě míry inflace může být provedeno od 1.1.2014.</w:t>
      </w:r>
    </w:p>
    <w:p w:rsidR="00D23925" w:rsidRDefault="00D23925" w:rsidP="00F300EA">
      <w:pPr>
        <w:pStyle w:val="Standardnte"/>
        <w:jc w:val="center"/>
        <w:rPr>
          <w:b/>
          <w:color w:val="auto"/>
        </w:rPr>
      </w:pPr>
    </w:p>
    <w:p w:rsidR="00D23925" w:rsidRDefault="00D23925" w:rsidP="00F300EA">
      <w:pPr>
        <w:pStyle w:val="Standardnte"/>
        <w:jc w:val="center"/>
        <w:rPr>
          <w:b/>
          <w:color w:val="auto"/>
        </w:rPr>
      </w:pPr>
      <w:r>
        <w:rPr>
          <w:b/>
          <w:color w:val="auto"/>
        </w:rPr>
        <w:lastRenderedPageBreak/>
        <w:t>Čl. V.</w:t>
      </w:r>
    </w:p>
    <w:p w:rsidR="00D23925" w:rsidRDefault="00D23925" w:rsidP="00630F27">
      <w:pPr>
        <w:pStyle w:val="Standardnte"/>
        <w:jc w:val="center"/>
        <w:rPr>
          <w:b/>
          <w:color w:val="auto"/>
        </w:rPr>
      </w:pPr>
      <w:r>
        <w:rPr>
          <w:b/>
          <w:color w:val="auto"/>
        </w:rPr>
        <w:t>Práva a povinnosti smluvních stran</w:t>
      </w:r>
    </w:p>
    <w:p w:rsidR="00D23925" w:rsidRDefault="00D23925" w:rsidP="00F300EA">
      <w:pPr>
        <w:pStyle w:val="Standardnte"/>
        <w:jc w:val="both"/>
        <w:rPr>
          <w:color w:val="auto"/>
        </w:rPr>
      </w:pPr>
      <w:r>
        <w:rPr>
          <w:color w:val="auto"/>
        </w:rPr>
        <w:t xml:space="preserve">1. </w:t>
      </w:r>
      <w:r>
        <w:rPr>
          <w:color w:val="auto"/>
        </w:rPr>
        <w:tab/>
        <w:t xml:space="preserve"> Provozovatel :</w:t>
      </w:r>
    </w:p>
    <w:p w:rsidR="00D23925" w:rsidRDefault="00D23925" w:rsidP="00F300EA">
      <w:pPr>
        <w:pStyle w:val="Standardnte"/>
        <w:numPr>
          <w:ilvl w:val="0"/>
          <w:numId w:val="2"/>
        </w:numPr>
        <w:tabs>
          <w:tab w:val="clear" w:pos="720"/>
          <w:tab w:val="num" w:pos="360"/>
        </w:tabs>
        <w:ind w:left="360"/>
        <w:jc w:val="both"/>
        <w:rPr>
          <w:color w:val="auto"/>
        </w:rPr>
        <w:sectPr w:rsidR="00D23925" w:rsidSect="006755A7">
          <w:footerReference w:type="even" r:id="rId8"/>
          <w:footerReference w:type="default" r:id="rId9"/>
          <w:pgSz w:w="11906" w:h="16838"/>
          <w:pgMar w:top="1418" w:right="1418" w:bottom="1418" w:left="1418" w:header="709" w:footer="709" w:gutter="0"/>
          <w:cols w:space="708"/>
          <w:docGrid w:linePitch="360"/>
        </w:sectPr>
      </w:pPr>
    </w:p>
    <w:p w:rsidR="00D23925" w:rsidRDefault="00D23925" w:rsidP="00F300EA">
      <w:pPr>
        <w:pStyle w:val="Standardnte"/>
        <w:numPr>
          <w:ilvl w:val="0"/>
          <w:numId w:val="2"/>
        </w:numPr>
        <w:tabs>
          <w:tab w:val="clear" w:pos="720"/>
          <w:tab w:val="num" w:pos="0"/>
        </w:tabs>
        <w:ind w:left="360"/>
        <w:jc w:val="both"/>
        <w:rPr>
          <w:color w:val="auto"/>
        </w:rPr>
      </w:pPr>
      <w:r>
        <w:rPr>
          <w:color w:val="auto"/>
        </w:rPr>
        <w:t>umístí na odběratelem předem určená místa ve sjednaný termín na vlastní náklady (doprava, umístění, stěhování, připojení k médiím, úklid) dohodnutý počet PA a bude je provozovat v souladu s platnými právními, bezpečnostními, hygienickými a protipožárními předpisy a v součinnosti s odběratelem po dobu účinnosti této smlouvy.</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 xml:space="preserve">zajistí řádný chod PA, nefunkční prodejní nápojový automat opraví nebo vymění do 48 hodin za stejný druh. </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je povinen zajišťovat podle využitelnosti PA jejich servis, obsluhu a doplňování příslušným sortimentem tak, aby byly PA provozuschopné.</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je povinen zajišťovat obsluhu a doplňování PA v pracovní dny před 08:00 hodinou</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 xml:space="preserve">pokud nebude možné odstranit vzniklou vážnou poruchu nebo poškození, bude odběratel o této skutečnosti vyrozuměn přes stanoveného zástupce provozovatele pana Miroslava Vaška, tel. 603 457 771, e-mail </w:t>
      </w:r>
      <w:hyperlink r:id="rId10" w:history="1">
        <w:r w:rsidRPr="00291256">
          <w:rPr>
            <w:rStyle w:val="Hypertextovodkaz"/>
          </w:rPr>
          <w:t>mirek.vasek@volny.cz</w:t>
        </w:r>
      </w:hyperlink>
      <w:r>
        <w:rPr>
          <w:color w:val="auto"/>
        </w:rPr>
        <w:t xml:space="preserve"> , se kterým bude dohodnut postup a termín případné výměny PA za stejný druh.</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je povinen platit řádně, včas a na označený účet úhradu za umístění a za odběr médií pro konkrétní PA v dohodnuté výši na základě čtvrtletně odběratelem vystavené faktury.</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provede prokazatelné označení PA způsobem odpovídajícím tomuto smluvnímu vztahu především s údaji o provozovateli, sídle firmy, označení druhu automatu, INFOLINCE.</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provede jednoznačné označení jednotlivých druhů prodávaného zboží včetně provozovatelem stanovených cen zboží včetně DPH.</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má právo v mezích určeného druhu PA upravovat nabídku sortimentu resp. jejich cenovou hladinu a upravovat technicky PA v souvislosti se změnou platidel.</w:t>
      </w:r>
    </w:p>
    <w:p w:rsidR="00D23925" w:rsidRDefault="00D23925" w:rsidP="00F300EA">
      <w:pPr>
        <w:pStyle w:val="Standardnte"/>
        <w:tabs>
          <w:tab w:val="num" w:pos="0"/>
        </w:tabs>
        <w:ind w:left="360" w:hanging="360"/>
        <w:jc w:val="both"/>
        <w:rPr>
          <w:color w:val="auto"/>
        </w:rPr>
      </w:pPr>
    </w:p>
    <w:p w:rsidR="00D23925" w:rsidRDefault="00D23925" w:rsidP="00F300EA">
      <w:pPr>
        <w:pStyle w:val="Standardnte"/>
        <w:numPr>
          <w:ilvl w:val="0"/>
          <w:numId w:val="2"/>
        </w:numPr>
        <w:tabs>
          <w:tab w:val="clear" w:pos="720"/>
          <w:tab w:val="num" w:pos="0"/>
        </w:tabs>
        <w:ind w:left="360"/>
        <w:jc w:val="both"/>
        <w:rPr>
          <w:color w:val="auto"/>
        </w:rPr>
      </w:pPr>
      <w:r>
        <w:rPr>
          <w:color w:val="auto"/>
        </w:rPr>
        <w:t>bude provádět řádné vyřizování reklamačních požadavků prostřednictvím bezplatné INFOLINKY.</w:t>
      </w:r>
    </w:p>
    <w:p w:rsidR="00D23925" w:rsidRPr="000A7F2D" w:rsidRDefault="00D23925" w:rsidP="00F300EA">
      <w:pPr>
        <w:pStyle w:val="Standardnte"/>
        <w:tabs>
          <w:tab w:val="num" w:pos="0"/>
        </w:tabs>
        <w:ind w:left="360" w:hanging="360"/>
        <w:jc w:val="both"/>
        <w:rPr>
          <w:color w:val="auto"/>
        </w:rPr>
      </w:pPr>
    </w:p>
    <w:p w:rsidR="00D23925" w:rsidRPr="00034152" w:rsidRDefault="00D23925" w:rsidP="00F300EA">
      <w:pPr>
        <w:pStyle w:val="slodstavec"/>
        <w:numPr>
          <w:ilvl w:val="0"/>
          <w:numId w:val="2"/>
        </w:numPr>
        <w:tabs>
          <w:tab w:val="clear" w:pos="720"/>
          <w:tab w:val="num" w:pos="0"/>
        </w:tabs>
        <w:spacing w:before="0" w:after="240"/>
        <w:ind w:left="360"/>
        <w:rPr>
          <w:sz w:val="24"/>
          <w:szCs w:val="24"/>
        </w:rPr>
      </w:pPr>
      <w:r w:rsidRPr="00034152">
        <w:rPr>
          <w:sz w:val="24"/>
          <w:szCs w:val="24"/>
        </w:rPr>
        <w:t>prohlašuje, že přede dnem nabytí účinnosti této smlouvy uzavřel s pojišťovnou se sídlem na území České republiky pojistnou smlouvu, jejímž předmětem je pojištění odpovědnosti provozovatele za škodu vzniklou v souvislosti s poskytováním plnění podle této smlouvy, a to s limitem pojistného plnění nejméně v částce 2.000.000,- Kč z jedné pojistné události, přičemž provozovatel se zavazuje kdykoliv na požádání odběratele bezodkladně, nejpozději však do pěti pracovních dnů od doručení písemné výzvy odběratele, předložit odběrateli certifikát pojišťovny prokazující existenci příslušné pojistné smlouvy. O změnách týkajících se pojištění odpovědnosti za škodu má provozovatel povinnost odběratele informovat, a to nejpozději do 7 dnů od uskutečněné změny. Provozovatel se zavazuje, že pojistná smlouva zůstane v účinnosti v tomto rozsahu po celou dobu účinnosti této smlouvy. V případě, že provozovatel poruší závazky uvedené ve větě první, druhé nebo třetí tohoto písmena, je odběratel oprávněn uplatnit vůči provozovateli jednorázovou smluvní pokutu ve výši 20.000,-Kč.</w:t>
      </w:r>
    </w:p>
    <w:p w:rsidR="00D23925" w:rsidRDefault="00D23925" w:rsidP="00630F27">
      <w:pPr>
        <w:pStyle w:val="Standardnte"/>
        <w:jc w:val="both"/>
        <w:sectPr w:rsidR="00D23925" w:rsidSect="006755A7">
          <w:type w:val="continuous"/>
          <w:pgSz w:w="11906" w:h="16838"/>
          <w:pgMar w:top="1418" w:right="1418" w:bottom="1418" w:left="1418" w:header="709" w:footer="709" w:gutter="0"/>
          <w:cols w:space="708"/>
          <w:docGrid w:linePitch="360"/>
        </w:sectPr>
      </w:pPr>
    </w:p>
    <w:p w:rsidR="00D23925" w:rsidRDefault="00D23925" w:rsidP="00F300EA">
      <w:pPr>
        <w:pStyle w:val="Standardnte"/>
        <w:jc w:val="both"/>
      </w:pPr>
      <w:r>
        <w:t>2.       Odběratel :</w:t>
      </w:r>
    </w:p>
    <w:p w:rsidR="00D23925" w:rsidRDefault="00D23925" w:rsidP="00F300EA">
      <w:pPr>
        <w:pStyle w:val="Standardnte"/>
        <w:jc w:val="both"/>
      </w:pPr>
      <w:r>
        <w:t>a) umožní pro řádné provozování prodejních nápojových automatů jejich připojení na rozvody elektrické energie resp. vody a po sjednanou dobu řádné a nerušené provozování PA a provádění smluvené činnosti ze strany provozovatele.</w:t>
      </w:r>
    </w:p>
    <w:p w:rsidR="00D23925" w:rsidRDefault="00D23925" w:rsidP="00F300EA">
      <w:pPr>
        <w:pStyle w:val="Standardnte"/>
        <w:jc w:val="both"/>
      </w:pPr>
    </w:p>
    <w:p w:rsidR="00D23925" w:rsidRDefault="00D23925" w:rsidP="00F300EA">
      <w:pPr>
        <w:pStyle w:val="Standardnte"/>
        <w:jc w:val="both"/>
      </w:pPr>
      <w:r>
        <w:t>b) se zavazuje zabezpečit elektrické přípojky v souladu s bezpečnostními předpisy - napětí 230 V.</w:t>
      </w:r>
    </w:p>
    <w:p w:rsidR="00D23925" w:rsidRDefault="00D23925" w:rsidP="00F300EA">
      <w:pPr>
        <w:pStyle w:val="Standardnte"/>
        <w:jc w:val="both"/>
      </w:pPr>
    </w:p>
    <w:p w:rsidR="00D23925" w:rsidRDefault="00D23925" w:rsidP="00F300EA">
      <w:pPr>
        <w:pStyle w:val="Standardnte"/>
        <w:jc w:val="both"/>
      </w:pPr>
      <w:r>
        <w:t>c) prostřednictvím kompetentního pracovníka umožní pracovníkům servisu provozovatele v případě opravy přístup k uzávěrům vody a elektrické energie v rozvodných skříních.</w:t>
      </w:r>
    </w:p>
    <w:p w:rsidR="00D23925" w:rsidRDefault="00D23925" w:rsidP="00F300EA">
      <w:pPr>
        <w:pStyle w:val="Standardnte"/>
        <w:jc w:val="both"/>
      </w:pPr>
    </w:p>
    <w:p w:rsidR="00D23925" w:rsidRDefault="00D23925" w:rsidP="00F300EA">
      <w:pPr>
        <w:pStyle w:val="Standardnte"/>
        <w:jc w:val="both"/>
      </w:pPr>
      <w:r>
        <w:t>d) umožní provozovateli přístup k PA tak, aby podle potřeby a v souladu s provozními hodinami byly doplňovány surovinami, zajištěny hygienicky a opraveny.</w:t>
      </w:r>
    </w:p>
    <w:p w:rsidR="00D23925" w:rsidRDefault="00D23925" w:rsidP="00F300EA">
      <w:pPr>
        <w:pStyle w:val="Standardnte"/>
        <w:jc w:val="both"/>
      </w:pPr>
    </w:p>
    <w:p w:rsidR="00D23925" w:rsidRDefault="00D23925" w:rsidP="00F300EA">
      <w:pPr>
        <w:pStyle w:val="Standardnte"/>
        <w:jc w:val="both"/>
      </w:pPr>
      <w:r>
        <w:t>e)  v případě zjištění bude informovat provozovatele o :</w:t>
      </w:r>
    </w:p>
    <w:p w:rsidR="00D23925" w:rsidRDefault="00D23925" w:rsidP="00F300EA">
      <w:pPr>
        <w:pStyle w:val="Standardnte"/>
        <w:jc w:val="both"/>
      </w:pPr>
      <w:r>
        <w:t>- nefunkčnosti či poruše PA</w:t>
      </w:r>
    </w:p>
    <w:p w:rsidR="00D23925" w:rsidRDefault="00D23925" w:rsidP="00F300EA">
      <w:pPr>
        <w:pStyle w:val="Standardnte"/>
        <w:jc w:val="both"/>
      </w:pPr>
      <w:r>
        <w:t>- poškození či vykradení PA</w:t>
      </w:r>
    </w:p>
    <w:p w:rsidR="00D23925" w:rsidRDefault="00D23925" w:rsidP="00F300EA">
      <w:pPr>
        <w:pStyle w:val="Standardnte"/>
        <w:jc w:val="both"/>
      </w:pPr>
      <w:r>
        <w:t>- škodě nebo poškození PA</w:t>
      </w:r>
    </w:p>
    <w:p w:rsidR="00D23925" w:rsidRDefault="00D23925" w:rsidP="00F300EA">
      <w:pPr>
        <w:pStyle w:val="Standardnte"/>
        <w:jc w:val="both"/>
      </w:pPr>
      <w:r>
        <w:t>- podle možností provede nezbytná opatření k minimalizaci možného poškozování PA.</w:t>
      </w:r>
    </w:p>
    <w:p w:rsidR="00D23925" w:rsidRDefault="00D23925" w:rsidP="00F300EA">
      <w:pPr>
        <w:pStyle w:val="Standardnte"/>
        <w:jc w:val="both"/>
      </w:pPr>
    </w:p>
    <w:p w:rsidR="00D23925" w:rsidRDefault="00D23925" w:rsidP="00F300EA">
      <w:pPr>
        <w:pStyle w:val="Standardnte"/>
        <w:jc w:val="both"/>
      </w:pPr>
      <w:r>
        <w:t>f)  v době mezi pravidelnými návštěvami obsluhy PA dohlíží na dodržování pořádku a čistoty kolem PA a svým nákladem zajistí běžný úklid prostor kolem automatů v rámci pravidelného úklidu prostor.</w:t>
      </w:r>
    </w:p>
    <w:p w:rsidR="00D23925" w:rsidRDefault="00D23925" w:rsidP="00F300EA">
      <w:pPr>
        <w:pStyle w:val="Standardnte"/>
        <w:jc w:val="both"/>
        <w:rPr>
          <w:color w:val="auto"/>
        </w:rPr>
      </w:pPr>
    </w:p>
    <w:p w:rsidR="00D23925" w:rsidRDefault="00D23925" w:rsidP="00F300EA">
      <w:pPr>
        <w:pStyle w:val="Standardnte"/>
        <w:jc w:val="center"/>
        <w:rPr>
          <w:b/>
          <w:color w:val="auto"/>
        </w:rPr>
      </w:pPr>
      <w:r>
        <w:rPr>
          <w:b/>
          <w:color w:val="auto"/>
        </w:rPr>
        <w:t>Čl. VI.</w:t>
      </w:r>
    </w:p>
    <w:p w:rsidR="00D23925" w:rsidRDefault="00D23925" w:rsidP="00630F27">
      <w:pPr>
        <w:pStyle w:val="Standardnte"/>
        <w:jc w:val="center"/>
        <w:rPr>
          <w:b/>
          <w:color w:val="auto"/>
        </w:rPr>
      </w:pPr>
      <w:r>
        <w:rPr>
          <w:b/>
          <w:color w:val="auto"/>
        </w:rPr>
        <w:t>Doba trvání a ukončení smlouvy</w:t>
      </w:r>
    </w:p>
    <w:p w:rsidR="00D23925" w:rsidRDefault="00D23925" w:rsidP="00F300EA">
      <w:pPr>
        <w:pStyle w:val="Standardnte"/>
        <w:jc w:val="both"/>
        <w:rPr>
          <w:color w:val="auto"/>
        </w:rPr>
      </w:pPr>
      <w:r>
        <w:rPr>
          <w:color w:val="auto"/>
        </w:rPr>
        <w:t>1.</w:t>
      </w:r>
      <w:r>
        <w:rPr>
          <w:color w:val="auto"/>
        </w:rPr>
        <w:tab/>
        <w:t>Smlouva se sjednává na dobu neurčitou, s účinností od 1.9.2012.</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2.</w:t>
      </w:r>
      <w:r>
        <w:rPr>
          <w:color w:val="auto"/>
        </w:rPr>
        <w:tab/>
        <w:t>Tuto smlouvu lze vypovědět i bez udání důvodu, výpověď musí být dána písemně a doručena druhé smluvní straně, jinak je neplatná. Výpovědní lhůta je tři měsíce a počíná běžet prvním dnem měsíce následujícího ode dne doručení výpovědi druhé</w:t>
      </w:r>
      <w:r w:rsidRPr="007002AF">
        <w:rPr>
          <w:color w:val="auto"/>
        </w:rPr>
        <w:t xml:space="preserve"> </w:t>
      </w:r>
      <w:r>
        <w:rPr>
          <w:color w:val="auto"/>
        </w:rPr>
        <w:t>smluvní straně. V případě pochybnosti o doručení výpovědi druhé smluvní straně se za den doručení výpovědi považuje třetí den uložení zásilky na poště.</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3.        Odběratel může písemně vypovědět tuto smlouvu, s výpovědní lhůtou 2 dny, která počíná běžet dnem následujícím po dni doručení výpovědi provozovateli, a to z následujících důvodů :</w:t>
      </w:r>
    </w:p>
    <w:p w:rsidR="00D23925" w:rsidRDefault="00D23925" w:rsidP="00F300EA">
      <w:pPr>
        <w:pStyle w:val="Standardnte"/>
        <w:numPr>
          <w:ilvl w:val="0"/>
          <w:numId w:val="1"/>
        </w:numPr>
        <w:jc w:val="both"/>
        <w:rPr>
          <w:color w:val="auto"/>
        </w:rPr>
      </w:pPr>
      <w:r>
        <w:rPr>
          <w:color w:val="auto"/>
        </w:rPr>
        <w:t>Provozovatel zajišťuje předmět smlouvy v rozporu s ustanoveními této smlouvy,</w:t>
      </w:r>
    </w:p>
    <w:p w:rsidR="00D23925" w:rsidRDefault="00D23925" w:rsidP="00F300EA">
      <w:pPr>
        <w:pStyle w:val="Standardnte"/>
        <w:numPr>
          <w:ilvl w:val="0"/>
          <w:numId w:val="1"/>
        </w:numPr>
        <w:jc w:val="both"/>
        <w:rPr>
          <w:color w:val="auto"/>
        </w:rPr>
      </w:pPr>
      <w:r>
        <w:rPr>
          <w:color w:val="auto"/>
        </w:rPr>
        <w:t>Provozovatel je v prodlení delším 30 dnů s placením za umístění PA nebo dalších plateb,</w:t>
      </w:r>
    </w:p>
    <w:p w:rsidR="00D23925" w:rsidRDefault="00D23925" w:rsidP="00F300EA">
      <w:pPr>
        <w:pStyle w:val="Standardnte"/>
        <w:numPr>
          <w:ilvl w:val="0"/>
          <w:numId w:val="1"/>
        </w:numPr>
        <w:jc w:val="both"/>
        <w:rPr>
          <w:color w:val="auto"/>
        </w:rPr>
      </w:pPr>
      <w:r>
        <w:rPr>
          <w:color w:val="auto"/>
        </w:rPr>
        <w:t>Provozovatel opakovaně porušil některou z povinností dle Čl. V. odst. 1. této smlouvy i přes předchozí písemné upozornění odběratele.</w:t>
      </w:r>
    </w:p>
    <w:p w:rsidR="00D23925" w:rsidRDefault="00D23925" w:rsidP="00F300EA">
      <w:pPr>
        <w:pStyle w:val="Standardnte"/>
        <w:jc w:val="both"/>
        <w:rPr>
          <w:color w:val="auto"/>
        </w:rPr>
      </w:pPr>
      <w:r>
        <w:rPr>
          <w:color w:val="auto"/>
        </w:rPr>
        <w:t>V případě pochybnosti o doručení výpovědi provozovateli se za den doručení výpovědi považuje třetí den uložení zásilky na poště.</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 xml:space="preserve">4.         </w:t>
      </w:r>
      <w:r w:rsidRPr="00E806FD">
        <w:rPr>
          <w:color w:val="auto"/>
        </w:rPr>
        <w:t>Nejpozději do dvou dnů po ukončení účinnosti této smlouvy je provozovatel povinen odvézt předmětné PA z objektů odběratele a tento je povinen odvoz PA umožnit. Pokud provozovatel nesplní tuto povinnost, je povinen zaplatit odběrateli za každý započatý den prodlení a za každý PA smluvní pokutu ve výši 500,- Kč.</w:t>
      </w:r>
    </w:p>
    <w:p w:rsidR="00D23925" w:rsidRDefault="00D23925" w:rsidP="00F300EA">
      <w:pPr>
        <w:pStyle w:val="Standardnte"/>
        <w:jc w:val="both"/>
        <w:rPr>
          <w:color w:val="auto"/>
        </w:rPr>
      </w:pPr>
    </w:p>
    <w:p w:rsidR="00D23925" w:rsidRDefault="00D23925" w:rsidP="00F300EA">
      <w:pPr>
        <w:pStyle w:val="Standardnte"/>
        <w:jc w:val="center"/>
        <w:rPr>
          <w:b/>
          <w:bCs/>
          <w:color w:val="auto"/>
        </w:rPr>
      </w:pPr>
      <w:r>
        <w:rPr>
          <w:b/>
          <w:bCs/>
          <w:color w:val="auto"/>
        </w:rPr>
        <w:t>Čl. VII.</w:t>
      </w:r>
    </w:p>
    <w:p w:rsidR="00D23925" w:rsidRPr="00630F27" w:rsidRDefault="00D23925" w:rsidP="00630F27">
      <w:pPr>
        <w:pStyle w:val="Standardnte"/>
        <w:jc w:val="center"/>
        <w:rPr>
          <w:b/>
          <w:bCs/>
          <w:color w:val="auto"/>
        </w:rPr>
      </w:pPr>
      <w:r>
        <w:rPr>
          <w:b/>
          <w:bCs/>
          <w:color w:val="auto"/>
        </w:rPr>
        <w:t>Sankční ujednání</w:t>
      </w:r>
    </w:p>
    <w:p w:rsidR="00D23925" w:rsidRDefault="00D23925" w:rsidP="00F300EA">
      <w:pPr>
        <w:pStyle w:val="Standardnte"/>
        <w:numPr>
          <w:ilvl w:val="0"/>
          <w:numId w:val="3"/>
        </w:numPr>
        <w:ind w:left="0" w:firstLine="0"/>
        <w:jc w:val="both"/>
        <w:rPr>
          <w:color w:val="auto"/>
        </w:rPr>
      </w:pPr>
      <w:r>
        <w:rPr>
          <w:color w:val="auto"/>
        </w:rPr>
        <w:t>Provozovatel se zavazuje zaplatit odběrateli v případě porušení níže uvedených povinností smluvní pokutu. Smluvní pokuta činí v případě, že provozovatel nezajistí podle ustanovení čl. V odst. 1 písm. b) této smlouvy řádné fungování PA opravou resp. jeho výměnu do 48 hodin po zjištění poruchy, 100,- Kč/denně za každý i započatý pracovní den nefunkčnosti PA.</w:t>
      </w:r>
    </w:p>
    <w:p w:rsidR="00D23925" w:rsidRDefault="00D23925" w:rsidP="00F300EA">
      <w:pPr>
        <w:pStyle w:val="Standardnte"/>
        <w:ind w:left="709" w:hanging="709"/>
        <w:jc w:val="both"/>
        <w:rPr>
          <w:color w:val="auto"/>
        </w:rPr>
      </w:pPr>
    </w:p>
    <w:p w:rsidR="00D23925" w:rsidRDefault="00D23925" w:rsidP="00F300EA">
      <w:pPr>
        <w:pStyle w:val="Standardnte"/>
        <w:numPr>
          <w:ilvl w:val="0"/>
          <w:numId w:val="3"/>
        </w:numPr>
        <w:ind w:left="709" w:hanging="709"/>
        <w:jc w:val="both"/>
        <w:rPr>
          <w:color w:val="auto"/>
        </w:rPr>
      </w:pPr>
      <w:r>
        <w:rPr>
          <w:color w:val="auto"/>
        </w:rPr>
        <w:t>Uhrazením smluvní pokuty dle této smlouvy není dotčen nárok na náhradu škody.</w:t>
      </w:r>
    </w:p>
    <w:p w:rsidR="00D23925" w:rsidRDefault="00D23925" w:rsidP="00F300EA">
      <w:pPr>
        <w:pStyle w:val="Standardnte"/>
        <w:rPr>
          <w:color w:val="auto"/>
        </w:rPr>
      </w:pPr>
    </w:p>
    <w:p w:rsidR="00D23925" w:rsidRDefault="00D23925" w:rsidP="00F300EA">
      <w:pPr>
        <w:pStyle w:val="Standardnte"/>
        <w:rPr>
          <w:color w:val="auto"/>
        </w:rPr>
      </w:pPr>
    </w:p>
    <w:p w:rsidR="00D23925" w:rsidRDefault="00D23925" w:rsidP="00F300EA">
      <w:pPr>
        <w:pStyle w:val="Standardnte"/>
        <w:jc w:val="center"/>
        <w:rPr>
          <w:color w:val="auto"/>
        </w:rPr>
      </w:pPr>
      <w:r>
        <w:rPr>
          <w:b/>
          <w:bCs/>
          <w:color w:val="auto"/>
        </w:rPr>
        <w:t>Čl. VIII.</w:t>
      </w:r>
    </w:p>
    <w:p w:rsidR="00D23925" w:rsidRDefault="00D23925" w:rsidP="00F300EA">
      <w:pPr>
        <w:pStyle w:val="Standardnte"/>
        <w:jc w:val="both"/>
        <w:rPr>
          <w:b/>
          <w:color w:val="auto"/>
        </w:rPr>
      </w:pPr>
      <w:r>
        <w:rPr>
          <w:color w:val="auto"/>
        </w:rPr>
        <w:t xml:space="preserve">                                                        </w:t>
      </w:r>
      <w:r>
        <w:rPr>
          <w:b/>
          <w:color w:val="auto"/>
        </w:rPr>
        <w:t>Závěrečná ustanovení</w:t>
      </w:r>
    </w:p>
    <w:p w:rsidR="00D23925" w:rsidRDefault="00D23925" w:rsidP="00F300EA">
      <w:pPr>
        <w:pStyle w:val="Standardnte"/>
        <w:jc w:val="both"/>
        <w:rPr>
          <w:color w:val="auto"/>
        </w:rPr>
      </w:pPr>
      <w:r>
        <w:rPr>
          <w:color w:val="auto"/>
        </w:rPr>
        <w:t>1.</w:t>
      </w:r>
      <w:r>
        <w:rPr>
          <w:color w:val="auto"/>
        </w:rPr>
        <w:tab/>
        <w:t xml:space="preserve"> Tato smlouva je vyhotovena ve třech stejnopisech s platností originálu, z nichž odběratel obdrží dvě vyhotovení a provozovatel jedno vyhotovení. Tato smlouva nabývá účinnosti dne 1.9.2012.</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2.</w:t>
      </w:r>
      <w:r>
        <w:rPr>
          <w:color w:val="auto"/>
        </w:rPr>
        <w:tab/>
        <w:t xml:space="preserve"> </w:t>
      </w:r>
      <w:r w:rsidRPr="000F63C3">
        <w:t>Smluvní strany se dohodly, že tento závazkový vztah a vztahy z něj vyplývající se řídí     Obchodním zákoníkem v platném znění podle ust. 262 odst.</w:t>
      </w:r>
      <w:r>
        <w:t xml:space="preserve"> 1 zákona č. 513/1991 Sb., obchodního zákoníku, v platném znění.</w:t>
      </w:r>
    </w:p>
    <w:p w:rsidR="00D23925" w:rsidRDefault="00D23925" w:rsidP="00F300EA">
      <w:pPr>
        <w:pStyle w:val="Standardnte"/>
        <w:jc w:val="both"/>
        <w:rPr>
          <w:color w:val="auto"/>
        </w:rPr>
      </w:pPr>
    </w:p>
    <w:p w:rsidR="00D23925" w:rsidRDefault="00D23925" w:rsidP="00D11B77">
      <w:pPr>
        <w:pStyle w:val="Standardnte"/>
        <w:numPr>
          <w:ilvl w:val="0"/>
          <w:numId w:val="3"/>
        </w:numPr>
        <w:ind w:left="0" w:firstLine="0"/>
        <w:jc w:val="both"/>
        <w:rPr>
          <w:color w:val="auto"/>
        </w:rPr>
      </w:pPr>
      <w:r>
        <w:rPr>
          <w:color w:val="auto"/>
        </w:rPr>
        <w:t>Tuto smlouvu lze měnit a doplňovat pouze vzestupně číslovanými písemnými dodatky podepsanými oběma stranami.</w:t>
      </w:r>
    </w:p>
    <w:p w:rsidR="00D23925" w:rsidRDefault="00D23925" w:rsidP="00D11B77">
      <w:pPr>
        <w:pStyle w:val="Standardnte"/>
        <w:jc w:val="both"/>
        <w:rPr>
          <w:color w:val="auto"/>
        </w:rPr>
      </w:pPr>
    </w:p>
    <w:p w:rsidR="00D23925" w:rsidRDefault="00D23925" w:rsidP="00D11B77">
      <w:pPr>
        <w:numPr>
          <w:ilvl w:val="0"/>
          <w:numId w:val="3"/>
        </w:numPr>
        <w:overflowPunct w:val="0"/>
        <w:autoSpaceDE w:val="0"/>
        <w:autoSpaceDN w:val="0"/>
        <w:adjustRightInd w:val="0"/>
        <w:ind w:left="0" w:firstLine="0"/>
        <w:jc w:val="both"/>
        <w:rPr>
          <w:sz w:val="24"/>
          <w:szCs w:val="24"/>
        </w:rPr>
      </w:pPr>
      <w:r>
        <w:rPr>
          <w:sz w:val="24"/>
          <w:szCs w:val="24"/>
        </w:rPr>
        <w:t>Pro případ, že kterékoliv ustanovení této smlouvy se stane neúčinným nebo neplatným, smluvní strany se zavazují bez zbytečných odkladů nahradit takové ustanovení novým.</w:t>
      </w:r>
    </w:p>
    <w:p w:rsidR="00D23925" w:rsidRDefault="00D23925" w:rsidP="00D11B77">
      <w:pPr>
        <w:overflowPunct w:val="0"/>
        <w:autoSpaceDE w:val="0"/>
        <w:autoSpaceDN w:val="0"/>
        <w:adjustRightInd w:val="0"/>
        <w:jc w:val="both"/>
        <w:rPr>
          <w:sz w:val="24"/>
          <w:szCs w:val="24"/>
        </w:rPr>
      </w:pPr>
    </w:p>
    <w:p w:rsidR="00D23925" w:rsidRPr="002F7781" w:rsidRDefault="00D23925" w:rsidP="00D11B77">
      <w:pPr>
        <w:numPr>
          <w:ilvl w:val="0"/>
          <w:numId w:val="3"/>
        </w:numPr>
        <w:overflowPunct w:val="0"/>
        <w:autoSpaceDE w:val="0"/>
        <w:autoSpaceDN w:val="0"/>
        <w:adjustRightInd w:val="0"/>
        <w:ind w:left="0" w:firstLine="0"/>
        <w:jc w:val="both"/>
        <w:rPr>
          <w:sz w:val="24"/>
          <w:szCs w:val="24"/>
        </w:rPr>
      </w:pPr>
      <w:r>
        <w:rPr>
          <w:sz w:val="24"/>
          <w:szCs w:val="24"/>
        </w:rPr>
        <w:t>Případná neplatnost některého z ustanovení této smlouvy nemá za následek neplatnost ostatních ustanovení.</w:t>
      </w:r>
    </w:p>
    <w:p w:rsidR="00D23925" w:rsidRDefault="00D23925" w:rsidP="00F300EA">
      <w:pPr>
        <w:pStyle w:val="Standardnte"/>
        <w:ind w:left="720" w:hanging="720"/>
        <w:jc w:val="both"/>
        <w:rPr>
          <w:color w:val="auto"/>
        </w:rPr>
      </w:pPr>
    </w:p>
    <w:p w:rsidR="00D23925" w:rsidRDefault="00D23925" w:rsidP="006A0153">
      <w:pPr>
        <w:pStyle w:val="Standardnte"/>
        <w:numPr>
          <w:ilvl w:val="0"/>
          <w:numId w:val="3"/>
        </w:numPr>
        <w:ind w:left="0" w:firstLine="0"/>
        <w:jc w:val="both"/>
        <w:rPr>
          <w:color w:val="auto"/>
        </w:rPr>
      </w:pPr>
      <w:r>
        <w:rPr>
          <w:color w:val="auto"/>
        </w:rPr>
        <w:t>Veškeré písemné úkony, jejichž doručení druhé smluvní straně je vyžadováno touto smlouvou, se považují za doručené třetího dne po dni jejich odeslání ve formě doporučeného dopisu na adresu druhé smluvní strany uvedenou v záhlaví této smlouvy, a to v případě, že adresát zásilku odmítne převzít nebo si ji nevyžádá.</w:t>
      </w:r>
    </w:p>
    <w:p w:rsidR="00D23925" w:rsidRDefault="00D23925" w:rsidP="006A0153">
      <w:pPr>
        <w:pStyle w:val="Standardnte"/>
        <w:jc w:val="both"/>
        <w:rPr>
          <w:color w:val="auto"/>
        </w:rPr>
      </w:pPr>
    </w:p>
    <w:p w:rsidR="00D23925" w:rsidRDefault="00D23925" w:rsidP="006A0153">
      <w:pPr>
        <w:numPr>
          <w:ilvl w:val="0"/>
          <w:numId w:val="3"/>
        </w:numPr>
        <w:overflowPunct w:val="0"/>
        <w:autoSpaceDE w:val="0"/>
        <w:autoSpaceDN w:val="0"/>
        <w:adjustRightInd w:val="0"/>
        <w:ind w:left="0" w:firstLine="0"/>
        <w:jc w:val="both"/>
        <w:rPr>
          <w:sz w:val="24"/>
          <w:szCs w:val="24"/>
        </w:rPr>
      </w:pPr>
      <w:r>
        <w:rPr>
          <w:sz w:val="24"/>
          <w:szCs w:val="24"/>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rsidR="00D23925" w:rsidRDefault="00D23925" w:rsidP="006A0153">
      <w:pPr>
        <w:overflowPunct w:val="0"/>
        <w:autoSpaceDE w:val="0"/>
        <w:autoSpaceDN w:val="0"/>
        <w:adjustRightInd w:val="0"/>
        <w:jc w:val="both"/>
        <w:rPr>
          <w:sz w:val="24"/>
          <w:szCs w:val="24"/>
        </w:rPr>
      </w:pPr>
    </w:p>
    <w:p w:rsidR="00D23925" w:rsidRPr="002F7781" w:rsidRDefault="00D23925" w:rsidP="006A0153">
      <w:pPr>
        <w:numPr>
          <w:ilvl w:val="0"/>
          <w:numId w:val="3"/>
        </w:numPr>
        <w:overflowPunct w:val="0"/>
        <w:autoSpaceDE w:val="0"/>
        <w:autoSpaceDN w:val="0"/>
        <w:adjustRightInd w:val="0"/>
        <w:ind w:hanging="720"/>
        <w:jc w:val="both"/>
        <w:rPr>
          <w:sz w:val="24"/>
          <w:szCs w:val="24"/>
        </w:rPr>
      </w:pPr>
      <w:r w:rsidRPr="002F7781">
        <w:rPr>
          <w:sz w:val="24"/>
        </w:rPr>
        <w:t>Nedílnou součástí této smlouvy je :</w:t>
      </w:r>
    </w:p>
    <w:p w:rsidR="00D23925" w:rsidRDefault="00D23925" w:rsidP="00F300EA">
      <w:pPr>
        <w:ind w:left="567"/>
        <w:rPr>
          <w:sz w:val="24"/>
          <w:szCs w:val="24"/>
        </w:rPr>
      </w:pPr>
    </w:p>
    <w:p w:rsidR="00D23925" w:rsidRDefault="00D23925" w:rsidP="00F300EA">
      <w:pPr>
        <w:ind w:firstLine="708"/>
        <w:rPr>
          <w:sz w:val="24"/>
        </w:rPr>
      </w:pPr>
      <w:r>
        <w:rPr>
          <w:sz w:val="24"/>
        </w:rPr>
        <w:t xml:space="preserve">Příloha č. 1 – Specifikace umístění, počtu a druhu prodejních automatů </w:t>
      </w: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 xml:space="preserve">V Praze dne </w:t>
      </w:r>
      <w:r w:rsidR="00156C30">
        <w:rPr>
          <w:color w:val="auto"/>
        </w:rPr>
        <w:t>10. 8. 2012</w:t>
      </w:r>
    </w:p>
    <w:p w:rsidR="00D23925" w:rsidRDefault="00D23925" w:rsidP="00F300EA">
      <w:pPr>
        <w:pStyle w:val="Standardnte"/>
        <w:jc w:val="both"/>
        <w:rPr>
          <w:color w:val="auto"/>
        </w:rPr>
      </w:pPr>
    </w:p>
    <w:p w:rsidR="00D23925" w:rsidRDefault="00D23925" w:rsidP="00F300EA">
      <w:pPr>
        <w:pStyle w:val="Standardnte"/>
        <w:jc w:val="both"/>
        <w:rPr>
          <w:color w:val="auto"/>
        </w:rPr>
      </w:pPr>
    </w:p>
    <w:p w:rsidR="00D23925" w:rsidRDefault="00D23925" w:rsidP="00F300EA">
      <w:pPr>
        <w:pStyle w:val="Standardnte"/>
        <w:jc w:val="both"/>
        <w:rPr>
          <w:color w:val="auto"/>
        </w:rPr>
      </w:pPr>
      <w:r>
        <w:rPr>
          <w:color w:val="auto"/>
        </w:rPr>
        <w:t xml:space="preserve">. . . . . . . . . . . . . . . . . . . . . . . . .                                         . . . . . . . . . . . . . . . . . . . . . . </w:t>
      </w:r>
    </w:p>
    <w:p w:rsidR="00D23925" w:rsidRPr="006755A7" w:rsidRDefault="00D23925" w:rsidP="006755A7">
      <w:pPr>
        <w:pStyle w:val="Standardnte"/>
        <w:jc w:val="both"/>
        <w:rPr>
          <w:color w:val="auto"/>
        </w:rPr>
      </w:pPr>
      <w:r>
        <w:t xml:space="preserve">                  odběratel</w:t>
      </w:r>
      <w:r>
        <w:tab/>
      </w:r>
      <w:r>
        <w:tab/>
      </w:r>
      <w:r>
        <w:tab/>
      </w:r>
      <w:r>
        <w:tab/>
      </w:r>
      <w:r>
        <w:tab/>
        <w:t xml:space="preserve">                   provozovatel    </w:t>
      </w:r>
    </w:p>
    <w:sectPr w:rsidR="00D23925" w:rsidRPr="006755A7" w:rsidSect="006755A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25" w:rsidRDefault="00D23925" w:rsidP="00F85E6A">
      <w:r>
        <w:separator/>
      </w:r>
    </w:p>
  </w:endnote>
  <w:endnote w:type="continuationSeparator" w:id="0">
    <w:p w:rsidR="00D23925" w:rsidRDefault="00D23925" w:rsidP="00F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25" w:rsidRDefault="00D23925" w:rsidP="00DC73A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23925" w:rsidRDefault="00D23925" w:rsidP="00CE3B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25" w:rsidRDefault="00D23925" w:rsidP="00DC73A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56C30">
      <w:rPr>
        <w:rStyle w:val="slostrnky"/>
        <w:noProof/>
      </w:rPr>
      <w:t>1</w:t>
    </w:r>
    <w:r>
      <w:rPr>
        <w:rStyle w:val="slostrnky"/>
      </w:rPr>
      <w:fldChar w:fldCharType="end"/>
    </w:r>
  </w:p>
  <w:p w:rsidR="00D23925" w:rsidRDefault="00D23925" w:rsidP="00CE3B4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25" w:rsidRDefault="00D23925" w:rsidP="00F85E6A">
      <w:r>
        <w:separator/>
      </w:r>
    </w:p>
  </w:footnote>
  <w:footnote w:type="continuationSeparator" w:id="0">
    <w:p w:rsidR="00D23925" w:rsidRDefault="00D23925" w:rsidP="00F85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153"/>
    <w:multiLevelType w:val="hybridMultilevel"/>
    <w:tmpl w:val="885A5520"/>
    <w:lvl w:ilvl="0" w:tplc="D634129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52458C"/>
    <w:multiLevelType w:val="hybridMultilevel"/>
    <w:tmpl w:val="266EAFF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C742279"/>
    <w:multiLevelType w:val="hybridMultilevel"/>
    <w:tmpl w:val="E2D6B2D8"/>
    <w:lvl w:ilvl="0" w:tplc="BC0A4906">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E3F4E61"/>
    <w:multiLevelType w:val="hybridMultilevel"/>
    <w:tmpl w:val="5792150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0EA"/>
    <w:rsid w:val="00014595"/>
    <w:rsid w:val="00034152"/>
    <w:rsid w:val="000855B2"/>
    <w:rsid w:val="000A655E"/>
    <w:rsid w:val="000A7F2D"/>
    <w:rsid w:val="000B1CF1"/>
    <w:rsid w:val="000E62A9"/>
    <w:rsid w:val="000F100E"/>
    <w:rsid w:val="000F63C3"/>
    <w:rsid w:val="0010076D"/>
    <w:rsid w:val="00141966"/>
    <w:rsid w:val="001548EC"/>
    <w:rsid w:val="00156C30"/>
    <w:rsid w:val="0024289E"/>
    <w:rsid w:val="00263112"/>
    <w:rsid w:val="0026783C"/>
    <w:rsid w:val="00291256"/>
    <w:rsid w:val="002D5C4B"/>
    <w:rsid w:val="002F7781"/>
    <w:rsid w:val="003108F6"/>
    <w:rsid w:val="00332745"/>
    <w:rsid w:val="00396D23"/>
    <w:rsid w:val="003B5E82"/>
    <w:rsid w:val="003D1A90"/>
    <w:rsid w:val="00401997"/>
    <w:rsid w:val="00401BFB"/>
    <w:rsid w:val="0040218B"/>
    <w:rsid w:val="00407731"/>
    <w:rsid w:val="004C0BC4"/>
    <w:rsid w:val="0051105C"/>
    <w:rsid w:val="00526ED3"/>
    <w:rsid w:val="005D77C2"/>
    <w:rsid w:val="00630F27"/>
    <w:rsid w:val="00671B49"/>
    <w:rsid w:val="006755A7"/>
    <w:rsid w:val="006A0153"/>
    <w:rsid w:val="006B5BF0"/>
    <w:rsid w:val="006F1910"/>
    <w:rsid w:val="007002AF"/>
    <w:rsid w:val="00811563"/>
    <w:rsid w:val="00826D93"/>
    <w:rsid w:val="00885CCE"/>
    <w:rsid w:val="008930EC"/>
    <w:rsid w:val="008D5D0F"/>
    <w:rsid w:val="00902A81"/>
    <w:rsid w:val="00925B2A"/>
    <w:rsid w:val="00AA2F99"/>
    <w:rsid w:val="00AF4C5F"/>
    <w:rsid w:val="00B27FE1"/>
    <w:rsid w:val="00B35AC1"/>
    <w:rsid w:val="00B55147"/>
    <w:rsid w:val="00CB2337"/>
    <w:rsid w:val="00CE3B45"/>
    <w:rsid w:val="00D11B77"/>
    <w:rsid w:val="00D23925"/>
    <w:rsid w:val="00DC73AD"/>
    <w:rsid w:val="00E57B62"/>
    <w:rsid w:val="00E6513C"/>
    <w:rsid w:val="00E806FD"/>
    <w:rsid w:val="00EB0249"/>
    <w:rsid w:val="00EB7DDC"/>
    <w:rsid w:val="00EF0339"/>
    <w:rsid w:val="00F300EA"/>
    <w:rsid w:val="00F71B50"/>
    <w:rsid w:val="00F76A0C"/>
    <w:rsid w:val="00F85E6A"/>
    <w:rsid w:val="00FC46C4"/>
    <w:rsid w:val="00FF3A9A"/>
    <w:rsid w:val="00FF6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00EA"/>
    <w:rPr>
      <w:rFonts w:ascii="Times New Roman" w:eastAsia="Times New Roman" w:hAnsi="Times New Roman"/>
      <w:sz w:val="20"/>
      <w:szCs w:val="20"/>
    </w:rPr>
  </w:style>
  <w:style w:type="paragraph" w:styleId="Nadpis1">
    <w:name w:val="heading 1"/>
    <w:basedOn w:val="Normln"/>
    <w:next w:val="Normln"/>
    <w:link w:val="Nadpis1Char"/>
    <w:uiPriority w:val="99"/>
    <w:qFormat/>
    <w:rsid w:val="00F300EA"/>
    <w:pPr>
      <w:keepNext/>
      <w:outlineLvl w:val="0"/>
    </w:pPr>
    <w:rPr>
      <w:sz w:val="24"/>
    </w:rPr>
  </w:style>
  <w:style w:type="paragraph" w:styleId="Nadpis2">
    <w:name w:val="heading 2"/>
    <w:basedOn w:val="Normln"/>
    <w:next w:val="Normln"/>
    <w:link w:val="Nadpis2Char"/>
    <w:uiPriority w:val="99"/>
    <w:qFormat/>
    <w:rsid w:val="00F300E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F300EA"/>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300EA"/>
    <w:rPr>
      <w:rFonts w:ascii="Times New Roman" w:hAnsi="Times New Roman" w:cs="Times New Roman"/>
      <w:sz w:val="20"/>
      <w:szCs w:val="20"/>
      <w:lang w:eastAsia="cs-CZ"/>
    </w:rPr>
  </w:style>
  <w:style w:type="character" w:customStyle="1" w:styleId="Nadpis2Char">
    <w:name w:val="Nadpis 2 Char"/>
    <w:basedOn w:val="Standardnpsmoodstavce"/>
    <w:link w:val="Nadpis2"/>
    <w:uiPriority w:val="99"/>
    <w:locked/>
    <w:rsid w:val="00F300EA"/>
    <w:rPr>
      <w:rFonts w:ascii="Arial" w:hAnsi="Arial" w:cs="Arial"/>
      <w:b/>
      <w:bCs/>
      <w:i/>
      <w:iCs/>
      <w:sz w:val="28"/>
      <w:szCs w:val="28"/>
      <w:lang w:eastAsia="cs-CZ"/>
    </w:rPr>
  </w:style>
  <w:style w:type="character" w:customStyle="1" w:styleId="Nadpis3Char">
    <w:name w:val="Nadpis 3 Char"/>
    <w:basedOn w:val="Standardnpsmoodstavce"/>
    <w:link w:val="Nadpis3"/>
    <w:uiPriority w:val="99"/>
    <w:locked/>
    <w:rsid w:val="00F300EA"/>
    <w:rPr>
      <w:rFonts w:ascii="Arial" w:hAnsi="Arial" w:cs="Arial"/>
      <w:b/>
      <w:bCs/>
      <w:sz w:val="26"/>
      <w:szCs w:val="26"/>
      <w:lang w:eastAsia="cs-CZ"/>
    </w:rPr>
  </w:style>
  <w:style w:type="paragraph" w:customStyle="1" w:styleId="Standardnte">
    <w:name w:val="Standardní te"/>
    <w:uiPriority w:val="99"/>
    <w:rsid w:val="00F300EA"/>
    <w:pPr>
      <w:autoSpaceDE w:val="0"/>
      <w:autoSpaceDN w:val="0"/>
      <w:adjustRightInd w:val="0"/>
    </w:pPr>
    <w:rPr>
      <w:rFonts w:ascii="Times New Roman" w:eastAsia="Times New Roman" w:hAnsi="Times New Roman"/>
      <w:color w:val="000000"/>
      <w:sz w:val="24"/>
      <w:szCs w:val="24"/>
    </w:rPr>
  </w:style>
  <w:style w:type="paragraph" w:customStyle="1" w:styleId="Default">
    <w:name w:val="Default"/>
    <w:uiPriority w:val="99"/>
    <w:rsid w:val="00F300EA"/>
    <w:pPr>
      <w:autoSpaceDE w:val="0"/>
      <w:autoSpaceDN w:val="0"/>
      <w:adjustRightInd w:val="0"/>
    </w:pPr>
    <w:rPr>
      <w:rFonts w:eastAsia="Times New Roman" w:cs="Calibri"/>
      <w:color w:val="000000"/>
      <w:sz w:val="24"/>
      <w:szCs w:val="24"/>
    </w:rPr>
  </w:style>
  <w:style w:type="paragraph" w:styleId="Zpat">
    <w:name w:val="footer"/>
    <w:basedOn w:val="Normln"/>
    <w:link w:val="ZpatChar"/>
    <w:uiPriority w:val="99"/>
    <w:rsid w:val="00F300EA"/>
    <w:pPr>
      <w:tabs>
        <w:tab w:val="center" w:pos="4536"/>
        <w:tab w:val="right" w:pos="9072"/>
      </w:tabs>
    </w:pPr>
  </w:style>
  <w:style w:type="character" w:customStyle="1" w:styleId="ZpatChar">
    <w:name w:val="Zápatí Char"/>
    <w:basedOn w:val="Standardnpsmoodstavce"/>
    <w:link w:val="Zpat"/>
    <w:uiPriority w:val="99"/>
    <w:locked/>
    <w:rsid w:val="00F300EA"/>
    <w:rPr>
      <w:rFonts w:ascii="Times New Roman" w:hAnsi="Times New Roman" w:cs="Times New Roman"/>
      <w:sz w:val="20"/>
      <w:szCs w:val="20"/>
      <w:lang w:eastAsia="cs-CZ"/>
    </w:rPr>
  </w:style>
  <w:style w:type="character" w:styleId="slostrnky">
    <w:name w:val="page number"/>
    <w:basedOn w:val="Standardnpsmoodstavce"/>
    <w:uiPriority w:val="99"/>
    <w:rsid w:val="00F300EA"/>
    <w:rPr>
      <w:rFonts w:cs="Times New Roman"/>
    </w:rPr>
  </w:style>
  <w:style w:type="paragraph" w:customStyle="1" w:styleId="slodstavec">
    <w:name w:val="Čísl.odstavec"/>
    <w:basedOn w:val="Normln"/>
    <w:uiPriority w:val="99"/>
    <w:rsid w:val="00F300EA"/>
    <w:pPr>
      <w:spacing w:before="120"/>
      <w:ind w:left="273" w:hanging="273"/>
      <w:jc w:val="both"/>
    </w:pPr>
  </w:style>
  <w:style w:type="character" w:styleId="Odkaznakoment">
    <w:name w:val="annotation reference"/>
    <w:basedOn w:val="Standardnpsmoodstavce"/>
    <w:uiPriority w:val="99"/>
    <w:rsid w:val="00F300EA"/>
    <w:rPr>
      <w:rFonts w:cs="Times New Roman"/>
      <w:sz w:val="16"/>
    </w:rPr>
  </w:style>
  <w:style w:type="paragraph" w:styleId="Textkomente">
    <w:name w:val="annotation text"/>
    <w:basedOn w:val="Normln"/>
    <w:link w:val="TextkomenteChar"/>
    <w:uiPriority w:val="99"/>
    <w:rsid w:val="00F300EA"/>
  </w:style>
  <w:style w:type="character" w:customStyle="1" w:styleId="TextkomenteChar">
    <w:name w:val="Text komentáře Char"/>
    <w:basedOn w:val="Standardnpsmoodstavce"/>
    <w:link w:val="Textkomente"/>
    <w:uiPriority w:val="99"/>
    <w:locked/>
    <w:rsid w:val="00F300EA"/>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F300E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00EA"/>
    <w:rPr>
      <w:rFonts w:ascii="Tahoma" w:hAnsi="Tahoma" w:cs="Tahoma"/>
      <w:sz w:val="16"/>
      <w:szCs w:val="16"/>
      <w:lang w:eastAsia="cs-CZ"/>
    </w:rPr>
  </w:style>
  <w:style w:type="character" w:styleId="Hypertextovodkaz">
    <w:name w:val="Hyperlink"/>
    <w:basedOn w:val="Standardnpsmoodstavce"/>
    <w:uiPriority w:val="99"/>
    <w:rsid w:val="002D5C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rek.vasek@volny.cz"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F3E84BD2.dotm</Template>
  <TotalTime>149</TotalTime>
  <Pages>5</Pages>
  <Words>1721</Words>
  <Characters>10154</Characters>
  <Application>Microsoft Office Word</Application>
  <DocSecurity>0</DocSecurity>
  <Lines>84</Lines>
  <Paragraphs>23</Paragraphs>
  <ScaleCrop>false</ScaleCrop>
  <Company>Microsoft</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                                                       Příloha č</dc:title>
  <dc:subject/>
  <dc:creator>JUDr. Tomáš Sirovátko</dc:creator>
  <cp:keywords/>
  <dc:description/>
  <cp:lastModifiedBy>Univerzita Karlova v Praze</cp:lastModifiedBy>
  <cp:revision>7</cp:revision>
  <dcterms:created xsi:type="dcterms:W3CDTF">2012-07-04T12:41:00Z</dcterms:created>
  <dcterms:modified xsi:type="dcterms:W3CDTF">2017-10-27T13:50:00Z</dcterms:modified>
</cp:coreProperties>
</file>