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E2" w:rsidRPr="00D02DE2" w:rsidRDefault="00D02DE2" w:rsidP="00D02DE2">
      <w:pPr>
        <w:spacing w:after="0"/>
        <w:ind w:left="504"/>
        <w:jc w:val="center"/>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 xml:space="preserve">Obchodní podmínky Nemocnice Na Homolce </w:t>
      </w:r>
    </w:p>
    <w:p w:rsidR="00D02DE2" w:rsidRPr="00D02DE2" w:rsidRDefault="00D02DE2" w:rsidP="00D02DE2">
      <w:pPr>
        <w:spacing w:after="251"/>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 xml:space="preserve"> </w:t>
      </w:r>
    </w:p>
    <w:p w:rsidR="00D02DE2" w:rsidRPr="00D02DE2" w:rsidRDefault="00D02DE2" w:rsidP="00D02DE2">
      <w:pPr>
        <w:keepNext/>
        <w:keepLines/>
        <w:spacing w:after="248" w:line="258" w:lineRule="auto"/>
        <w:ind w:left="1092" w:hanging="732"/>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Definice pojmů a základní ustanovení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1"/>
        </w:numPr>
        <w:spacing w:after="0"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 xml:space="preserve">Tyto obchodní podmínky jsou nedílnou součástí smlouvy, jejíž jsou přílohou. </w:t>
      </w:r>
    </w:p>
    <w:p w:rsidR="00D02DE2" w:rsidRPr="00D02DE2" w:rsidRDefault="00D02DE2" w:rsidP="00D02DE2">
      <w:pPr>
        <w:spacing w:after="121" w:line="258" w:lineRule="auto"/>
        <w:ind w:left="1237" w:hanging="1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 xml:space="preserve">Smluvní strany tedy bezvýhradně akceptují ustanovení těchto OP a uzavírají Smlouvu s tím, že ustanovení těchto OP mají přednost před odchylnými ustanoveními Smlouvy, není-li v těchto OP výslovně uvedeno jinak.  </w:t>
      </w:r>
    </w:p>
    <w:p w:rsidR="00D02DE2" w:rsidRPr="00D02DE2" w:rsidRDefault="00D02DE2" w:rsidP="00D02DE2">
      <w:pPr>
        <w:numPr>
          <w:ilvl w:val="0"/>
          <w:numId w:val="1"/>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Nemocnice Na Homolce</w:t>
      </w:r>
      <w:r w:rsidRPr="00D02DE2">
        <w:rPr>
          <w:rFonts w:ascii="Times New Roman" w:eastAsia="Times New Roman" w:hAnsi="Times New Roman" w:cs="Times New Roman"/>
          <w:color w:val="000000"/>
          <w:sz w:val="24"/>
          <w:lang w:eastAsia="cs-CZ"/>
        </w:rPr>
        <w:t xml:space="preserve">, je státní příspěvková organizace, jejímž zřizovatelem je Ministerstvo zdravotnictví České republiky, jež vydalo zřizovací listinu podle </w:t>
      </w:r>
      <w:proofErr w:type="spellStart"/>
      <w:r w:rsidRPr="00D02DE2">
        <w:rPr>
          <w:rFonts w:ascii="Times New Roman" w:eastAsia="Times New Roman" w:hAnsi="Times New Roman" w:cs="Times New Roman"/>
          <w:color w:val="000000"/>
          <w:sz w:val="24"/>
          <w:lang w:eastAsia="cs-CZ"/>
        </w:rPr>
        <w:t>ust</w:t>
      </w:r>
      <w:proofErr w:type="spellEnd"/>
      <w:r w:rsidRPr="00D02DE2">
        <w:rPr>
          <w:rFonts w:ascii="Times New Roman" w:eastAsia="Times New Roman" w:hAnsi="Times New Roman" w:cs="Times New Roman"/>
          <w:color w:val="000000"/>
          <w:sz w:val="24"/>
          <w:lang w:eastAsia="cs-CZ"/>
        </w:rPr>
        <w:t xml:space="preserve">. § 39 odst. 1 zákona č. 20/1966 Sb., o péči o zdraví lidu, ve znění pozdějších předpisů, následně změněnou a doplněnou v souladu s </w:t>
      </w:r>
      <w:proofErr w:type="spellStart"/>
      <w:r w:rsidRPr="00D02DE2">
        <w:rPr>
          <w:rFonts w:ascii="Times New Roman" w:eastAsia="Times New Roman" w:hAnsi="Times New Roman" w:cs="Times New Roman"/>
          <w:color w:val="000000"/>
          <w:sz w:val="24"/>
          <w:lang w:eastAsia="cs-CZ"/>
        </w:rPr>
        <w:t>ust</w:t>
      </w:r>
      <w:proofErr w:type="spellEnd"/>
      <w:r w:rsidRPr="00D02DE2">
        <w:rPr>
          <w:rFonts w:ascii="Times New Roman" w:eastAsia="Times New Roman" w:hAnsi="Times New Roman" w:cs="Times New Roman"/>
          <w:color w:val="000000"/>
          <w:sz w:val="24"/>
          <w:lang w:eastAsia="cs-CZ"/>
        </w:rPr>
        <w:t xml:space="preserve">. § 2 odst. 1 a </w:t>
      </w:r>
      <w:proofErr w:type="spellStart"/>
      <w:r w:rsidRPr="00D02DE2">
        <w:rPr>
          <w:rFonts w:ascii="Times New Roman" w:eastAsia="Times New Roman" w:hAnsi="Times New Roman" w:cs="Times New Roman"/>
          <w:color w:val="000000"/>
          <w:sz w:val="24"/>
          <w:lang w:eastAsia="cs-CZ"/>
        </w:rPr>
        <w:t>ust</w:t>
      </w:r>
      <w:proofErr w:type="spellEnd"/>
      <w:r w:rsidRPr="00D02DE2">
        <w:rPr>
          <w:rFonts w:ascii="Times New Roman" w:eastAsia="Times New Roman" w:hAnsi="Times New Roman" w:cs="Times New Roman"/>
          <w:color w:val="000000"/>
          <w:sz w:val="24"/>
          <w:lang w:eastAsia="cs-CZ"/>
        </w:rPr>
        <w:t xml:space="preserve">. § 4 odst. 1 zákona č. 372/2011 Sb., o zdravotních službách a podmínkách jejich poskytování, ve znění pozdějších předpisů, dále pak podle </w:t>
      </w:r>
      <w:proofErr w:type="spellStart"/>
      <w:r w:rsidRPr="00D02DE2">
        <w:rPr>
          <w:rFonts w:ascii="Times New Roman" w:eastAsia="Times New Roman" w:hAnsi="Times New Roman" w:cs="Times New Roman"/>
          <w:color w:val="000000"/>
          <w:sz w:val="24"/>
          <w:lang w:eastAsia="cs-CZ"/>
        </w:rPr>
        <w:t>ust</w:t>
      </w:r>
      <w:proofErr w:type="spellEnd"/>
      <w:r w:rsidRPr="00D02DE2">
        <w:rPr>
          <w:rFonts w:ascii="Times New Roman" w:eastAsia="Times New Roman" w:hAnsi="Times New Roman" w:cs="Times New Roman"/>
          <w:color w:val="000000"/>
          <w:sz w:val="24"/>
          <w:lang w:eastAsia="cs-CZ"/>
        </w:rPr>
        <w:t xml:space="preserve">. § 54 odst. 2 zákona č. 219/2000 Sb., o majetku České republiky a jejím vystupování v právních vztazích, ve znění pozdějších předpisů. Úplné znění zřizovací listiny bylo vydáno 29. 5. 2012 pod č. j. MZDR 17268XVII/2012.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1"/>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Z důvodu standardizace označení smluvních stran a dalších pojmů budou v těchto obchodních používány pojmy s dále uvedenými významy: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5" w:line="249" w:lineRule="auto"/>
        <w:ind w:left="122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Nemocnice Na Homolce označována jako </w:t>
      </w:r>
      <w:r w:rsidRPr="00D02DE2">
        <w:rPr>
          <w:rFonts w:ascii="Times New Roman" w:eastAsia="Times New Roman" w:hAnsi="Times New Roman" w:cs="Times New Roman"/>
          <w:i/>
          <w:color w:val="000000"/>
          <w:sz w:val="24"/>
          <w:lang w:eastAsia="cs-CZ"/>
        </w:rPr>
        <w:t>„NNH“</w:t>
      </w:r>
      <w:r w:rsidRPr="00D02DE2">
        <w:rPr>
          <w:rFonts w:ascii="Times New Roman" w:eastAsia="Times New Roman" w:hAnsi="Times New Roman" w:cs="Times New Roman"/>
          <w:color w:val="000000"/>
          <w:sz w:val="24"/>
          <w:lang w:eastAsia="cs-CZ"/>
        </w:rPr>
        <w:t xml:space="preserve"> nebo </w:t>
      </w:r>
      <w:r w:rsidRPr="00D02DE2">
        <w:rPr>
          <w:rFonts w:ascii="Times New Roman" w:eastAsia="Times New Roman" w:hAnsi="Times New Roman" w:cs="Times New Roman"/>
          <w:i/>
          <w:color w:val="000000"/>
          <w:sz w:val="24"/>
          <w:lang w:eastAsia="cs-CZ"/>
        </w:rPr>
        <w:t xml:space="preserve">„Nemocnice Na Homolce“.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i/>
          <w:color w:val="000000"/>
          <w:sz w:val="24"/>
          <w:lang w:eastAsia="cs-CZ"/>
        </w:rPr>
        <w:t xml:space="preserve"> </w:t>
      </w:r>
    </w:p>
    <w:p w:rsidR="00D02DE2" w:rsidRPr="00D02DE2" w:rsidRDefault="00D02DE2" w:rsidP="00D02DE2">
      <w:pPr>
        <w:spacing w:after="5" w:line="249" w:lineRule="auto"/>
        <w:ind w:left="122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Druhá smluvní strana označována jako </w:t>
      </w:r>
      <w:r w:rsidRPr="00D02DE2">
        <w:rPr>
          <w:rFonts w:ascii="Times New Roman" w:eastAsia="Times New Roman" w:hAnsi="Times New Roman" w:cs="Times New Roman"/>
          <w:i/>
          <w:color w:val="000000"/>
          <w:sz w:val="24"/>
          <w:lang w:eastAsia="cs-CZ"/>
        </w:rPr>
        <w:t>„druhá smluvní strana“</w:t>
      </w:r>
      <w:r w:rsidRPr="00D02DE2">
        <w:rPr>
          <w:rFonts w:ascii="Times New Roman" w:eastAsia="Times New Roman" w:hAnsi="Times New Roman" w:cs="Times New Roman"/>
          <w:color w:val="000000"/>
          <w:sz w:val="24"/>
          <w:lang w:eastAsia="cs-CZ"/>
        </w:rPr>
        <w:t xml:space="preserve"> nebo </w:t>
      </w:r>
      <w:r w:rsidRPr="00D02DE2">
        <w:rPr>
          <w:rFonts w:ascii="Times New Roman" w:eastAsia="Times New Roman" w:hAnsi="Times New Roman" w:cs="Times New Roman"/>
          <w:i/>
          <w:color w:val="000000"/>
          <w:sz w:val="24"/>
          <w:lang w:eastAsia="cs-CZ"/>
        </w:rPr>
        <w:t>„Dodavatel“</w:t>
      </w:r>
      <w:r w:rsidRPr="00D02DE2">
        <w:rPr>
          <w:rFonts w:ascii="Times New Roman" w:eastAsia="Times New Roman" w:hAnsi="Times New Roman" w:cs="Times New Roman"/>
          <w:color w:val="000000"/>
          <w:sz w:val="24"/>
          <w:lang w:eastAsia="cs-CZ"/>
        </w:rPr>
        <w:t xml:space="preserve">, a to bez ohledu na to, jak jsou smluvní strany označeny ve Smlouvě. Pokud vystupuje ve smlouvě více smluvních stran, vztahují se výše uvedená označení na jednotlivé všechny smluvní strany odlišné od NNH obdobně.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5" w:line="249" w:lineRule="auto"/>
        <w:ind w:left="122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Tyto obchodní podmínky budou označovány jako </w:t>
      </w:r>
      <w:r w:rsidRPr="00D02DE2">
        <w:rPr>
          <w:rFonts w:ascii="Times New Roman" w:eastAsia="Times New Roman" w:hAnsi="Times New Roman" w:cs="Times New Roman"/>
          <w:i/>
          <w:color w:val="000000"/>
          <w:sz w:val="24"/>
          <w:lang w:eastAsia="cs-CZ"/>
        </w:rPr>
        <w:t>„Obchodní podmínky“</w:t>
      </w:r>
      <w:r w:rsidRPr="00D02DE2">
        <w:rPr>
          <w:rFonts w:ascii="Times New Roman" w:eastAsia="Times New Roman" w:hAnsi="Times New Roman" w:cs="Times New Roman"/>
          <w:color w:val="000000"/>
          <w:sz w:val="24"/>
          <w:lang w:eastAsia="cs-CZ"/>
        </w:rPr>
        <w:t xml:space="preserve"> nebo </w:t>
      </w:r>
      <w:r w:rsidRPr="00D02DE2">
        <w:rPr>
          <w:rFonts w:ascii="Times New Roman" w:eastAsia="Times New Roman" w:hAnsi="Times New Roman" w:cs="Times New Roman"/>
          <w:i/>
          <w:color w:val="000000"/>
          <w:sz w:val="24"/>
          <w:lang w:eastAsia="cs-CZ"/>
        </w:rPr>
        <w:t>„OP“</w:t>
      </w: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5" w:line="249" w:lineRule="auto"/>
        <w:ind w:left="122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Smlouva, kterou tyto obchodní podmínky doplňují, bude označována jako </w:t>
      </w:r>
      <w:r w:rsidRPr="00D02DE2">
        <w:rPr>
          <w:rFonts w:ascii="Times New Roman" w:eastAsia="Times New Roman" w:hAnsi="Times New Roman" w:cs="Times New Roman"/>
          <w:i/>
          <w:color w:val="000000"/>
          <w:sz w:val="24"/>
          <w:lang w:eastAsia="cs-CZ"/>
        </w:rPr>
        <w:t>„Smlouva“</w:t>
      </w:r>
      <w:r w:rsidRPr="00D02DE2">
        <w:rPr>
          <w:rFonts w:ascii="Times New Roman" w:eastAsia="Times New Roman" w:hAnsi="Times New Roman" w:cs="Times New Roman"/>
          <w:color w:val="000000"/>
          <w:sz w:val="24"/>
          <w:lang w:eastAsia="cs-CZ"/>
        </w:rPr>
        <w:t xml:space="preserve"> nebo </w:t>
      </w:r>
      <w:r w:rsidRPr="00D02DE2">
        <w:rPr>
          <w:rFonts w:ascii="Times New Roman" w:eastAsia="Times New Roman" w:hAnsi="Times New Roman" w:cs="Times New Roman"/>
          <w:i/>
          <w:color w:val="000000"/>
          <w:sz w:val="24"/>
          <w:lang w:eastAsia="cs-CZ"/>
        </w:rPr>
        <w:t>„tato smlouva“</w:t>
      </w:r>
      <w:r w:rsidRPr="00D02DE2">
        <w:rPr>
          <w:rFonts w:ascii="Times New Roman" w:eastAsia="Times New Roman" w:hAnsi="Times New Roman" w:cs="Times New Roman"/>
          <w:color w:val="000000"/>
          <w:sz w:val="24"/>
          <w:lang w:eastAsia="cs-CZ"/>
        </w:rPr>
        <w:t xml:space="preserve">. Je-li odkazována na práva či povinnosti vyplývající ze Smlouvy, znamená to práva vyplývající ze Smlouvy zahrnující její případné dodatky či přílohy (vč. těchto OP), nevyplývá-li z kontextu odkazu, že se jedná o odkaz výhradně na text smlouvy.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bookmarkStart w:id="0" w:name="_GoBack"/>
      <w:bookmarkEnd w:id="0"/>
    </w:p>
    <w:p w:rsidR="00D02DE2" w:rsidRPr="00D02DE2" w:rsidRDefault="00D02DE2" w:rsidP="00D02DE2">
      <w:pPr>
        <w:spacing w:after="175" w:line="249" w:lineRule="auto"/>
        <w:ind w:left="122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V těchto obchodních podmínkách jsou dále užívány následující zkratky a odkazy na právní předpisy: </w:t>
      </w:r>
    </w:p>
    <w:p w:rsidR="00D02DE2" w:rsidRPr="00D02DE2" w:rsidRDefault="00D02DE2" w:rsidP="00D02DE2">
      <w:pPr>
        <w:numPr>
          <w:ilvl w:val="0"/>
          <w:numId w:val="2"/>
        </w:numPr>
        <w:spacing w:after="5" w:line="249" w:lineRule="auto"/>
        <w:ind w:right="1"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Zákon č. 13</w:t>
      </w:r>
      <w:r w:rsidR="00EC19D7">
        <w:rPr>
          <w:rFonts w:ascii="Times New Roman" w:eastAsia="Times New Roman" w:hAnsi="Times New Roman" w:cs="Times New Roman"/>
          <w:color w:val="000000"/>
          <w:sz w:val="24"/>
          <w:lang w:eastAsia="cs-CZ"/>
        </w:rPr>
        <w:t>4</w:t>
      </w:r>
      <w:r w:rsidRPr="00D02DE2">
        <w:rPr>
          <w:rFonts w:ascii="Times New Roman" w:eastAsia="Times New Roman" w:hAnsi="Times New Roman" w:cs="Times New Roman"/>
          <w:color w:val="000000"/>
          <w:sz w:val="24"/>
          <w:lang w:eastAsia="cs-CZ"/>
        </w:rPr>
        <w:t>/20</w:t>
      </w:r>
      <w:r w:rsidR="00EC19D7">
        <w:rPr>
          <w:rFonts w:ascii="Times New Roman" w:eastAsia="Times New Roman" w:hAnsi="Times New Roman" w:cs="Times New Roman"/>
          <w:color w:val="000000"/>
          <w:sz w:val="24"/>
          <w:lang w:eastAsia="cs-CZ"/>
        </w:rPr>
        <w:t>1</w:t>
      </w:r>
      <w:r w:rsidRPr="00D02DE2">
        <w:rPr>
          <w:rFonts w:ascii="Times New Roman" w:eastAsia="Times New Roman" w:hAnsi="Times New Roman" w:cs="Times New Roman"/>
          <w:color w:val="000000"/>
          <w:sz w:val="24"/>
          <w:lang w:eastAsia="cs-CZ"/>
        </w:rPr>
        <w:t xml:space="preserve">6 Sb., o </w:t>
      </w:r>
      <w:r w:rsidR="00EC19D7">
        <w:rPr>
          <w:rFonts w:ascii="Times New Roman" w:eastAsia="Times New Roman" w:hAnsi="Times New Roman" w:cs="Times New Roman"/>
          <w:color w:val="000000"/>
          <w:sz w:val="24"/>
          <w:lang w:eastAsia="cs-CZ"/>
        </w:rPr>
        <w:t xml:space="preserve">zadávání </w:t>
      </w:r>
      <w:r w:rsidRPr="00D02DE2">
        <w:rPr>
          <w:rFonts w:ascii="Times New Roman" w:eastAsia="Times New Roman" w:hAnsi="Times New Roman" w:cs="Times New Roman"/>
          <w:color w:val="000000"/>
          <w:sz w:val="24"/>
          <w:lang w:eastAsia="cs-CZ"/>
        </w:rPr>
        <w:t>veřejných zakáz</w:t>
      </w:r>
      <w:r w:rsidR="00EC19D7">
        <w:rPr>
          <w:rFonts w:ascii="Times New Roman" w:eastAsia="Times New Roman" w:hAnsi="Times New Roman" w:cs="Times New Roman"/>
          <w:color w:val="000000"/>
          <w:sz w:val="24"/>
          <w:lang w:eastAsia="cs-CZ"/>
        </w:rPr>
        <w:t>e</w:t>
      </w:r>
      <w:r w:rsidRPr="00D02DE2">
        <w:rPr>
          <w:rFonts w:ascii="Times New Roman" w:eastAsia="Times New Roman" w:hAnsi="Times New Roman" w:cs="Times New Roman"/>
          <w:color w:val="000000"/>
          <w:sz w:val="24"/>
          <w:lang w:eastAsia="cs-CZ"/>
        </w:rPr>
        <w:t>k</w:t>
      </w:r>
      <w:r w:rsidR="00EC19D7">
        <w:rPr>
          <w:rFonts w:ascii="Times New Roman" w:eastAsia="Times New Roman" w:hAnsi="Times New Roman" w:cs="Times New Roman"/>
          <w:color w:val="000000"/>
          <w:sz w:val="24"/>
          <w:lang w:eastAsia="cs-CZ"/>
        </w:rPr>
        <w:t xml:space="preserve"> (dále</w:t>
      </w:r>
      <w:r w:rsidRPr="00D02DE2">
        <w:rPr>
          <w:rFonts w:ascii="Times New Roman" w:eastAsia="Times New Roman" w:hAnsi="Times New Roman" w:cs="Times New Roman"/>
          <w:color w:val="000000"/>
          <w:sz w:val="24"/>
          <w:lang w:eastAsia="cs-CZ"/>
        </w:rPr>
        <w:t xml:space="preserve"> jen „</w:t>
      </w:r>
      <w:r w:rsidRPr="00D02DE2">
        <w:rPr>
          <w:rFonts w:ascii="Times New Roman" w:eastAsia="Times New Roman" w:hAnsi="Times New Roman" w:cs="Times New Roman"/>
          <w:i/>
          <w:color w:val="000000"/>
          <w:sz w:val="24"/>
          <w:lang w:eastAsia="cs-CZ"/>
        </w:rPr>
        <w:t>ZVZ</w:t>
      </w: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2"/>
        </w:numPr>
        <w:spacing w:after="5" w:line="249" w:lineRule="auto"/>
        <w:ind w:right="1"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Zákon č. 219/2000 Sb., o majetku České republiky a jejím zastupování v právních vztazích, ve znění pozdějších předpisů (dále jen „</w:t>
      </w:r>
      <w:r w:rsidRPr="00D02DE2">
        <w:rPr>
          <w:rFonts w:ascii="Times New Roman" w:eastAsia="Times New Roman" w:hAnsi="Times New Roman" w:cs="Times New Roman"/>
          <w:i/>
          <w:color w:val="000000"/>
          <w:sz w:val="24"/>
          <w:lang w:eastAsia="cs-CZ"/>
        </w:rPr>
        <w:t>zákon o majetku ČR</w:t>
      </w: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2"/>
        </w:numPr>
        <w:spacing w:after="5" w:line="249" w:lineRule="auto"/>
        <w:ind w:right="1"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Zákon č. 218/2000 Sb., o rozpočtových pravidlech a o změně některých souvisejících zákonů, ve znění pozdějších předpisů (dále jen „</w:t>
      </w:r>
      <w:r w:rsidRPr="00D02DE2">
        <w:rPr>
          <w:rFonts w:ascii="Times New Roman" w:eastAsia="Times New Roman" w:hAnsi="Times New Roman" w:cs="Times New Roman"/>
          <w:i/>
          <w:color w:val="000000"/>
          <w:sz w:val="24"/>
          <w:lang w:eastAsia="cs-CZ"/>
        </w:rPr>
        <w:t>zákon o rozpočtových pravidlech</w:t>
      </w: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2"/>
        </w:numPr>
        <w:spacing w:after="5" w:line="249" w:lineRule="auto"/>
        <w:ind w:right="1"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Zákon č. 89/2012 Sb., občanský zákoník, ve znění pozdějších předpisů (dále jen </w:t>
      </w:r>
    </w:p>
    <w:p w:rsidR="00D02DE2" w:rsidRPr="00D02DE2" w:rsidRDefault="00D02DE2" w:rsidP="00D02DE2">
      <w:pPr>
        <w:spacing w:after="0"/>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lastRenderedPageBreak/>
        <w:t>„</w:t>
      </w:r>
      <w:r w:rsidRPr="00D02DE2">
        <w:rPr>
          <w:rFonts w:ascii="Times New Roman" w:eastAsia="Times New Roman" w:hAnsi="Times New Roman" w:cs="Times New Roman"/>
          <w:i/>
          <w:color w:val="000000"/>
          <w:sz w:val="24"/>
          <w:lang w:eastAsia="cs-CZ"/>
        </w:rPr>
        <w:t>občanský zákoník</w:t>
      </w:r>
      <w:r w:rsidRPr="00D02DE2">
        <w:rPr>
          <w:rFonts w:ascii="Times New Roman" w:eastAsia="Times New Roman" w:hAnsi="Times New Roman" w:cs="Times New Roman"/>
          <w:color w:val="000000"/>
          <w:sz w:val="24"/>
          <w:lang w:eastAsia="cs-CZ"/>
        </w:rPr>
        <w:t>“ nebo „</w:t>
      </w:r>
      <w:proofErr w:type="spellStart"/>
      <w:r w:rsidRPr="00D02DE2">
        <w:rPr>
          <w:rFonts w:ascii="Times New Roman" w:eastAsia="Times New Roman" w:hAnsi="Times New Roman" w:cs="Times New Roman"/>
          <w:i/>
          <w:color w:val="000000"/>
          <w:sz w:val="24"/>
          <w:lang w:eastAsia="cs-CZ"/>
        </w:rPr>
        <w:t>ObčZ</w:t>
      </w:r>
      <w:proofErr w:type="spellEnd"/>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2"/>
        </w:numPr>
        <w:spacing w:after="5" w:line="249" w:lineRule="auto"/>
        <w:ind w:right="1"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Nařízení vlády č. 351/2013 Sb., kterým se určuje výše úroků z prodlení a nákladů spojených s uplatněním pohledávky, určuje odměnu likvidátora, likvidačního správce a člena orgánu právnické osoby jmenovaného soudem a upravují některých otázky Obchodní věstníku a veřejných rejstříků právnických a fyzických osob v platném znění (dále jen „nařízení vlády č. 351/2013 Sb.“). </w:t>
      </w:r>
    </w:p>
    <w:p w:rsidR="00D02DE2" w:rsidRPr="00D02DE2" w:rsidRDefault="00D02DE2" w:rsidP="00D02DE2">
      <w:pPr>
        <w:spacing w:after="256"/>
        <w:ind w:left="1222"/>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2" w:hanging="826"/>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Některá ustanovení o zániku závazku, jeho splnění a odpovědnosti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Úroky z prodlení s úhradou peněžitého plnění ze strany NNH mohou být dohodnuty maximálně ve výši stanovené v nařízení vlády č. 351/2013 Sb. Úroky dohodnuté ve Smlouvě nad rámec této výše se považují v rozsahu, ve kterém by výsledná částka úroků převyšovala částku stanovenou dle nařízení vlády č. 351/2013 Sb., za nesjednané.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Jakékoli ustanovení Smlouvy o smluvních pokutách nezbavuje žádnou ze smluvních stran povinnosti k náhradě škody. Nevyplývá-li ze Smlouvy něco jiného, stanoví se smluvní pokuta z částky bez daně z přidané hodnoty.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neakceptuje sjednání smluvních pokut ve svůj neprospěch, jakákoli ujednání o smluvních pokutách, které by měla hradit NNH, se tedy ve smlouvě považují za nesjednané.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I v případě, kdy Dodavatel plní svůj závazek prostřednictví třetí osoby, zodpovídá za řádné a včasné splnění závazku stejně, jako by závazek plnil sám. </w:t>
      </w:r>
    </w:p>
    <w:p w:rsidR="00D02DE2" w:rsidRPr="00D02DE2" w:rsidRDefault="00D02DE2" w:rsidP="00D02DE2">
      <w:pPr>
        <w:numPr>
          <w:ilvl w:val="0"/>
          <w:numId w:val="3"/>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Práva vzniklá ze Smlouvy nesmí být postoupena bez předchozího písemného souhlasu NNH. Totéž platí o postoupení Smlouvy. </w:t>
      </w:r>
    </w:p>
    <w:p w:rsidR="00D02DE2" w:rsidRPr="00D02DE2" w:rsidRDefault="00D02DE2" w:rsidP="00D02DE2">
      <w:pPr>
        <w:numPr>
          <w:ilvl w:val="0"/>
          <w:numId w:val="3"/>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nepřipouští sjednaní omezení rozsahu náhrady škody. Jakékoli vyloučení či omezení rozsahu náhrady škody způsobené výrobkem uvedené ve Smlouvě se považuje za nesjednané. </w:t>
      </w:r>
    </w:p>
    <w:p w:rsidR="00D02DE2" w:rsidRPr="00D02DE2" w:rsidRDefault="00D02DE2" w:rsidP="00D02DE2">
      <w:pPr>
        <w:spacing w:after="278"/>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2" w:hanging="920"/>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Práva NNH dle zákona o majetku ČR </w:t>
      </w:r>
    </w:p>
    <w:p w:rsidR="00D02DE2" w:rsidRPr="00D02DE2" w:rsidRDefault="00D02DE2" w:rsidP="00D02DE2">
      <w:pPr>
        <w:spacing w:after="5" w:line="249" w:lineRule="auto"/>
        <w:ind w:left="1224" w:hanging="36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1.</w:t>
      </w:r>
      <w:r w:rsidRPr="00D02DE2">
        <w:rPr>
          <w:rFonts w:ascii="Arial" w:eastAsia="Arial" w:hAnsi="Arial" w:cs="Arial"/>
          <w:color w:val="000000"/>
          <w:sz w:val="24"/>
          <w:lang w:eastAsia="cs-CZ"/>
        </w:rPr>
        <w:t xml:space="preserve"> </w:t>
      </w:r>
      <w:r w:rsidRPr="00D02DE2">
        <w:rPr>
          <w:rFonts w:ascii="Times New Roman" w:eastAsia="Times New Roman" w:hAnsi="Times New Roman" w:cs="Times New Roman"/>
          <w:color w:val="000000"/>
          <w:sz w:val="24"/>
          <w:lang w:eastAsia="cs-CZ"/>
        </w:rPr>
        <w:t xml:space="preserve">Jakékoli zřízení zástavního práva k věci NNH se považuje za nesjednané s ohledem na ustanovení § 25 zákona o majetku ČR. </w:t>
      </w:r>
    </w:p>
    <w:p w:rsidR="00D02DE2" w:rsidRPr="00D02DE2" w:rsidRDefault="00D02DE2" w:rsidP="00D02DE2">
      <w:pPr>
        <w:spacing w:after="275"/>
        <w:ind w:left="123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77" w:hanging="905"/>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Volba práva a prorogace </w:t>
      </w:r>
    </w:p>
    <w:p w:rsidR="00D02DE2" w:rsidRPr="00D02DE2" w:rsidRDefault="00D02DE2" w:rsidP="00D02DE2">
      <w:pPr>
        <w:numPr>
          <w:ilvl w:val="0"/>
          <w:numId w:val="4"/>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ve smyslu ustanovení § 85 zákona č. 91/2012 Sb., o mezinárodním právu soukromém, se dohodly na pravomoci soudů České republiky.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4"/>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lastRenderedPageBreak/>
        <w:t xml:space="preserve">Smluvní strany se ve smyslu ustanovení § 87 odst. 1 zákona č. 91/2012 Sb., o mezinárodním právu soukromém, dohodly, že tato smlouva a práva a povinnosti z ní vyplývající se řídí a vykládají v souladu se zákony České republiky, zejména </w:t>
      </w:r>
    </w:p>
    <w:p w:rsidR="00D02DE2" w:rsidRPr="00D02DE2" w:rsidRDefault="00D02DE2" w:rsidP="00D02DE2">
      <w:pPr>
        <w:spacing w:after="117" w:line="249" w:lineRule="auto"/>
        <w:ind w:left="1234"/>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 příslušnými ustanoveními občanského zákoníku. Ke kolizním ustanovením českého právního řádu se přitom nepřihlíží. </w:t>
      </w:r>
    </w:p>
    <w:p w:rsidR="00D02DE2" w:rsidRPr="00D02DE2" w:rsidRDefault="00D02DE2" w:rsidP="00D02DE2">
      <w:pPr>
        <w:numPr>
          <w:ilvl w:val="0"/>
          <w:numId w:val="4"/>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se zavazují řešit veškeré spory smírnou cestou. Nedojde-li ke smírnému vyřešení sporu, bude spor předložen k projednání a rozhodnutí příslušnému soudu. Smluvní strany se proto dohodly na ujednání o místní příslušnosti (prorogace) v následujícím znění: </w:t>
      </w:r>
    </w:p>
    <w:p w:rsidR="00D02DE2" w:rsidRPr="00D02DE2" w:rsidRDefault="00D02DE2" w:rsidP="00D02DE2">
      <w:pPr>
        <w:spacing w:after="5" w:line="249" w:lineRule="auto"/>
        <w:ind w:left="1234"/>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se ve smyslu ustanovení § 89a zákona č. 99/1963 Sb., občanský soudní řád, dohodly, že místně příslušným soudem k projednání a rozhodnutí sporů a jiných právních věcí vyplývajících z </w:t>
      </w:r>
      <w:proofErr w:type="gramStart"/>
      <w:r w:rsidRPr="00D02DE2">
        <w:rPr>
          <w:rFonts w:ascii="Times New Roman" w:eastAsia="Times New Roman" w:hAnsi="Times New Roman" w:cs="Times New Roman"/>
          <w:color w:val="000000"/>
          <w:sz w:val="24"/>
          <w:lang w:eastAsia="cs-CZ"/>
        </w:rPr>
        <w:t>touto smlouvou</w:t>
      </w:r>
      <w:proofErr w:type="gramEnd"/>
      <w:r w:rsidRPr="00D02DE2">
        <w:rPr>
          <w:rFonts w:ascii="Times New Roman" w:eastAsia="Times New Roman" w:hAnsi="Times New Roman" w:cs="Times New Roman"/>
          <w:color w:val="000000"/>
          <w:sz w:val="24"/>
          <w:lang w:eastAsia="cs-CZ"/>
        </w:rPr>
        <w:t xml:space="preserve"> založeného právního vztahu, jakož i ze vztahů s tímto vztahem souvisejících, je v případě, že k projednání je věcně příslušný krajský soud, Městský soud v Praze, a v případě, že k projednání je věcně příslušný okresní soud, Obvodní soud pro Prahu 5. </w:t>
      </w:r>
    </w:p>
    <w:p w:rsidR="00D02DE2" w:rsidRPr="00D02DE2" w:rsidRDefault="00D02DE2" w:rsidP="00D02DE2">
      <w:pPr>
        <w:spacing w:after="278"/>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3" w:hanging="812"/>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Některá ustanovení o fakturaci </w:t>
      </w:r>
    </w:p>
    <w:p w:rsidR="00D02DE2" w:rsidRPr="00D02DE2" w:rsidRDefault="00D02DE2" w:rsidP="00D02DE2">
      <w:pPr>
        <w:numPr>
          <w:ilvl w:val="0"/>
          <w:numId w:val="5"/>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tuto fakturu na adresu sídla NNH.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 </w:t>
      </w:r>
    </w:p>
    <w:p w:rsidR="00D02DE2" w:rsidRPr="00D02DE2" w:rsidRDefault="00D02DE2" w:rsidP="00D02DE2">
      <w:pPr>
        <w:numPr>
          <w:ilvl w:val="0"/>
          <w:numId w:val="5"/>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V případě, že zaslaná faktura nebude mít náležitosti daňového dokladu nebo na ní nebudou uvedeny údaje specifikované ve Smlouvě, nebo bude jinak neúplná či nesprávná, je jí NNH oprávněna vrátit k opravě či doplnění, nejpozději však do 20 pracovních dnů od data jejího převzetí. Tím se NNH nedostává do prodlení s úhradou kupní ceny. V takovém případě začíná běžet lhůta splatnosti až dnem doručení opravené faktury NNH za obdobných podmínek jako u původní faktury. </w:t>
      </w:r>
    </w:p>
    <w:p w:rsidR="00D02DE2" w:rsidRPr="00D02DE2" w:rsidRDefault="00D02DE2" w:rsidP="00D02DE2">
      <w:pPr>
        <w:numPr>
          <w:ilvl w:val="0"/>
          <w:numId w:val="5"/>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Nedílnou součástí daňového dokladu (faktury) musí být potvrzení o řádném splnění závazku (dle typu plnění zejm. dodací list, předávací protokol díla, potvrzený výkaz práce, zjišťovací protokol apod.), který musí být potvrzen osobou oprávněnou jednat </w:t>
      </w:r>
      <w:proofErr w:type="gramStart"/>
      <w:r w:rsidRPr="00D02DE2">
        <w:rPr>
          <w:rFonts w:ascii="Times New Roman" w:eastAsia="Times New Roman" w:hAnsi="Times New Roman" w:cs="Times New Roman"/>
          <w:color w:val="000000"/>
          <w:sz w:val="24"/>
          <w:lang w:eastAsia="cs-CZ"/>
        </w:rPr>
        <w:t>za</w:t>
      </w:r>
      <w:proofErr w:type="gramEnd"/>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5" w:line="249" w:lineRule="auto"/>
        <w:ind w:left="1234"/>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w:t>
      </w:r>
    </w:p>
    <w:p w:rsidR="00D02DE2" w:rsidRPr="00D02DE2" w:rsidRDefault="00D02DE2" w:rsidP="00D02DE2">
      <w:pPr>
        <w:numPr>
          <w:ilvl w:val="0"/>
          <w:numId w:val="5"/>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Splatnost musí být stanovena na 60 dní ode dne doručení řádného daňového dokladu (faktury) do NNH.  </w:t>
      </w:r>
    </w:p>
    <w:p w:rsidR="00D02DE2" w:rsidRPr="00D02DE2" w:rsidRDefault="00D02DE2" w:rsidP="00D02DE2">
      <w:pPr>
        <w:numPr>
          <w:ilvl w:val="0"/>
          <w:numId w:val="5"/>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Není-li ve Smlouvě dohodnuto jinak, NNH uhradí faktury bezhotovostně převodem na účet druhé smluvní strany. </w:t>
      </w:r>
      <w:r w:rsidRPr="00D02DE2">
        <w:rPr>
          <w:rFonts w:ascii="Times New Roman" w:eastAsia="Times New Roman" w:hAnsi="Times New Roman" w:cs="Times New Roman"/>
          <w:b/>
          <w:color w:val="000000"/>
          <w:sz w:val="24"/>
          <w:lang w:eastAsia="cs-CZ"/>
        </w:rPr>
        <w:t xml:space="preserve"> </w:t>
      </w:r>
    </w:p>
    <w:p w:rsidR="00D02DE2" w:rsidRPr="00D02DE2" w:rsidRDefault="00D02DE2" w:rsidP="00D02DE2">
      <w:pPr>
        <w:spacing w:after="273"/>
        <w:ind w:left="123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b/>
          <w:color w:val="000000"/>
          <w:sz w:val="24"/>
          <w:lang w:eastAsia="cs-CZ"/>
        </w:rPr>
        <w:t xml:space="preserve"> </w:t>
      </w:r>
    </w:p>
    <w:p w:rsidR="00D02DE2" w:rsidRPr="00D02DE2" w:rsidRDefault="00D02DE2" w:rsidP="00D02DE2">
      <w:pPr>
        <w:keepNext/>
        <w:keepLines/>
        <w:spacing w:after="248" w:line="258" w:lineRule="auto"/>
        <w:ind w:left="1077" w:hanging="905"/>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lastRenderedPageBreak/>
        <w:t xml:space="preserve">Ustanovení vztahující se koupi věci </w:t>
      </w:r>
    </w:p>
    <w:p w:rsidR="00D02DE2" w:rsidRPr="00D02DE2" w:rsidRDefault="00D02DE2" w:rsidP="00D02DE2">
      <w:pPr>
        <w:numPr>
          <w:ilvl w:val="0"/>
          <w:numId w:val="6"/>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Pokud je předmětem Smlouvy koupě věci, k přechodu vlastnického práva k věci dochází jejím písemným protokolárním předáním NNH. </w:t>
      </w:r>
    </w:p>
    <w:p w:rsidR="00D02DE2" w:rsidRPr="00D02DE2" w:rsidRDefault="00D02DE2" w:rsidP="00D02DE2">
      <w:pPr>
        <w:numPr>
          <w:ilvl w:val="0"/>
          <w:numId w:val="6"/>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Dodavatel (prodávající) v takovém případě poskytuje záruku za jakost ve smyslu § 2113 </w:t>
      </w:r>
      <w:proofErr w:type="spellStart"/>
      <w:r w:rsidRPr="00D02DE2">
        <w:rPr>
          <w:rFonts w:ascii="Times New Roman" w:eastAsia="Times New Roman" w:hAnsi="Times New Roman" w:cs="Times New Roman"/>
          <w:color w:val="000000"/>
          <w:sz w:val="24"/>
          <w:lang w:eastAsia="cs-CZ"/>
        </w:rPr>
        <w:t>ObčZ</w:t>
      </w:r>
      <w:proofErr w:type="spellEnd"/>
      <w:r w:rsidRPr="00D02DE2">
        <w:rPr>
          <w:rFonts w:ascii="Times New Roman" w:eastAsia="Times New Roman" w:hAnsi="Times New Roman" w:cs="Times New Roman"/>
          <w:color w:val="000000"/>
          <w:sz w:val="24"/>
          <w:lang w:eastAsia="cs-CZ"/>
        </w:rPr>
        <w:t xml:space="preserve">, přičemž věc si musí po záruční dobu zachovat obvyklé vlastnosti a vlastnosti, které jsou vymíněny ve Smlouvě. Záruční doba je zpravidla sjednána ve Smlouvě, a to i odchylně od těchto OP, přičemž není-li ve Smlouvě tato doba sjednána, nebo </w:t>
      </w:r>
      <w:proofErr w:type="spellStart"/>
      <w:r w:rsidRPr="00D02DE2">
        <w:rPr>
          <w:rFonts w:ascii="Times New Roman" w:eastAsia="Times New Roman" w:hAnsi="Times New Roman" w:cs="Times New Roman"/>
          <w:color w:val="000000"/>
          <w:sz w:val="24"/>
          <w:lang w:eastAsia="cs-CZ"/>
        </w:rPr>
        <w:t>nenabízíli</w:t>
      </w:r>
      <w:proofErr w:type="spellEnd"/>
      <w:r w:rsidRPr="00D02DE2">
        <w:rPr>
          <w:rFonts w:ascii="Times New Roman" w:eastAsia="Times New Roman" w:hAnsi="Times New Roman" w:cs="Times New Roman"/>
          <w:color w:val="000000"/>
          <w:sz w:val="24"/>
          <w:lang w:eastAsia="cs-CZ"/>
        </w:rPr>
        <w:t xml:space="preserve"> Dodavatel svým prohlášením záruku delší, poskytuje Dodavatel záruku za jakost: </w:t>
      </w:r>
    </w:p>
    <w:p w:rsidR="00D02DE2" w:rsidRPr="00D02DE2" w:rsidRDefault="00D02DE2" w:rsidP="00D02DE2">
      <w:pPr>
        <w:numPr>
          <w:ilvl w:val="1"/>
          <w:numId w:val="6"/>
        </w:numPr>
        <w:spacing w:after="5" w:line="249" w:lineRule="auto"/>
        <w:ind w:right="1" w:hanging="286"/>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u věcí, u kterých je výrobcem stanovena doba použitelnosti (zejm. exspirace léčiv či zdravotnických prostředků), po dobu této exspirace, </w:t>
      </w:r>
    </w:p>
    <w:p w:rsidR="00D02DE2" w:rsidRPr="00D02DE2" w:rsidRDefault="00D02DE2" w:rsidP="00D02DE2">
      <w:pPr>
        <w:numPr>
          <w:ilvl w:val="1"/>
          <w:numId w:val="6"/>
        </w:numPr>
        <w:spacing w:after="5" w:line="249" w:lineRule="auto"/>
        <w:ind w:right="1" w:hanging="286"/>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u movitých věcí, u nichž není výrobcem stanovena doba použitelnosti, a které nepodléhají rychlé zkáze, 24 měsíců, </w:t>
      </w:r>
    </w:p>
    <w:p w:rsidR="00D02DE2" w:rsidRPr="00D02DE2" w:rsidRDefault="00D02DE2" w:rsidP="00D02DE2">
      <w:pPr>
        <w:numPr>
          <w:ilvl w:val="1"/>
          <w:numId w:val="6"/>
        </w:numPr>
        <w:spacing w:after="5" w:line="249" w:lineRule="auto"/>
        <w:ind w:right="1" w:hanging="286"/>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u movitých věcí, u nichž není výrobcem stanovena doba použitelnosti, a které podléhají rychlé zkáze, se záruka neposkytuje, nevyplývá-li z právního předpisu, nebo není-li ujednána ve Smlouvě, </w:t>
      </w:r>
    </w:p>
    <w:p w:rsidR="00D02DE2" w:rsidRPr="00D02DE2" w:rsidRDefault="00D02DE2" w:rsidP="00D02DE2">
      <w:pPr>
        <w:numPr>
          <w:ilvl w:val="1"/>
          <w:numId w:val="6"/>
        </w:numPr>
        <w:spacing w:after="5" w:line="249" w:lineRule="auto"/>
        <w:ind w:right="1" w:hanging="286"/>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u nemovitých věcí 5 let. </w:t>
      </w:r>
    </w:p>
    <w:p w:rsidR="00D02DE2" w:rsidRPr="00D02DE2" w:rsidRDefault="00D02DE2" w:rsidP="00D02DE2">
      <w:pPr>
        <w:numPr>
          <w:ilvl w:val="0"/>
          <w:numId w:val="6"/>
        </w:numPr>
        <w:spacing w:after="169"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Pokud je předmětem koupě hromadně vyráběný léčivý přípravek, požaduje NNH aby doba exspirace ode dne dodání činila alespoň 6 měsíců. Od tohoto ujednání se lze ve Smlouvě odchýlit. </w:t>
      </w:r>
    </w:p>
    <w:p w:rsidR="00D02DE2" w:rsidRPr="00D02DE2" w:rsidRDefault="00D02DE2" w:rsidP="00D02DE2">
      <w:pPr>
        <w:spacing w:after="256"/>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3" w:hanging="999"/>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Ustanovení o licencích a autorských částech předmětu plnění </w:t>
      </w:r>
    </w:p>
    <w:p w:rsidR="00D02DE2" w:rsidRPr="00D02DE2" w:rsidRDefault="00D02DE2" w:rsidP="00D02DE2">
      <w:pPr>
        <w:numPr>
          <w:ilvl w:val="0"/>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Pokud je při plnění Smlouvy předáno, zpřístupněno či jinak NNH nabídnuto dílo chráněné právy k duševnímu vlastnictví (dále jen „duševní vlastnictví“), druhá smluvní strana odpovídá za to, že NNH bude oprávněna duševní vlastnictví užívat, a to bez časového a územního omezení a minimálně v rozsahu nezbytném pro řádné užívání předmětu této smlouvy k účelu, který je ve smlouvě stanoven a není-li účel stanoven, pak k účelu obvyklému (dále jen „účel převodu práv k duševnímu vlastnictví“). </w:t>
      </w:r>
    </w:p>
    <w:p w:rsidR="00D02DE2" w:rsidRPr="00D02DE2" w:rsidRDefault="00D02DE2" w:rsidP="00D02DE2">
      <w:pPr>
        <w:numPr>
          <w:ilvl w:val="0"/>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Za tímto účelem druhá smluvní strana: </w:t>
      </w:r>
    </w:p>
    <w:p w:rsidR="00D02DE2" w:rsidRPr="00D02DE2" w:rsidRDefault="00D02DE2" w:rsidP="00D02DE2">
      <w:pPr>
        <w:numPr>
          <w:ilvl w:val="1"/>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uděluje NNH k duševnímu vlastnictví časově a územně neomezenou licenci opravňující NNH užívat duševní vlastnictví v nejširším možném rozsahu, v jakém lze podle právních předpisů oprávnění k užití udělit. V pochybnostech bude pojem užití vykládán jako užití v rozsahu umožněném autorským zákonem</w:t>
      </w:r>
      <w:r w:rsidRPr="00D02DE2">
        <w:rPr>
          <w:rFonts w:ascii="Times New Roman" w:eastAsia="Times New Roman" w:hAnsi="Times New Roman" w:cs="Times New Roman"/>
          <w:b/>
          <w:color w:val="000000"/>
          <w:sz w:val="24"/>
          <w:vertAlign w:val="superscript"/>
          <w:lang w:eastAsia="cs-CZ"/>
        </w:rPr>
        <w:footnoteReference w:id="1"/>
      </w:r>
      <w:r w:rsidRPr="00D02DE2">
        <w:rPr>
          <w:rFonts w:ascii="Times New Roman" w:eastAsia="Times New Roman" w:hAnsi="Times New Roman" w:cs="Times New Roman"/>
          <w:color w:val="000000"/>
          <w:sz w:val="24"/>
          <w:lang w:eastAsia="cs-CZ"/>
        </w:rPr>
        <w:t xml:space="preserve">. Licence se poskytuje za cenu ve Smlouvě výslovně ujednanou, přičemž pro vyloučení pochybností se stanoví, že není-li sjednána cena licence v této Smlouvě, pak se poskytuje licence bezúplatně. Druhá smluvní strana souhlasí s poskytnutím podlicence i s převodem licence NNH na třetí osobu.  </w:t>
      </w:r>
    </w:p>
    <w:p w:rsidR="00D02DE2" w:rsidRPr="00D02DE2" w:rsidRDefault="00D02DE2" w:rsidP="00D02DE2">
      <w:pPr>
        <w:numPr>
          <w:ilvl w:val="1"/>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v rozsahu, ve kterém není oprávněna poskytnout licenci podle bodu (a), zajistí NNH oprávnění k užití duševního vlastnictví (dále také jen „licenci“) v rozsahu a za podmínek v předchozím bodě uvedených</w:t>
      </w:r>
      <w:r w:rsidRPr="00D02DE2">
        <w:rPr>
          <w:rFonts w:ascii="Times New Roman" w:eastAsia="Times New Roman" w:hAnsi="Times New Roman" w:cs="Times New Roman"/>
          <w:b/>
          <w:color w:val="000000"/>
          <w:sz w:val="24"/>
          <w:vertAlign w:val="superscript"/>
          <w:lang w:eastAsia="cs-CZ"/>
        </w:rPr>
        <w:footnoteReference w:id="2"/>
      </w: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3"/>
        <w:ind w:left="123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lastRenderedPageBreak/>
        <w:t xml:space="preserve">Nedovolují-li konkrétní omezení vyplývající z právních předpisů, či mezinárodních smluv udělení oprávnění k užití v rozsahu dle tohoto ustanovení, uděluje se licence v nejširším rozsahu, v jakém je to dle příslušných předpisů možné. Nebude-li dle tohoto ustanovení udělena licence v rozsahu, který je dostatečný pro dosažení účelu převodu práv k duševnímu vlastnictví, zavazuje se druhá smluvní strana provést bezodkladně právní jednání k udělení licence NNH v rozsahu odpovídajícímu tomuto účelu, a to za cenu, která je výslovně sjednána ve Smlouvě a není-li cena licence ve Smlouvě sjednána, pak bezúplatně.  </w:t>
      </w:r>
    </w:p>
    <w:p w:rsidR="00D02DE2" w:rsidRPr="00D02DE2" w:rsidRDefault="00D02DE2" w:rsidP="00D02DE2">
      <w:pPr>
        <w:numPr>
          <w:ilvl w:val="0"/>
          <w:numId w:val="7"/>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není povinna duševní vlastnictví užívat ani nijak zhodnocovat. </w:t>
      </w:r>
    </w:p>
    <w:p w:rsidR="00D02DE2" w:rsidRPr="00D02DE2" w:rsidRDefault="00D02DE2" w:rsidP="00D02DE2">
      <w:pPr>
        <w:numPr>
          <w:ilvl w:val="0"/>
          <w:numId w:val="7"/>
        </w:numPr>
        <w:spacing w:after="109"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Smlouva může obsahovat jinou úpravu licenčních ujednání, vždy však musí být poskytnuta licence v takové míře, která je nezbytná pro splnění účelu smlouvy. </w:t>
      </w:r>
    </w:p>
    <w:p w:rsidR="00D02DE2" w:rsidRPr="00D02DE2" w:rsidRDefault="00D02DE2" w:rsidP="00D02DE2">
      <w:pPr>
        <w:spacing w:after="256"/>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2" w:hanging="1092"/>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Ustanovení k zajištění kvality a předávání dat o kvalitě </w:t>
      </w:r>
    </w:p>
    <w:p w:rsidR="00D02DE2" w:rsidRPr="00D02DE2" w:rsidRDefault="00D02DE2" w:rsidP="00D02DE2">
      <w:pPr>
        <w:numPr>
          <w:ilvl w:val="0"/>
          <w:numId w:val="8"/>
        </w:numPr>
        <w:spacing w:after="108"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Pokud je předmětem smlouvy dodávka či služba</w:t>
      </w:r>
      <w:r w:rsidRPr="00D02DE2">
        <w:rPr>
          <w:rFonts w:ascii="Times New Roman" w:eastAsia="Times New Roman" w:hAnsi="Times New Roman" w:cs="Times New Roman"/>
          <w:color w:val="000000"/>
          <w:sz w:val="24"/>
          <w:vertAlign w:val="superscript"/>
          <w:lang w:eastAsia="cs-CZ"/>
        </w:rPr>
        <w:footnoteReference w:id="3"/>
      </w:r>
      <w:r w:rsidRPr="00D02DE2">
        <w:rPr>
          <w:rFonts w:ascii="Times New Roman" w:eastAsia="Times New Roman" w:hAnsi="Times New Roman" w:cs="Times New Roman"/>
          <w:color w:val="000000"/>
          <w:sz w:val="24"/>
          <w:lang w:eastAsia="cs-CZ"/>
        </w:rPr>
        <w:t xml:space="preserve">, nebo je předmětem smlouvy bezúplatné užívání movité věci, pak se Dodavatel zavazuje, že: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1"/>
          <w:numId w:val="8"/>
        </w:numPr>
        <w:spacing w:after="5" w:line="249" w:lineRule="auto"/>
        <w:ind w:right="1" w:hanging="42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předá NNH veškerá data o kvalitě, která jsou požadována (a) právními předpisy, nebo (b) byla požadována NNH v rámci zadávacích podmínek, na jejichž základě NNH uzavřela tuto smlouvu s Dodavatelem, jsou-li takové, nebo (c) jsou požadována ustanoveními této Smlouvy, nebo (d) jsou požadována NNH po uzavření této Smlouvy prostřednictvím kontaktní osoby, uvedené ve Smlouvě, nebo pracovníků NNH s jejichž funkcí vykonávanou v NNH souvisí užívání, zajišťování, údržba nebo kontrola kvality plnění smlouvy či kontrola kvality v NNH; </w:t>
      </w:r>
    </w:p>
    <w:p w:rsidR="00D02DE2" w:rsidRPr="00D02DE2" w:rsidRDefault="00D02DE2" w:rsidP="00D02DE2">
      <w:pPr>
        <w:numPr>
          <w:ilvl w:val="1"/>
          <w:numId w:val="8"/>
        </w:numPr>
        <w:spacing w:after="5" w:line="249" w:lineRule="auto"/>
        <w:ind w:right="1" w:hanging="42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v případě neschopnosti dodržet své povinnosti vyplývající z této Smlouvy, zejména plnit předmět Smlouvy v kvalitě stanovené touto Smlouvou a v souladu s technickými podmínkami stanovenými v rámci zadávacích podmínek, které byly podkladem pro uzavření této Smlouvy (jsou-li takové), bude o této skutečnosti neprodleně prokazatelně informovat NNH. Práva vyplývající z odpovědnosti za porušení Smlouvy tímto nejsou dotčena; </w:t>
      </w:r>
    </w:p>
    <w:p w:rsidR="00D02DE2" w:rsidRPr="00D02DE2" w:rsidRDefault="00D02DE2" w:rsidP="00D02DE2">
      <w:pPr>
        <w:numPr>
          <w:ilvl w:val="1"/>
          <w:numId w:val="8"/>
        </w:numPr>
        <w:spacing w:after="5" w:line="249" w:lineRule="auto"/>
        <w:ind w:right="1" w:hanging="42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oznámí NNH veškeré odchylky od kvality a technických podmínek, které se vztahují k plnění předmětu této Smlouvy a které zjistí v průběhu plnění této Smlouvy. V takovém případě NNH může uplatnit práva z vadného plnění ihned poté, co se o vadném plnění dozvěděla;  </w:t>
      </w:r>
    </w:p>
    <w:p w:rsidR="00D02DE2" w:rsidRPr="00D02DE2" w:rsidRDefault="00D02DE2" w:rsidP="00D02DE2">
      <w:pPr>
        <w:numPr>
          <w:ilvl w:val="1"/>
          <w:numId w:val="8"/>
        </w:numPr>
        <w:spacing w:after="5" w:line="249" w:lineRule="auto"/>
        <w:ind w:right="1" w:hanging="42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v dostatečném předstihu před plánovanými změnami výrobních metod, postupů či použitých materiálů, majících potenciální vliv na kvalitu plnění předmětu Smlouvy, bude NNH o této skutečnosti informovat a umožní NNH ověření, zda deklarované změny nemohou ovlivnit výslednou kvalitu kupujícím poskytovaných služeb.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numPr>
          <w:ilvl w:val="0"/>
          <w:numId w:val="8"/>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NNH je oprávněna v případě zjištění nedostatků při plnění této Smlouvy (zjištěných např. v rámci hodnocení), zahájit s Dodavatelem neprodleně jednání směřující k nápravě vzniklého stavu. V případě potřeby je NNH oprávněna prostřednictvím svých pověřených osob, vystupujících v roli externího pozorovatele, účastnit se kontroly kvality v prostorách druhé smluvní strany. </w:t>
      </w:r>
    </w:p>
    <w:p w:rsidR="00D02DE2" w:rsidRPr="00D02DE2" w:rsidRDefault="00D02DE2" w:rsidP="00D02DE2">
      <w:pPr>
        <w:numPr>
          <w:ilvl w:val="0"/>
          <w:numId w:val="8"/>
        </w:numPr>
        <w:spacing w:after="109"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lastRenderedPageBreak/>
        <w:t xml:space="preserve">V případě rozporu s plněním podmínek stanovených v této Smlouvě bude NNH uplatňovat práva z odpovědnosti za vadné plnění v souladu s touto Smlouvou a příslušnými právními předpisy. </w:t>
      </w:r>
    </w:p>
    <w:p w:rsidR="00D02DE2" w:rsidRPr="00D02DE2" w:rsidRDefault="00D02DE2" w:rsidP="00D02DE2">
      <w:pPr>
        <w:spacing w:after="106" w:line="249" w:lineRule="auto"/>
        <w:ind w:left="514"/>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se mohou ve smlouvě od těchto ustanovení odchýlit. </w:t>
      </w:r>
    </w:p>
    <w:p w:rsidR="00D02DE2" w:rsidRPr="00D02DE2" w:rsidRDefault="00D02DE2" w:rsidP="00D02DE2">
      <w:pPr>
        <w:spacing w:after="0"/>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77" w:hanging="905"/>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Ustanovení o formě, počtu stejnopisů smlouvy a zveřejnění smluv </w:t>
      </w:r>
    </w:p>
    <w:p w:rsidR="00D02DE2" w:rsidRPr="00D02DE2" w:rsidRDefault="00D02DE2" w:rsidP="00D02DE2">
      <w:pPr>
        <w:numPr>
          <w:ilvl w:val="0"/>
          <w:numId w:val="9"/>
        </w:numPr>
        <w:spacing w:after="11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Pro NNH musejí být vyhotoveny vždy minimálně dvě originální vyhotovení Smlouvy. Stanoví-li smlouva větší počet vyhotovení, užije se ustanovení Smlouvy. </w:t>
      </w:r>
    </w:p>
    <w:p w:rsidR="00D02DE2" w:rsidRPr="00D02DE2" w:rsidRDefault="00D02DE2" w:rsidP="00D02DE2">
      <w:pPr>
        <w:numPr>
          <w:ilvl w:val="0"/>
          <w:numId w:val="9"/>
        </w:numPr>
        <w:spacing w:after="117"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souhlasí se zveřejněním všech náležitostí smluvního vztahu, založeného touto smlouvou, jakož i se zveřejněním celé této smlouvy. Pokud z objektivních důvodů druhá strana trvá na nezveřejnění Smlouvy či některé její části, nebo není zveřejnění Smlouvy či některé její části v zájmu NNH (např. z důvodů zachování soutěže mezi účastníky rámcové smlouvy v </w:t>
      </w:r>
      <w:proofErr w:type="spellStart"/>
      <w:r w:rsidRPr="00D02DE2">
        <w:rPr>
          <w:rFonts w:ascii="Times New Roman" w:eastAsia="Times New Roman" w:hAnsi="Times New Roman" w:cs="Times New Roman"/>
          <w:color w:val="000000"/>
          <w:sz w:val="24"/>
          <w:lang w:eastAsia="cs-CZ"/>
        </w:rPr>
        <w:t>minitenderech</w:t>
      </w:r>
      <w:proofErr w:type="spellEnd"/>
      <w:r w:rsidRPr="00D02DE2">
        <w:rPr>
          <w:rFonts w:ascii="Times New Roman" w:eastAsia="Times New Roman" w:hAnsi="Times New Roman" w:cs="Times New Roman"/>
          <w:color w:val="000000"/>
          <w:sz w:val="24"/>
          <w:lang w:eastAsia="cs-CZ"/>
        </w:rPr>
        <w:t xml:space="preserve">), musí být konkrétní části Smlouvy, které nemají být zveřejněny, uvedeny v samostatném ustanovení Smlouvy v závěrečných ustanoveních smlouvy (v poslední části smlouvy). </w:t>
      </w:r>
    </w:p>
    <w:p w:rsidR="00D02DE2" w:rsidRPr="00D02DE2" w:rsidRDefault="00D02DE2" w:rsidP="00D02DE2">
      <w:pPr>
        <w:numPr>
          <w:ilvl w:val="0"/>
          <w:numId w:val="9"/>
        </w:numPr>
        <w:spacing w:after="5" w:line="249" w:lineRule="auto"/>
        <w:ind w:right="1" w:hanging="360"/>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Jakékoli změny Smlouvy mohou být provedeny pouze písemnou dohodou smluvních stran, přičemž tato dohoda musí být zachycena formou písemných, vzestupně číslovaných dodatků Smlouvy. To neplatí u změn adres pro doručování a změny kontaktních osob a jejich kontaktních údajů, které jsou účinné doručením písemného oznámením této změny druhé smluvní straně. </w:t>
      </w:r>
    </w:p>
    <w:p w:rsidR="00D02DE2" w:rsidRPr="00D02DE2" w:rsidRDefault="00D02DE2" w:rsidP="00D02DE2">
      <w:pPr>
        <w:spacing w:after="278"/>
        <w:ind w:left="514"/>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keepNext/>
        <w:keepLines/>
        <w:spacing w:after="248" w:line="258" w:lineRule="auto"/>
        <w:ind w:left="1093" w:hanging="812"/>
        <w:jc w:val="both"/>
        <w:outlineLvl w:val="0"/>
        <w:rPr>
          <w:rFonts w:ascii="Times New Roman" w:eastAsia="Times New Roman" w:hAnsi="Times New Roman" w:cs="Times New Roman"/>
          <w:b/>
          <w:color w:val="000000"/>
          <w:sz w:val="24"/>
          <w:lang w:eastAsia="cs-CZ"/>
        </w:rPr>
      </w:pPr>
      <w:r w:rsidRPr="00D02DE2">
        <w:rPr>
          <w:rFonts w:ascii="Times New Roman" w:eastAsia="Times New Roman" w:hAnsi="Times New Roman" w:cs="Times New Roman"/>
          <w:b/>
          <w:color w:val="000000"/>
          <w:sz w:val="24"/>
          <w:lang w:eastAsia="cs-CZ"/>
        </w:rPr>
        <w:t xml:space="preserve">Výklad Smlouvy, závěrečná ustanovení o těchto obchodních podmínkách </w:t>
      </w:r>
    </w:p>
    <w:p w:rsidR="00D02DE2" w:rsidRPr="00D02DE2" w:rsidRDefault="00D02DE2" w:rsidP="00D02DE2">
      <w:pPr>
        <w:spacing w:after="5" w:line="249" w:lineRule="auto"/>
        <w:ind w:left="859" w:firstLine="2"/>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1.</w:t>
      </w:r>
      <w:r w:rsidRPr="00D02DE2">
        <w:rPr>
          <w:rFonts w:ascii="Arial" w:eastAsia="Arial" w:hAnsi="Arial" w:cs="Arial"/>
          <w:color w:val="000000"/>
          <w:sz w:val="24"/>
          <w:lang w:eastAsia="cs-CZ"/>
        </w:rPr>
        <w:t xml:space="preserve"> </w:t>
      </w:r>
      <w:r w:rsidRPr="00D02DE2">
        <w:rPr>
          <w:rFonts w:ascii="Times New Roman" w:eastAsia="Times New Roman" w:hAnsi="Times New Roman" w:cs="Times New Roman"/>
          <w:color w:val="000000"/>
          <w:sz w:val="24"/>
          <w:lang w:eastAsia="cs-CZ"/>
        </w:rPr>
        <w:t>Smluvní strany stanoví, že pokud je Smlouva uzavřena na základě zadávacího řízení, výběrového řízení veřejné zakázky malého rozsahu či obchodní veřejné soutěže, budou vykládat tuto smlouvu s ohledem na jednání stran v řízení, na základě kterého byla Smlouva uzavřena, zejména s ohledem na obsah nabídky Dodavatele, zadávací podmínky a odpovědi na případné žádosti o informace k těmto zadávacím podmínkám. 2.</w:t>
      </w:r>
      <w:r w:rsidRPr="00D02DE2">
        <w:rPr>
          <w:rFonts w:ascii="Arial" w:eastAsia="Arial" w:hAnsi="Arial" w:cs="Arial"/>
          <w:color w:val="000000"/>
          <w:sz w:val="24"/>
          <w:lang w:eastAsia="cs-CZ"/>
        </w:rPr>
        <w:t xml:space="preserve"> </w:t>
      </w:r>
      <w:r w:rsidRPr="00D02DE2">
        <w:rPr>
          <w:rFonts w:ascii="Times New Roman" w:eastAsia="Times New Roman" w:hAnsi="Times New Roman" w:cs="Times New Roman"/>
          <w:color w:val="000000"/>
          <w:sz w:val="24"/>
          <w:lang w:eastAsia="cs-CZ"/>
        </w:rPr>
        <w:t xml:space="preserve">Smluvní strany vylučují použití ustanovení § 1799 a 1800 občanského zákoníku. </w:t>
      </w:r>
    </w:p>
    <w:p w:rsidR="00D02DE2" w:rsidRPr="00D02DE2" w:rsidRDefault="00D02DE2" w:rsidP="00D02DE2">
      <w:pPr>
        <w:numPr>
          <w:ilvl w:val="0"/>
          <w:numId w:val="10"/>
        </w:numPr>
        <w:spacing w:after="5" w:line="249" w:lineRule="auto"/>
        <w:ind w:right="1" w:hanging="35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Ustanovení těchto OP mají přednost před odchylnými ustanoveními Smlouvy, není-li v těchto OP výslovně uvedeno jinak. </w:t>
      </w:r>
    </w:p>
    <w:p w:rsidR="00D02DE2" w:rsidRPr="00D02DE2" w:rsidRDefault="00D02DE2" w:rsidP="00D02DE2">
      <w:pPr>
        <w:numPr>
          <w:ilvl w:val="0"/>
          <w:numId w:val="10"/>
        </w:numPr>
        <w:spacing w:after="5" w:line="249" w:lineRule="auto"/>
        <w:ind w:right="1" w:hanging="355"/>
        <w:jc w:val="both"/>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Smluvní strany se dohodly, že obchodní zvyklosti nemají přednost před ustanoveními zákona, která nemají donucující účinky (smluvní strany vylučují aplikaci ustanovení § 558 odst. 2 </w:t>
      </w:r>
      <w:proofErr w:type="spellStart"/>
      <w:r w:rsidRPr="00D02DE2">
        <w:rPr>
          <w:rFonts w:ascii="Times New Roman" w:eastAsia="Times New Roman" w:hAnsi="Times New Roman" w:cs="Times New Roman"/>
          <w:color w:val="000000"/>
          <w:sz w:val="24"/>
          <w:lang w:eastAsia="cs-CZ"/>
        </w:rPr>
        <w:t>ObčZ</w:t>
      </w:r>
      <w:proofErr w:type="spellEnd"/>
      <w:r w:rsidRPr="00D02DE2">
        <w:rPr>
          <w:rFonts w:ascii="Times New Roman" w:eastAsia="Times New Roman" w:hAnsi="Times New Roman" w:cs="Times New Roman"/>
          <w:color w:val="000000"/>
          <w:sz w:val="24"/>
          <w:lang w:eastAsia="cs-CZ"/>
        </w:rPr>
        <w:t xml:space="preserve">). </w:t>
      </w:r>
    </w:p>
    <w:p w:rsidR="00D02DE2" w:rsidRPr="00D02DE2" w:rsidRDefault="00D02DE2" w:rsidP="00D02DE2">
      <w:pPr>
        <w:spacing w:after="0"/>
        <w:ind w:left="1227"/>
        <w:rPr>
          <w:rFonts w:ascii="Times New Roman" w:eastAsia="Times New Roman" w:hAnsi="Times New Roman" w:cs="Times New Roman"/>
          <w:color w:val="000000"/>
          <w:sz w:val="24"/>
          <w:lang w:eastAsia="cs-CZ"/>
        </w:rPr>
      </w:pPr>
      <w:r w:rsidRPr="00D02DE2">
        <w:rPr>
          <w:rFonts w:ascii="Times New Roman" w:eastAsia="Times New Roman" w:hAnsi="Times New Roman" w:cs="Times New Roman"/>
          <w:color w:val="000000"/>
          <w:sz w:val="24"/>
          <w:lang w:eastAsia="cs-CZ"/>
        </w:rPr>
        <w:t xml:space="preserve"> </w:t>
      </w:r>
    </w:p>
    <w:p w:rsidR="007D7F2A" w:rsidRDefault="007D7F2A"/>
    <w:sectPr w:rsidR="007D7F2A">
      <w:footerReference w:type="even" r:id="rId7"/>
      <w:footerReference w:type="default" r:id="rId8"/>
      <w:footerReference w:type="first" r:id="rId9"/>
      <w:pgSz w:w="11906" w:h="16838"/>
      <w:pgMar w:top="1466" w:right="1412" w:bottom="1421" w:left="902"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57E" w:rsidRDefault="001A757E" w:rsidP="00D02DE2">
      <w:pPr>
        <w:spacing w:after="0" w:line="240" w:lineRule="auto"/>
      </w:pPr>
      <w:r>
        <w:separator/>
      </w:r>
    </w:p>
  </w:endnote>
  <w:endnote w:type="continuationSeparator" w:id="0">
    <w:p w:rsidR="001A757E" w:rsidRDefault="001A757E" w:rsidP="00D0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7" w:rsidRDefault="001A757E">
    <w:pPr>
      <w:spacing w:after="8"/>
      <w:ind w:right="6"/>
      <w:jc w:val="right"/>
    </w:pPr>
    <w:r>
      <w:rPr>
        <w:sz w:val="20"/>
      </w:rPr>
      <w:t xml:space="preserve">Stránka | </w:t>
    </w:r>
    <w:r>
      <w:fldChar w:fldCharType="begin"/>
    </w:r>
    <w:r>
      <w:instrText xml:space="preserve"> PAGE   \* MERGEFORMAT </w:instrText>
    </w:r>
    <w:r>
      <w:fldChar w:fldCharType="separate"/>
    </w:r>
    <w:r>
      <w:rPr>
        <w:sz w:val="20"/>
      </w:rPr>
      <w:t>1</w:t>
    </w:r>
    <w:r>
      <w:rPr>
        <w:sz w:val="20"/>
      </w:rPr>
      <w:fldChar w:fldCharType="end"/>
    </w:r>
    <w:r>
      <w:rPr>
        <w:sz w:val="20"/>
      </w:rPr>
      <w:t xml:space="preserve"> z </w:t>
    </w:r>
    <w:fldSimple w:instr=" NUMPAGES   \* MERGEFORMAT ">
      <w:r>
        <w:rPr>
          <w:sz w:val="20"/>
        </w:rPr>
        <w:t>6</w:t>
      </w:r>
    </w:fldSimple>
    <w:r>
      <w:rPr>
        <w:sz w:val="20"/>
      </w:rPr>
      <w:t xml:space="preserve"> </w:t>
    </w:r>
  </w:p>
  <w:p w:rsidR="00D255D7" w:rsidRDefault="001A757E">
    <w:pPr>
      <w:spacing w:after="0"/>
      <w:ind w:left="514"/>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7" w:rsidRDefault="001A757E">
    <w:pPr>
      <w:spacing w:after="8"/>
      <w:ind w:right="6"/>
      <w:jc w:val="right"/>
    </w:pPr>
    <w:r>
      <w:rPr>
        <w:sz w:val="20"/>
      </w:rPr>
      <w:t xml:space="preserve">Stránka | </w:t>
    </w:r>
    <w:r>
      <w:fldChar w:fldCharType="begin"/>
    </w:r>
    <w:r>
      <w:instrText xml:space="preserve"> PAGE   \* MERGEFORMAT </w:instrText>
    </w:r>
    <w:r>
      <w:fldChar w:fldCharType="separate"/>
    </w:r>
    <w:r w:rsidR="00EC19D7" w:rsidRPr="00EC19D7">
      <w:rPr>
        <w:noProof/>
        <w:sz w:val="20"/>
      </w:rPr>
      <w:t>6</w:t>
    </w:r>
    <w:r>
      <w:rPr>
        <w:sz w:val="20"/>
      </w:rPr>
      <w:fldChar w:fldCharType="end"/>
    </w:r>
    <w:r>
      <w:rPr>
        <w:sz w:val="20"/>
      </w:rPr>
      <w:t xml:space="preserve"> z </w:t>
    </w:r>
    <w:fldSimple w:instr=" NUMPAGES   \* MERGEFORMAT ">
      <w:r w:rsidR="00EC19D7" w:rsidRPr="00EC19D7">
        <w:rPr>
          <w:noProof/>
          <w:sz w:val="20"/>
        </w:rPr>
        <w:t>6</w:t>
      </w:r>
    </w:fldSimple>
    <w:r>
      <w:rPr>
        <w:sz w:val="20"/>
      </w:rPr>
      <w:t xml:space="preserve"> </w:t>
    </w:r>
  </w:p>
  <w:p w:rsidR="00D255D7" w:rsidRDefault="001A757E">
    <w:pPr>
      <w:spacing w:after="0"/>
      <w:ind w:left="514"/>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5D7" w:rsidRDefault="001A757E">
    <w:pPr>
      <w:spacing w:after="8"/>
      <w:ind w:right="6"/>
      <w:jc w:val="right"/>
    </w:pPr>
    <w:r>
      <w:rPr>
        <w:sz w:val="20"/>
      </w:rPr>
      <w:t xml:space="preserve">Stránka | </w:t>
    </w:r>
    <w:r>
      <w:fldChar w:fldCharType="begin"/>
    </w:r>
    <w:r>
      <w:instrText xml:space="preserve"> PAGE   \* MERGEFORMAT </w:instrText>
    </w:r>
    <w:r>
      <w:fldChar w:fldCharType="separate"/>
    </w:r>
    <w:r>
      <w:rPr>
        <w:sz w:val="20"/>
      </w:rPr>
      <w:t>1</w:t>
    </w:r>
    <w:r>
      <w:rPr>
        <w:sz w:val="20"/>
      </w:rPr>
      <w:fldChar w:fldCharType="end"/>
    </w:r>
    <w:r>
      <w:rPr>
        <w:sz w:val="20"/>
      </w:rPr>
      <w:t xml:space="preserve"> z </w:t>
    </w:r>
    <w:fldSimple w:instr=" NUMPAGES   \* MERGEFORMAT ">
      <w:r>
        <w:rPr>
          <w:sz w:val="20"/>
        </w:rPr>
        <w:t>6</w:t>
      </w:r>
    </w:fldSimple>
    <w:r>
      <w:rPr>
        <w:sz w:val="20"/>
      </w:rPr>
      <w:t xml:space="preserve"> </w:t>
    </w:r>
  </w:p>
  <w:p w:rsidR="00D255D7" w:rsidRDefault="001A757E">
    <w:pPr>
      <w:spacing w:after="0"/>
      <w:ind w:left="514"/>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57E" w:rsidRDefault="001A757E" w:rsidP="00D02DE2">
      <w:pPr>
        <w:spacing w:after="0" w:line="240" w:lineRule="auto"/>
      </w:pPr>
      <w:r>
        <w:separator/>
      </w:r>
    </w:p>
  </w:footnote>
  <w:footnote w:type="continuationSeparator" w:id="0">
    <w:p w:rsidR="001A757E" w:rsidRDefault="001A757E" w:rsidP="00D02DE2">
      <w:pPr>
        <w:spacing w:after="0" w:line="240" w:lineRule="auto"/>
      </w:pPr>
      <w:r>
        <w:continuationSeparator/>
      </w:r>
    </w:p>
  </w:footnote>
  <w:footnote w:id="1">
    <w:p w:rsidR="00D02DE2" w:rsidRDefault="00D02DE2" w:rsidP="00D02DE2">
      <w:pPr>
        <w:pStyle w:val="footnotedescription"/>
        <w:spacing w:line="261" w:lineRule="auto"/>
      </w:pPr>
      <w:r>
        <w:rPr>
          <w:rStyle w:val="footnotemark"/>
        </w:rPr>
        <w:footnoteRef/>
      </w:r>
      <w:r>
        <w:t xml:space="preserve"> § 12 zákona č. 121/2000 Sb., o právu autorském, o právech souvisejících s právem autorským a o změně některých zákonů (autorský zákon), ve znění pozdějších předpisů </w:t>
      </w:r>
    </w:p>
  </w:footnote>
  <w:footnote w:id="2">
    <w:p w:rsidR="00D02DE2" w:rsidRDefault="00D02DE2" w:rsidP="00D02DE2">
      <w:pPr>
        <w:pStyle w:val="footnotedescription"/>
      </w:pPr>
      <w:r>
        <w:rPr>
          <w:rStyle w:val="footnotemark"/>
        </w:rPr>
        <w:footnoteRef/>
      </w:r>
      <w:r>
        <w:t xml:space="preserve"> Např. předáním „krabicového software“ s licencí pro konečného uživatele </w:t>
      </w:r>
    </w:p>
  </w:footnote>
  <w:footnote w:id="3">
    <w:p w:rsidR="00D02DE2" w:rsidRDefault="00D02DE2" w:rsidP="00D02DE2">
      <w:pPr>
        <w:pStyle w:val="footnotedescription"/>
      </w:pPr>
      <w:r>
        <w:rPr>
          <w:rStyle w:val="footnotemark"/>
        </w:rPr>
        <w:footnoteRef/>
      </w:r>
      <w:r>
        <w:t xml:space="preserve"> Srov. ustanovení § 8 a 9 ZVZ</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6BAD"/>
    <w:multiLevelType w:val="hybridMultilevel"/>
    <w:tmpl w:val="32D207E6"/>
    <w:lvl w:ilvl="0" w:tplc="47EC8492">
      <w:start w:val="1"/>
      <w:numFmt w:val="lowerLetter"/>
      <w:lvlText w:val="%1)"/>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0E548">
      <w:start w:val="1"/>
      <w:numFmt w:val="lowerLetter"/>
      <w:lvlText w:val="%2"/>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68814">
      <w:start w:val="1"/>
      <w:numFmt w:val="lowerRoman"/>
      <w:lvlText w:val="%3"/>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2E132">
      <w:start w:val="1"/>
      <w:numFmt w:val="decimal"/>
      <w:lvlText w:val="%4"/>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C5416">
      <w:start w:val="1"/>
      <w:numFmt w:val="lowerLetter"/>
      <w:lvlText w:val="%5"/>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1938">
      <w:start w:val="1"/>
      <w:numFmt w:val="lowerRoman"/>
      <w:lvlText w:val="%6"/>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C3606">
      <w:start w:val="1"/>
      <w:numFmt w:val="decimal"/>
      <w:lvlText w:val="%7"/>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983FC2">
      <w:start w:val="1"/>
      <w:numFmt w:val="lowerLetter"/>
      <w:lvlText w:val="%8"/>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43350">
      <w:start w:val="1"/>
      <w:numFmt w:val="lowerRoman"/>
      <w:lvlText w:val="%9"/>
      <w:lvlJc w:val="left"/>
      <w:pPr>
        <w:ind w:left="7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A41948"/>
    <w:multiLevelType w:val="hybridMultilevel"/>
    <w:tmpl w:val="42CE396A"/>
    <w:lvl w:ilvl="0" w:tplc="124A16C2">
      <w:start w:val="3"/>
      <w:numFmt w:val="decimal"/>
      <w:lvlText w:val="%1."/>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235B8">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4B340">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4FB38">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A0854">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EBABE">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23E8A">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8EC1C">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405C">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5F14D6"/>
    <w:multiLevelType w:val="hybridMultilevel"/>
    <w:tmpl w:val="16763046"/>
    <w:lvl w:ilvl="0" w:tplc="4704B4B4">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CD7B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81530">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0D2AA">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4CAD8">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CA1D0">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C6F1E">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A7434">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E2738">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D4489A"/>
    <w:multiLevelType w:val="hybridMultilevel"/>
    <w:tmpl w:val="DF8EEAEC"/>
    <w:lvl w:ilvl="0" w:tplc="FFFCF42C">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01EEC">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A6DA4">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CAE14">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83A40">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EB8E2">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E64C8">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60A9E">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09006">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453115"/>
    <w:multiLevelType w:val="hybridMultilevel"/>
    <w:tmpl w:val="7A2A2868"/>
    <w:lvl w:ilvl="0" w:tplc="A052195A">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EF4C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806C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823C8">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21800">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62F64">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C8DAA">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0BC64">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25AA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352779"/>
    <w:multiLevelType w:val="hybridMultilevel"/>
    <w:tmpl w:val="036214C8"/>
    <w:lvl w:ilvl="0" w:tplc="9B2EC4CA">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29E7E">
      <w:start w:val="1"/>
      <w:numFmt w:val="lowerLetter"/>
      <w:lvlText w:val="%2"/>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20FF0">
      <w:start w:val="1"/>
      <w:numFmt w:val="lowerRoman"/>
      <w:lvlText w:val="%3"/>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2BA12">
      <w:start w:val="1"/>
      <w:numFmt w:val="decimal"/>
      <w:lvlText w:val="%4"/>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A3A4A">
      <w:start w:val="1"/>
      <w:numFmt w:val="lowerLetter"/>
      <w:lvlText w:val="%5"/>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24F10">
      <w:start w:val="1"/>
      <w:numFmt w:val="lowerRoman"/>
      <w:lvlText w:val="%6"/>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E94F4">
      <w:start w:val="1"/>
      <w:numFmt w:val="decimal"/>
      <w:lvlText w:val="%7"/>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4B0A0">
      <w:start w:val="1"/>
      <w:numFmt w:val="lowerLetter"/>
      <w:lvlText w:val="%8"/>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03A78">
      <w:start w:val="1"/>
      <w:numFmt w:val="lowerRoman"/>
      <w:lvlText w:val="%9"/>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A6D1FEE"/>
    <w:multiLevelType w:val="hybridMultilevel"/>
    <w:tmpl w:val="54663B80"/>
    <w:lvl w:ilvl="0" w:tplc="15B639CA">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5C60">
      <w:start w:val="1"/>
      <w:numFmt w:val="lowerLetter"/>
      <w:lvlText w:val="%2"/>
      <w:lvlJc w:val="left"/>
      <w:pPr>
        <w:ind w:left="1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4A374">
      <w:start w:val="1"/>
      <w:numFmt w:val="lowerRoman"/>
      <w:lvlText w:val="%3"/>
      <w:lvlJc w:val="left"/>
      <w:pPr>
        <w:ind w:left="2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02340">
      <w:start w:val="1"/>
      <w:numFmt w:val="decimal"/>
      <w:lvlText w:val="%4"/>
      <w:lvlJc w:val="left"/>
      <w:pPr>
        <w:ind w:left="3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A2E74">
      <w:start w:val="1"/>
      <w:numFmt w:val="lowerLetter"/>
      <w:lvlText w:val="%5"/>
      <w:lvlJc w:val="left"/>
      <w:pPr>
        <w:ind w:left="3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4D4AC">
      <w:start w:val="1"/>
      <w:numFmt w:val="lowerRoman"/>
      <w:lvlText w:val="%6"/>
      <w:lvlJc w:val="left"/>
      <w:pPr>
        <w:ind w:left="4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4E3D4">
      <w:start w:val="1"/>
      <w:numFmt w:val="decimal"/>
      <w:lvlText w:val="%7"/>
      <w:lvlJc w:val="left"/>
      <w:pPr>
        <w:ind w:left="5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CCF0C0">
      <w:start w:val="1"/>
      <w:numFmt w:val="lowerLetter"/>
      <w:lvlText w:val="%8"/>
      <w:lvlJc w:val="left"/>
      <w:pPr>
        <w:ind w:left="6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AEB40">
      <w:start w:val="1"/>
      <w:numFmt w:val="lowerRoman"/>
      <w:lvlText w:val="%9"/>
      <w:lvlJc w:val="left"/>
      <w:pPr>
        <w:ind w:left="6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136A7E"/>
    <w:multiLevelType w:val="hybridMultilevel"/>
    <w:tmpl w:val="85D0EE3C"/>
    <w:lvl w:ilvl="0" w:tplc="288259F6">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CB77C">
      <w:start w:val="1"/>
      <w:numFmt w:val="lowerLetter"/>
      <w:lvlText w:val="%2"/>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E1D34">
      <w:start w:val="1"/>
      <w:numFmt w:val="lowerRoman"/>
      <w:lvlText w:val="%3"/>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C496E">
      <w:start w:val="1"/>
      <w:numFmt w:val="decimal"/>
      <w:lvlText w:val="%4"/>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8109E">
      <w:start w:val="1"/>
      <w:numFmt w:val="lowerLetter"/>
      <w:lvlText w:val="%5"/>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C16F4">
      <w:start w:val="1"/>
      <w:numFmt w:val="lowerRoman"/>
      <w:lvlText w:val="%6"/>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108C">
      <w:start w:val="1"/>
      <w:numFmt w:val="decimal"/>
      <w:lvlText w:val="%7"/>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6F95E">
      <w:start w:val="1"/>
      <w:numFmt w:val="lowerLetter"/>
      <w:lvlText w:val="%8"/>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C741A">
      <w:start w:val="1"/>
      <w:numFmt w:val="lowerRoman"/>
      <w:lvlText w:val="%9"/>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566F03"/>
    <w:multiLevelType w:val="hybridMultilevel"/>
    <w:tmpl w:val="2A3A6DD2"/>
    <w:lvl w:ilvl="0" w:tplc="6A00F2AA">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CDAF6">
      <w:start w:val="1"/>
      <w:numFmt w:val="lowerLetter"/>
      <w:lvlText w:val="%2"/>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0E11A">
      <w:start w:val="1"/>
      <w:numFmt w:val="lowerRoman"/>
      <w:lvlText w:val="%3"/>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EDB28">
      <w:start w:val="1"/>
      <w:numFmt w:val="decimal"/>
      <w:lvlText w:val="%4"/>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45FAA">
      <w:start w:val="1"/>
      <w:numFmt w:val="lowerLetter"/>
      <w:lvlText w:val="%5"/>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6526">
      <w:start w:val="1"/>
      <w:numFmt w:val="lowerRoman"/>
      <w:lvlText w:val="%6"/>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4B60E">
      <w:start w:val="1"/>
      <w:numFmt w:val="decimal"/>
      <w:lvlText w:val="%7"/>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EED20">
      <w:start w:val="1"/>
      <w:numFmt w:val="lowerLetter"/>
      <w:lvlText w:val="%8"/>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F60EC8">
      <w:start w:val="1"/>
      <w:numFmt w:val="lowerRoman"/>
      <w:lvlText w:val="%9"/>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094C72"/>
    <w:multiLevelType w:val="hybridMultilevel"/>
    <w:tmpl w:val="0F488074"/>
    <w:lvl w:ilvl="0" w:tplc="754A15FE">
      <w:start w:val="1"/>
      <w:numFmt w:val="decimal"/>
      <w:lvlText w:val="%1."/>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4196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4EE86">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E727A">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051E2">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BB2E">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C4606">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E89E8">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212F6">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9"/>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E2"/>
    <w:rsid w:val="001A757E"/>
    <w:rsid w:val="007D7F2A"/>
    <w:rsid w:val="00D02DE2"/>
    <w:rsid w:val="00EC19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1CB1"/>
  <w15:chartTrackingRefBased/>
  <w15:docId w15:val="{F69B8A08-9E8E-4FFB-B2B4-2DF672B2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rsid w:val="00D02DE2"/>
    <w:pPr>
      <w:spacing w:after="0"/>
      <w:ind w:left="514"/>
    </w:pPr>
    <w:rPr>
      <w:rFonts w:ascii="Times New Roman" w:eastAsia="Times New Roman" w:hAnsi="Times New Roman" w:cs="Times New Roman"/>
      <w:color w:val="000000"/>
      <w:sz w:val="18"/>
      <w:lang w:eastAsia="cs-CZ"/>
    </w:rPr>
  </w:style>
  <w:style w:type="character" w:customStyle="1" w:styleId="footnotedescriptionChar">
    <w:name w:val="footnote description Char"/>
    <w:link w:val="footnotedescription"/>
    <w:rsid w:val="00D02DE2"/>
    <w:rPr>
      <w:rFonts w:ascii="Times New Roman" w:eastAsia="Times New Roman" w:hAnsi="Times New Roman" w:cs="Times New Roman"/>
      <w:color w:val="000000"/>
      <w:sz w:val="18"/>
      <w:lang w:eastAsia="cs-CZ"/>
    </w:rPr>
  </w:style>
  <w:style w:type="character" w:customStyle="1" w:styleId="footnotemark">
    <w:name w:val="footnote mark"/>
    <w:hidden/>
    <w:rsid w:val="00D02DE2"/>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13278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Jiří</dc:creator>
  <cp:keywords/>
  <dc:description/>
  <cp:lastModifiedBy>Musil Jiří</cp:lastModifiedBy>
  <cp:revision>2</cp:revision>
  <dcterms:created xsi:type="dcterms:W3CDTF">2016-12-14T13:46:00Z</dcterms:created>
  <dcterms:modified xsi:type="dcterms:W3CDTF">2016-12-16T07:48:00Z</dcterms:modified>
</cp:coreProperties>
</file>