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B6" w:rsidRDefault="004643B6">
      <w:pPr>
        <w:rPr>
          <w:sz w:val="2"/>
          <w:szCs w:val="24"/>
        </w:rPr>
      </w:pPr>
    </w:p>
    <w:p w:rsidR="004643B6" w:rsidRDefault="009C3A86">
      <w:pPr>
        <w:framePr w:w="10204" w:h="508" w:wrap="auto" w:hAnchor="margin" w:x="359" w:y="-1"/>
        <w:spacing w:before="86" w:line="196" w:lineRule="exact"/>
        <w:ind w:left="19" w:right="8495"/>
        <w:jc w:val="both"/>
        <w:rPr>
          <w:rFonts w:ascii="Times New Roman" w:hAnsi="Times New Roman"/>
          <w:w w:val="80"/>
          <w:sz w:val="22"/>
          <w:szCs w:val="24"/>
        </w:rPr>
      </w:pPr>
      <w:proofErr w:type="gramStart"/>
      <w:r>
        <w:rPr>
          <w:w w:val="50"/>
          <w:sz w:val="26"/>
          <w:szCs w:val="24"/>
        </w:rPr>
        <w:t>,</w:t>
      </w:r>
      <w:proofErr w:type="spellStart"/>
      <w:r>
        <w:rPr>
          <w:w w:val="50"/>
          <w:sz w:val="26"/>
          <w:szCs w:val="24"/>
        </w:rPr>
        <w:t>voměstská</w:t>
      </w:r>
      <w:proofErr w:type="spellEnd"/>
      <w:proofErr w:type="gramEnd"/>
      <w:r>
        <w:rPr>
          <w:w w:val="50"/>
          <w:sz w:val="26"/>
          <w:szCs w:val="24"/>
        </w:rPr>
        <w:t xml:space="preserve"> teplárenská </w:t>
      </w:r>
      <w:r>
        <w:rPr>
          <w:rFonts w:ascii="Times New Roman" w:hAnsi="Times New Roman"/>
          <w:w w:val="51"/>
          <w:szCs w:val="24"/>
        </w:rPr>
        <w:t xml:space="preserve">s.r.o. </w:t>
      </w:r>
      <w:r>
        <w:rPr>
          <w:rFonts w:ascii="Times New Roman" w:hAnsi="Times New Roman"/>
          <w:w w:val="80"/>
          <w:sz w:val="22"/>
          <w:szCs w:val="24"/>
        </w:rPr>
        <w:t>:~~:?~</w:t>
      </w:r>
      <w:proofErr w:type="spellStart"/>
      <w:r>
        <w:rPr>
          <w:rFonts w:ascii="Times New Roman" w:hAnsi="Times New Roman"/>
          <w:w w:val="80"/>
          <w:sz w:val="22"/>
          <w:szCs w:val="24"/>
        </w:rPr>
        <w:t>er:i:g</w:t>
      </w:r>
      <w:proofErr w:type="spellEnd"/>
      <w:r>
        <w:rPr>
          <w:rFonts w:ascii="Times New Roman" w:hAnsi="Times New Roman"/>
          <w:w w:val="80"/>
          <w:sz w:val="22"/>
          <w:szCs w:val="24"/>
        </w:rPr>
        <w:t xml:space="preserve">~:;~~a ~':vov1tos1f </w:t>
      </w:r>
    </w:p>
    <w:p w:rsidR="004643B6" w:rsidRDefault="009C3A86">
      <w:pPr>
        <w:framePr w:w="9547" w:h="359" w:wrap="auto" w:hAnchor="margin" w:x="1017" w:y="575"/>
        <w:spacing w:line="110" w:lineRule="exact"/>
        <w:ind w:right="8486"/>
        <w:jc w:val="right"/>
        <w:rPr>
          <w:w w:val="72"/>
          <w:sz w:val="10"/>
          <w:szCs w:val="24"/>
        </w:rPr>
      </w:pPr>
      <w:r>
        <w:rPr>
          <w:w w:val="72"/>
          <w:sz w:val="10"/>
          <w:szCs w:val="24"/>
        </w:rPr>
        <w:t>nám6s11</w:t>
      </w:r>
      <w:proofErr w:type="gramStart"/>
      <w:r>
        <w:rPr>
          <w:w w:val="72"/>
          <w:sz w:val="10"/>
          <w:szCs w:val="24"/>
        </w:rPr>
        <w:t>Aepubli&lt;</w:t>
      </w:r>
      <w:proofErr w:type="gramEnd"/>
      <w:r>
        <w:rPr>
          <w:w w:val="72"/>
          <w:sz w:val="10"/>
          <w:szCs w:val="24"/>
        </w:rPr>
        <w:t xml:space="preserve">y6 549 01 </w:t>
      </w:r>
      <w:proofErr w:type="spellStart"/>
      <w:r>
        <w:rPr>
          <w:w w:val="72"/>
          <w:sz w:val="10"/>
          <w:szCs w:val="24"/>
        </w:rPr>
        <w:t>No,é</w:t>
      </w:r>
      <w:proofErr w:type="spellEnd"/>
      <w:r>
        <w:rPr>
          <w:w w:val="72"/>
          <w:sz w:val="10"/>
          <w:szCs w:val="24"/>
        </w:rPr>
        <w:t xml:space="preserve"> Město nad </w:t>
      </w:r>
      <w:proofErr w:type="spellStart"/>
      <w:r>
        <w:rPr>
          <w:w w:val="72"/>
          <w:sz w:val="10"/>
          <w:szCs w:val="24"/>
        </w:rPr>
        <w:t>Metup</w:t>
      </w:r>
      <w:proofErr w:type="spellEnd"/>
      <w:r>
        <w:rPr>
          <w:w w:val="72"/>
          <w:sz w:val="10"/>
          <w:szCs w:val="24"/>
        </w:rPr>
        <w:t xml:space="preserve"> w«W.pnts.cz </w:t>
      </w:r>
    </w:p>
    <w:p w:rsidR="004643B6" w:rsidRDefault="009C3A86">
      <w:pPr>
        <w:framePr w:w="8731" w:h="1031" w:wrap="auto" w:hAnchor="margin" w:x="1833" w:y="1391"/>
        <w:spacing w:line="230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Městské středisko sociálních služeb OÁZA </w:t>
      </w:r>
    </w:p>
    <w:p w:rsidR="004643B6" w:rsidRDefault="009C3A86">
      <w:pPr>
        <w:framePr w:w="8731" w:h="1031" w:wrap="auto" w:hAnchor="margin" w:x="1833" w:y="1391"/>
        <w:tabs>
          <w:tab w:val="left" w:pos="2116"/>
        </w:tabs>
        <w:spacing w:line="268" w:lineRule="exact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Se sídlem: </w:t>
      </w:r>
      <w:r>
        <w:rPr>
          <w:rFonts w:ascii="Times New Roman" w:hAnsi="Times New Roman"/>
          <w:b/>
          <w:sz w:val="22"/>
          <w:szCs w:val="24"/>
        </w:rPr>
        <w:tab/>
        <w:t xml:space="preserve">TGM 1424, 549 01 Nové Město nad Metují </w:t>
      </w:r>
    </w:p>
    <w:p w:rsidR="004643B6" w:rsidRDefault="009C3A86">
      <w:pPr>
        <w:framePr w:w="8731" w:h="1031" w:wrap="auto" w:hAnchor="margin" w:x="1833" w:y="1391"/>
        <w:tabs>
          <w:tab w:val="left" w:pos="2116"/>
        </w:tabs>
        <w:spacing w:line="268" w:lineRule="exact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Zastoupené: </w:t>
      </w:r>
      <w:r>
        <w:rPr>
          <w:rFonts w:ascii="Times New Roman" w:hAnsi="Times New Roman"/>
          <w:b/>
          <w:sz w:val="22"/>
          <w:szCs w:val="24"/>
        </w:rPr>
        <w:tab/>
        <w:t xml:space="preserve">Mgr. Jana </w:t>
      </w:r>
      <w:proofErr w:type="gramStart"/>
      <w:r>
        <w:rPr>
          <w:rFonts w:ascii="Times New Roman" w:hAnsi="Times New Roman"/>
          <w:b/>
          <w:sz w:val="22"/>
          <w:szCs w:val="24"/>
        </w:rPr>
        <w:t xml:space="preserve">Balcarová </w:t>
      </w:r>
      <w:r>
        <w:rPr>
          <w:rFonts w:ascii="Times New Roman" w:hAnsi="Times New Roman"/>
          <w:sz w:val="22"/>
          <w:szCs w:val="24"/>
        </w:rPr>
        <w:t xml:space="preserve">- </w:t>
      </w:r>
      <w:r>
        <w:rPr>
          <w:rFonts w:ascii="Times New Roman" w:hAnsi="Times New Roman"/>
          <w:b/>
          <w:sz w:val="22"/>
          <w:szCs w:val="24"/>
        </w:rPr>
        <w:t>ředitelka</w:t>
      </w:r>
      <w:proofErr w:type="gramEnd"/>
      <w:r>
        <w:rPr>
          <w:rFonts w:ascii="Times New Roman" w:hAnsi="Times New Roman"/>
          <w:b/>
          <w:sz w:val="22"/>
          <w:szCs w:val="24"/>
        </w:rPr>
        <w:t xml:space="preserve"> MSSS </w:t>
      </w:r>
    </w:p>
    <w:p w:rsidR="004643B6" w:rsidRDefault="009C3A86">
      <w:pPr>
        <w:framePr w:w="8731" w:h="1031" w:wrap="auto" w:hAnchor="margin" w:x="1833" w:y="1391"/>
        <w:tabs>
          <w:tab w:val="left" w:pos="2116"/>
        </w:tabs>
        <w:spacing w:line="268" w:lineRule="exact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IČO </w:t>
      </w:r>
      <w:r>
        <w:rPr>
          <w:rFonts w:ascii="Times New Roman" w:hAnsi="Times New Roman"/>
          <w:b/>
          <w:sz w:val="22"/>
          <w:szCs w:val="24"/>
        </w:rPr>
        <w:tab/>
        <w:t xml:space="preserve">62730631 </w:t>
      </w:r>
    </w:p>
    <w:p w:rsidR="004643B6" w:rsidRDefault="009C3A86">
      <w:pPr>
        <w:framePr w:w="1790" w:h="503" w:wrap="auto" w:hAnchor="margin" w:x="1876" w:y="2452"/>
        <w:spacing w:line="230" w:lineRule="exact"/>
        <w:ind w:lef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Bankovní spojení: </w:t>
      </w:r>
    </w:p>
    <w:p w:rsidR="004643B6" w:rsidRDefault="009C3A86">
      <w:pPr>
        <w:framePr w:w="1790" w:h="503" w:wrap="auto" w:hAnchor="margin" w:x="1876" w:y="2452"/>
        <w:spacing w:line="230" w:lineRule="exact"/>
        <w:ind w:lef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Číslo účtu: </w:t>
      </w:r>
    </w:p>
    <w:p w:rsidR="004643B6" w:rsidRDefault="009C3A86">
      <w:pPr>
        <w:framePr w:w="8731" w:h="287" w:wrap="auto" w:hAnchor="margin" w:x="1833" w:y="3508"/>
        <w:spacing w:line="235" w:lineRule="exact"/>
        <w:ind w:left="14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jako </w:t>
      </w:r>
      <w:r>
        <w:rPr>
          <w:rFonts w:ascii="Times New Roman" w:hAnsi="Times New Roman"/>
          <w:sz w:val="22"/>
          <w:szCs w:val="24"/>
        </w:rPr>
        <w:t xml:space="preserve">pronajímatel, </w:t>
      </w:r>
      <w:r>
        <w:rPr>
          <w:rFonts w:ascii="Times New Roman" w:hAnsi="Times New Roman"/>
          <w:sz w:val="21"/>
          <w:szCs w:val="24"/>
        </w:rPr>
        <w:t xml:space="preserve">na straně jedné </w:t>
      </w:r>
    </w:p>
    <w:p w:rsidR="004643B6" w:rsidRDefault="009C3A86">
      <w:pPr>
        <w:framePr w:w="1785" w:h="1828" w:wrap="auto" w:hAnchor="margin" w:x="1866" w:y="4310"/>
        <w:spacing w:line="230" w:lineRule="exact"/>
        <w:ind w:lef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Název: </w:t>
      </w:r>
    </w:p>
    <w:p w:rsidR="004643B6" w:rsidRDefault="009C3A86">
      <w:pPr>
        <w:framePr w:w="1785" w:h="1828" w:wrap="auto" w:hAnchor="margin" w:x="1866" w:y="4310"/>
        <w:spacing w:line="230" w:lineRule="exact"/>
        <w:ind w:lef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Se sídlem: </w:t>
      </w:r>
    </w:p>
    <w:p w:rsidR="004643B6" w:rsidRDefault="009C3A86">
      <w:pPr>
        <w:framePr w:w="1785" w:h="1828" w:wrap="auto" w:hAnchor="margin" w:x="1866" w:y="4310"/>
        <w:spacing w:line="230" w:lineRule="exact"/>
        <w:ind w:lef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Zastoupená: </w:t>
      </w:r>
    </w:p>
    <w:p w:rsidR="004643B6" w:rsidRDefault="009C3A86">
      <w:pPr>
        <w:framePr w:w="1785" w:h="1828" w:wrap="auto" w:hAnchor="margin" w:x="1866" w:y="4310"/>
        <w:spacing w:line="263" w:lineRule="exact"/>
        <w:ind w:left="9" w:right="1315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IČO DIČ: </w:t>
      </w:r>
    </w:p>
    <w:p w:rsidR="004643B6" w:rsidRDefault="009C3A86">
      <w:pPr>
        <w:framePr w:w="1785" w:h="1828" w:wrap="auto" w:hAnchor="margin" w:x="1866" w:y="4310"/>
        <w:spacing w:line="230" w:lineRule="exact"/>
        <w:ind w:lef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Bankovní spojení: </w:t>
      </w:r>
    </w:p>
    <w:p w:rsidR="004643B6" w:rsidRDefault="009C3A86">
      <w:pPr>
        <w:framePr w:w="1785" w:h="1828" w:wrap="auto" w:hAnchor="margin" w:x="1866" w:y="4310"/>
        <w:spacing w:line="230" w:lineRule="exact"/>
        <w:ind w:lef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Číslo účtu: </w:t>
      </w:r>
    </w:p>
    <w:p w:rsidR="004643B6" w:rsidRDefault="009C3A86">
      <w:pPr>
        <w:framePr w:w="5174" w:h="1833" w:wrap="auto" w:hAnchor="margin" w:x="3954" w:y="4310"/>
        <w:spacing w:line="230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První novoměstská teplárenská s.r.o. </w:t>
      </w:r>
    </w:p>
    <w:p w:rsidR="004643B6" w:rsidRDefault="009C3A86">
      <w:pPr>
        <w:framePr w:w="5174" w:h="1833" w:wrap="auto" w:hAnchor="margin" w:x="3954" w:y="4310"/>
        <w:spacing w:line="230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náměstí Republiky 6,549 01 Nové Město nad Metují Miroslav </w:t>
      </w:r>
      <w:proofErr w:type="gramStart"/>
      <w:r>
        <w:rPr>
          <w:rFonts w:ascii="Times New Roman" w:hAnsi="Times New Roman"/>
          <w:b/>
          <w:sz w:val="22"/>
          <w:szCs w:val="24"/>
        </w:rPr>
        <w:t xml:space="preserve">Kosek </w:t>
      </w:r>
      <w:r>
        <w:rPr>
          <w:rFonts w:ascii="Times New Roman" w:hAnsi="Times New Roman"/>
          <w:sz w:val="22"/>
          <w:szCs w:val="24"/>
        </w:rPr>
        <w:t xml:space="preserve">- </w:t>
      </w:r>
      <w:r>
        <w:rPr>
          <w:rFonts w:ascii="Times New Roman" w:hAnsi="Times New Roman"/>
          <w:b/>
          <w:sz w:val="22"/>
          <w:szCs w:val="24"/>
        </w:rPr>
        <w:t>jednatel</w:t>
      </w:r>
      <w:proofErr w:type="gramEnd"/>
      <w:r>
        <w:rPr>
          <w:rFonts w:ascii="Times New Roman" w:hAnsi="Times New Roman"/>
          <w:b/>
          <w:sz w:val="22"/>
          <w:szCs w:val="24"/>
        </w:rPr>
        <w:t xml:space="preserve"> </w:t>
      </w:r>
    </w:p>
    <w:p w:rsidR="004643B6" w:rsidRDefault="009C3A86">
      <w:pPr>
        <w:framePr w:w="5174" w:h="1833" w:wrap="auto" w:hAnchor="margin" w:x="3954" w:y="4310"/>
        <w:spacing w:line="230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27471454 </w:t>
      </w:r>
    </w:p>
    <w:p w:rsidR="004643B6" w:rsidRDefault="009C3A86">
      <w:pPr>
        <w:framePr w:w="5174" w:h="1833" w:wrap="auto" w:hAnchor="margin" w:x="3954" w:y="4310"/>
        <w:spacing w:line="230" w:lineRule="exact"/>
        <w:ind w:left="4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CZ27471454 </w:t>
      </w:r>
    </w:p>
    <w:p w:rsidR="004643B6" w:rsidRDefault="009C3A86">
      <w:pPr>
        <w:framePr w:w="8731" w:h="292" w:wrap="auto" w:hAnchor="margin" w:x="1833" w:y="6422"/>
        <w:spacing w:line="235" w:lineRule="exact"/>
        <w:ind w:left="14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jako </w:t>
      </w:r>
      <w:r>
        <w:rPr>
          <w:rFonts w:ascii="Times New Roman" w:hAnsi="Times New Roman"/>
          <w:b/>
          <w:sz w:val="22"/>
          <w:szCs w:val="24"/>
        </w:rPr>
        <w:t xml:space="preserve">nájemce, </w:t>
      </w:r>
      <w:r>
        <w:rPr>
          <w:rFonts w:ascii="Times New Roman" w:hAnsi="Times New Roman"/>
          <w:sz w:val="21"/>
          <w:szCs w:val="24"/>
        </w:rPr>
        <w:t xml:space="preserve">na straně druhé </w:t>
      </w:r>
    </w:p>
    <w:p w:rsidR="004643B6" w:rsidRDefault="009C3A86">
      <w:pPr>
        <w:framePr w:w="8735" w:h="551" w:wrap="auto" w:hAnchor="margin" w:x="1833" w:y="7075"/>
        <w:spacing w:line="235" w:lineRule="exact"/>
        <w:ind w:left="14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uzavírají podle </w:t>
      </w:r>
      <w:proofErr w:type="spellStart"/>
      <w:r>
        <w:rPr>
          <w:rFonts w:ascii="Times New Roman" w:hAnsi="Times New Roman"/>
          <w:sz w:val="21"/>
          <w:szCs w:val="24"/>
        </w:rPr>
        <w:t>ust</w:t>
      </w:r>
      <w:proofErr w:type="spellEnd"/>
      <w:r>
        <w:rPr>
          <w:rFonts w:ascii="Times New Roman" w:hAnsi="Times New Roman"/>
          <w:sz w:val="21"/>
          <w:szCs w:val="24"/>
        </w:rPr>
        <w:t xml:space="preserve">. </w:t>
      </w:r>
      <w:r>
        <w:rPr>
          <w:rFonts w:ascii="Times New Roman" w:hAnsi="Times New Roman"/>
          <w:sz w:val="22"/>
          <w:szCs w:val="24"/>
        </w:rPr>
        <w:t xml:space="preserve">§ </w:t>
      </w:r>
      <w:r>
        <w:rPr>
          <w:rFonts w:ascii="Times New Roman" w:hAnsi="Times New Roman"/>
          <w:sz w:val="21"/>
          <w:szCs w:val="24"/>
        </w:rPr>
        <w:t xml:space="preserve">2302 a násl. zákona č. 89/2012, občanský zákoník v platném znění (dále jen „zákon") tuto </w:t>
      </w:r>
    </w:p>
    <w:p w:rsidR="004643B6" w:rsidRDefault="009C3A86">
      <w:pPr>
        <w:framePr w:w="8731" w:h="283" w:wrap="auto" w:hAnchor="margin" w:x="1833" w:y="8399"/>
        <w:spacing w:line="278" w:lineRule="exact"/>
        <w:ind w:left="1348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SMLOUVU O NÁJMU NEBYTOVÝCH PROSTOR </w:t>
      </w:r>
    </w:p>
    <w:p w:rsidR="004643B6" w:rsidRDefault="009C3A86">
      <w:pPr>
        <w:framePr w:w="8735" w:h="2049" w:wrap="auto" w:hAnchor="margin" w:x="1833" w:y="9215"/>
        <w:spacing w:line="235" w:lineRule="exact"/>
        <w:ind w:left="430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I. </w:t>
      </w:r>
    </w:p>
    <w:p w:rsidR="004643B6" w:rsidRDefault="009C3A86">
      <w:pPr>
        <w:framePr w:w="8735" w:h="2049" w:wrap="auto" w:hAnchor="margin" w:x="1833" w:y="9215"/>
        <w:spacing w:line="379" w:lineRule="exact"/>
        <w:ind w:left="3527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Předmět smlouvy </w:t>
      </w:r>
    </w:p>
    <w:p w:rsidR="004643B6" w:rsidRDefault="009C3A86">
      <w:pPr>
        <w:framePr w:w="8735" w:h="2049" w:wrap="auto" w:hAnchor="margin" w:x="1833" w:y="9215"/>
        <w:spacing w:before="110" w:line="263" w:lineRule="exact"/>
        <w:ind w:left="33" w:right="4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Touto smlouvou přenechává pronajímatel nájemci k užívání nebytové prostory vymezené v čl. </w:t>
      </w:r>
      <w:r>
        <w:rPr>
          <w:w w:val="149"/>
          <w:sz w:val="21"/>
          <w:szCs w:val="24"/>
        </w:rPr>
        <w:t xml:space="preserve">II </w:t>
      </w:r>
      <w:r>
        <w:rPr>
          <w:rFonts w:ascii="Times New Roman" w:hAnsi="Times New Roman"/>
          <w:sz w:val="21"/>
          <w:szCs w:val="24"/>
        </w:rPr>
        <w:t xml:space="preserve">odst. </w:t>
      </w:r>
      <w:r>
        <w:rPr>
          <w:w w:val="149"/>
          <w:sz w:val="21"/>
          <w:szCs w:val="24"/>
        </w:rPr>
        <w:t xml:space="preserve">I </w:t>
      </w:r>
      <w:r>
        <w:rPr>
          <w:rFonts w:ascii="Times New Roman" w:hAnsi="Times New Roman"/>
          <w:sz w:val="21"/>
          <w:szCs w:val="24"/>
        </w:rPr>
        <w:t xml:space="preserve">této smlouvy (dále jen </w:t>
      </w:r>
      <w:proofErr w:type="gramStart"/>
      <w:r>
        <w:rPr>
          <w:rFonts w:ascii="Times New Roman" w:hAnsi="Times New Roman"/>
          <w:sz w:val="21"/>
          <w:szCs w:val="24"/>
        </w:rPr>
        <w:t>„ předmět</w:t>
      </w:r>
      <w:proofErr w:type="gramEnd"/>
      <w:r>
        <w:rPr>
          <w:rFonts w:ascii="Times New Roman" w:hAnsi="Times New Roman"/>
          <w:sz w:val="21"/>
          <w:szCs w:val="24"/>
        </w:rPr>
        <w:t xml:space="preserve"> nájmu") k provozování výroby a dodávky tepla a TUV. Souhlas s uzavřením této nájemní smlouvy byl vysloven usnesením Rady města Nové Město nad Metují č. RM 357-15249/16 ze dne 10.10.2016 ač. RM 373-16059/17 ze dne 05.06.2017 </w:t>
      </w:r>
    </w:p>
    <w:p w:rsidR="004643B6" w:rsidRDefault="009C3A86">
      <w:pPr>
        <w:framePr w:w="8731" w:h="662" w:wrap="auto" w:hAnchor="margin" w:x="1833" w:y="11707"/>
        <w:spacing w:line="235" w:lineRule="exact"/>
        <w:ind w:left="430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II. </w:t>
      </w:r>
    </w:p>
    <w:p w:rsidR="004643B6" w:rsidRDefault="009C3A86">
      <w:pPr>
        <w:framePr w:w="8731" w:h="662" w:wrap="auto" w:hAnchor="margin" w:x="1833" w:y="11707"/>
        <w:spacing w:line="374" w:lineRule="exact"/>
        <w:ind w:left="3043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Vymezení předmětu nájmu </w:t>
      </w:r>
    </w:p>
    <w:p w:rsidR="004643B6" w:rsidRDefault="009C3A86">
      <w:pPr>
        <w:framePr w:w="8735" w:h="1732" w:wrap="auto" w:hAnchor="margin" w:x="1833" w:y="12748"/>
        <w:numPr>
          <w:ilvl w:val="0"/>
          <w:numId w:val="1"/>
        </w:numPr>
        <w:spacing w:line="263" w:lineRule="exact"/>
        <w:ind w:left="575" w:right="4" w:hanging="513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Pronajímatel je vypůjčitelem nebytového prostoru plynové kotelny o výměře 20,67 m</w:t>
      </w:r>
      <w:r>
        <w:rPr>
          <w:sz w:val="21"/>
          <w:szCs w:val="24"/>
          <w:vertAlign w:val="superscript"/>
        </w:rPr>
        <w:t>2</w:t>
      </w:r>
      <w:r>
        <w:rPr>
          <w:sz w:val="21"/>
          <w:szCs w:val="24"/>
        </w:rPr>
        <w:t xml:space="preserve"> </w:t>
      </w:r>
      <w:r>
        <w:rPr>
          <w:rFonts w:ascii="Times New Roman" w:hAnsi="Times New Roman"/>
          <w:sz w:val="21"/>
          <w:szCs w:val="24"/>
        </w:rPr>
        <w:t xml:space="preserve">a prostor přípravny TUV o výměře 9, 1 m2 umístěných v přízemí budovy čp. 1424, ul. T. G. Masaryka v Novém Městě nad Metují, včetně technologie kotelny (2 x plyn. kotel </w:t>
      </w:r>
      <w:proofErr w:type="spellStart"/>
      <w:r>
        <w:rPr>
          <w:rFonts w:ascii="Times New Roman" w:hAnsi="Times New Roman"/>
          <w:sz w:val="21"/>
          <w:szCs w:val="24"/>
        </w:rPr>
        <w:t>Yaillant</w:t>
      </w:r>
      <w:proofErr w:type="spellEnd"/>
      <w:r>
        <w:rPr>
          <w:rFonts w:ascii="Times New Roman" w:hAnsi="Times New Roman"/>
          <w:sz w:val="21"/>
          <w:szCs w:val="24"/>
        </w:rPr>
        <w:t xml:space="preserve"> VK 120/3-2, 130 kW, rok výroby 1994, rozvody, 2 x stojanový zásobníkový ohřívák </w:t>
      </w:r>
      <w:proofErr w:type="spellStart"/>
      <w:r>
        <w:rPr>
          <w:rFonts w:ascii="Times New Roman" w:hAnsi="Times New Roman"/>
          <w:sz w:val="21"/>
          <w:szCs w:val="24"/>
        </w:rPr>
        <w:t>Yaillant</w:t>
      </w:r>
      <w:proofErr w:type="spellEnd"/>
      <w:r>
        <w:rPr>
          <w:rFonts w:ascii="Times New Roman" w:hAnsi="Times New Roman"/>
          <w:sz w:val="21"/>
          <w:szCs w:val="24"/>
        </w:rPr>
        <w:t xml:space="preserve"> VIH 505.5, 480 litrů,4 x regulační jednotka </w:t>
      </w:r>
      <w:proofErr w:type="spellStart"/>
      <w:r>
        <w:rPr>
          <w:rFonts w:ascii="Times New Roman" w:hAnsi="Times New Roman"/>
          <w:sz w:val="21"/>
          <w:szCs w:val="24"/>
        </w:rPr>
        <w:t>Komex</w:t>
      </w:r>
      <w:proofErr w:type="spellEnd"/>
      <w:r>
        <w:rPr>
          <w:rFonts w:ascii="Times New Roman" w:hAnsi="Times New Roman"/>
          <w:sz w:val="21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rFonts w:ascii="Times New Roman" w:hAnsi="Times New Roman"/>
          <w:sz w:val="21"/>
          <w:szCs w:val="24"/>
        </w:rPr>
        <w:t xml:space="preserve">čtyřcestný ventil). </w:t>
      </w:r>
    </w:p>
    <w:p w:rsidR="004643B6" w:rsidRDefault="009C3A86">
      <w:pPr>
        <w:framePr w:w="8735" w:h="1732" w:wrap="auto" w:hAnchor="margin" w:x="1833" w:y="12748"/>
        <w:numPr>
          <w:ilvl w:val="0"/>
          <w:numId w:val="2"/>
        </w:numPr>
        <w:spacing w:line="383" w:lineRule="exact"/>
        <w:ind w:left="561" w:hanging="56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i/>
          <w:sz w:val="22"/>
          <w:szCs w:val="24"/>
          <w:u w:val="single"/>
        </w:rPr>
        <w:t xml:space="preserve">Předmětem </w:t>
      </w:r>
      <w:proofErr w:type="spellStart"/>
      <w:r>
        <w:rPr>
          <w:rFonts w:ascii="Times New Roman" w:hAnsi="Times New Roman"/>
          <w:i/>
          <w:sz w:val="22"/>
          <w:szCs w:val="24"/>
          <w:u w:val="single"/>
        </w:rPr>
        <w:t>náimu</w:t>
      </w:r>
      <w:proofErr w:type="spellEnd"/>
      <w:r>
        <w:rPr>
          <w:rFonts w:ascii="Times New Roman" w:hAnsi="Times New Roman"/>
          <w:sz w:val="21"/>
          <w:szCs w:val="24"/>
        </w:rPr>
        <w:t xml:space="preserve"> jsou shora uvedené nebytové prostory, vč. instalovaných technologií. </w:t>
      </w:r>
    </w:p>
    <w:p w:rsidR="004643B6" w:rsidRDefault="009C3A86">
      <w:pPr>
        <w:framePr w:w="8731" w:h="239" w:wrap="auto" w:hAnchor="margin" w:x="1833" w:y="15331"/>
        <w:spacing w:line="196" w:lineRule="exact"/>
        <w:ind w:left="2380"/>
        <w:rPr>
          <w:rFonts w:ascii="Times New Roman" w:hAnsi="Times New Roman"/>
          <w:sz w:val="17"/>
          <w:szCs w:val="24"/>
        </w:rPr>
      </w:pPr>
      <w:proofErr w:type="gramStart"/>
      <w:r>
        <w:rPr>
          <w:rFonts w:ascii="Times New Roman" w:hAnsi="Times New Roman"/>
          <w:sz w:val="17"/>
          <w:szCs w:val="24"/>
        </w:rPr>
        <w:t>I - Nájemní</w:t>
      </w:r>
      <w:proofErr w:type="gramEnd"/>
      <w:r>
        <w:rPr>
          <w:rFonts w:ascii="Times New Roman" w:hAnsi="Times New Roman"/>
          <w:sz w:val="17"/>
          <w:szCs w:val="24"/>
        </w:rPr>
        <w:t xml:space="preserve"> smlouva o pronájmu nebytových prostor </w:t>
      </w:r>
    </w:p>
    <w:p w:rsidR="004643B6" w:rsidRDefault="004643B6">
      <w:pPr>
        <w:rPr>
          <w:rFonts w:ascii="Times New Roman" w:hAnsi="Times New Roman"/>
          <w:sz w:val="17"/>
          <w:szCs w:val="24"/>
        </w:rPr>
        <w:sectPr w:rsidR="004643B6">
          <w:pgSz w:w="11900" w:h="16840"/>
          <w:pgMar w:top="478" w:right="970" w:bottom="360" w:left="360" w:header="708" w:footer="708" w:gutter="0"/>
          <w:cols w:space="708"/>
        </w:sectPr>
      </w:pPr>
    </w:p>
    <w:p w:rsidR="004643B6" w:rsidRDefault="004643B6">
      <w:pPr>
        <w:rPr>
          <w:rFonts w:ascii="Times New Roman" w:hAnsi="Times New Roman"/>
          <w:sz w:val="2"/>
          <w:szCs w:val="24"/>
        </w:rPr>
      </w:pPr>
    </w:p>
    <w:p w:rsidR="004643B6" w:rsidRDefault="009C3A86">
      <w:pPr>
        <w:framePr w:w="8668" w:h="667" w:wrap="auto" w:hAnchor="margin" w:x="364" w:y="359"/>
        <w:spacing w:line="235" w:lineRule="exact"/>
        <w:ind w:left="4185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III. </w:t>
      </w:r>
    </w:p>
    <w:p w:rsidR="004643B6" w:rsidRDefault="009C3A86">
      <w:pPr>
        <w:framePr w:w="8668" w:h="667" w:wrap="auto" w:hAnchor="margin" w:x="364" w:y="359"/>
        <w:spacing w:line="379" w:lineRule="exact"/>
        <w:ind w:left="3403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Doba trvání nájmu </w:t>
      </w:r>
    </w:p>
    <w:p w:rsidR="004643B6" w:rsidRDefault="00D810A9">
      <w:pPr>
        <w:framePr w:w="614" w:h="1497" w:wrap="auto" w:hAnchor="margin" w:x="9931" w:y="-96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75pt" o:allowincell="f">
            <v:imagedata r:id="rId5" o:title=""/>
          </v:shape>
        </w:pict>
      </w:r>
    </w:p>
    <w:p w:rsidR="004643B6" w:rsidRDefault="009C3A86">
      <w:pPr>
        <w:framePr w:w="8673" w:h="3921" w:wrap="auto" w:hAnchor="margin" w:x="359" w:y="1420"/>
        <w:tabs>
          <w:tab w:val="left" w:pos="671"/>
        </w:tabs>
        <w:spacing w:line="230" w:lineRule="exact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I. </w:t>
      </w:r>
      <w:r>
        <w:rPr>
          <w:rFonts w:ascii="Times New Roman" w:hAnsi="Times New Roman"/>
          <w:sz w:val="21"/>
          <w:szCs w:val="24"/>
        </w:rPr>
        <w:tab/>
        <w:t xml:space="preserve">Nájem se sjednává na dobu určitou ode dne I. 1. 2017 do 31.12.2017. </w:t>
      </w:r>
    </w:p>
    <w:p w:rsidR="004643B6" w:rsidRDefault="009C3A86">
      <w:pPr>
        <w:framePr w:w="8673" w:h="3921" w:wrap="auto" w:hAnchor="margin" w:x="359" w:y="1420"/>
        <w:numPr>
          <w:ilvl w:val="0"/>
          <w:numId w:val="2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 lze ukončit výpovědí bez udání důvodů kterékoliv ze smluvních stran s tříměsíční výpovědní lhůtou, která počíná od prvního dne měsíce následujícího po doručení výpovědi druhé straně. </w:t>
      </w:r>
    </w:p>
    <w:p w:rsidR="004643B6" w:rsidRDefault="009C3A86">
      <w:pPr>
        <w:framePr w:w="8673" w:h="3921" w:wrap="auto" w:hAnchor="margin" w:x="359" w:y="1420"/>
        <w:numPr>
          <w:ilvl w:val="0"/>
          <w:numId w:val="2"/>
        </w:numPr>
        <w:spacing w:line="379" w:lineRule="exact"/>
        <w:ind w:left="681" w:hanging="67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Nájemní poměr lze rovněž ukončit dohodou obou stran. </w:t>
      </w:r>
    </w:p>
    <w:p w:rsidR="004643B6" w:rsidRDefault="009C3A86">
      <w:pPr>
        <w:framePr w:w="8673" w:h="3921" w:wrap="auto" w:hAnchor="margin" w:x="359" w:y="1420"/>
        <w:numPr>
          <w:ilvl w:val="0"/>
          <w:numId w:val="2"/>
        </w:numPr>
        <w:spacing w:before="124" w:line="263" w:lineRule="exact"/>
        <w:ind w:left="686" w:right="9" w:hanging="68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 dále skončí zánikem kterékoliv ze stran bez právního nástupce nebo zánikem předmětu nájmu. </w:t>
      </w:r>
    </w:p>
    <w:p w:rsidR="004643B6" w:rsidRDefault="009C3A86">
      <w:pPr>
        <w:framePr w:w="8673" w:h="3921" w:wrap="auto" w:hAnchor="margin" w:x="359" w:y="1420"/>
        <w:numPr>
          <w:ilvl w:val="0"/>
          <w:numId w:val="2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se zavazuje předat pronajímateli po skončení nájmu předmět nájmu ve stavu, v jakém jej převzal, s přihlédnutím k běžnému opotřebení. Pokud nájemce nepředá po skončení nájmu předmět nájmu pronajímateli řádně nebo v dohodnutém termínu, je povinen platit pronajímateli nadále platby, odpovídající svou výší měsíčním platbám nájemného, a to za každý, byť i jen započatý měsíc užívání předmětu nájmu, až do doby jeho uvolnění a předání pronajímateli. </w:t>
      </w:r>
    </w:p>
    <w:p w:rsidR="004643B6" w:rsidRDefault="009C3A86">
      <w:pPr>
        <w:framePr w:w="8668" w:h="667" w:wrap="auto" w:hAnchor="margin" w:x="364" w:y="5730"/>
        <w:spacing w:line="235" w:lineRule="exact"/>
        <w:ind w:left="4185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IV. </w:t>
      </w:r>
    </w:p>
    <w:p w:rsidR="004643B6" w:rsidRDefault="009C3A86">
      <w:pPr>
        <w:framePr w:w="8668" w:h="667" w:wrap="auto" w:hAnchor="margin" w:x="364" w:y="5730"/>
        <w:spacing w:line="383" w:lineRule="exact"/>
        <w:ind w:left="2985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Práva a povinnosti nájemce </w:t>
      </w:r>
    </w:p>
    <w:p w:rsidR="004643B6" w:rsidRDefault="009C3A86">
      <w:pPr>
        <w:framePr w:w="8668" w:h="7439" w:wrap="auto" w:hAnchor="margin" w:x="364" w:y="6791"/>
        <w:numPr>
          <w:ilvl w:val="0"/>
          <w:numId w:val="3"/>
        </w:numPr>
        <w:spacing w:line="263" w:lineRule="exact"/>
        <w:ind w:left="691" w:hanging="662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oprávněn a současně se zavazuje užívat předmět nájmu jako řádný hospodář v rozsahu a způsobem uvedeným v této smlouvě. Zavazuje se na své náklady zajišťovat jejich běžnou údržbu a provádět drobné opravy svým nákladem. Za běžnou údržbu a drobnou opravou se považuje údržba a opravy, které v jednom případě nepřesáhnou částku 5.000 Kč. </w:t>
      </w:r>
    </w:p>
    <w:p w:rsidR="004643B6" w:rsidRDefault="009C3A86">
      <w:pPr>
        <w:framePr w:w="8668" w:h="7439" w:wrap="auto" w:hAnchor="margin" w:x="364" w:y="6791"/>
        <w:numPr>
          <w:ilvl w:val="0"/>
          <w:numId w:val="4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není oprávněn provádět bez předchozího písemného souhlasu pronajímatele žádné stavební úpravy předmětu nájmu. Všechny změny předmětu nájmu a jiné zásahy do nemovitostí musí být rovněž předem písemně odsouhlaseny s pronajímatelem. </w:t>
      </w:r>
    </w:p>
    <w:p w:rsidR="004643B6" w:rsidRDefault="009C3A86">
      <w:pPr>
        <w:framePr w:w="8668" w:h="7439" w:wrap="auto" w:hAnchor="margin" w:x="364" w:y="6791"/>
        <w:numPr>
          <w:ilvl w:val="0"/>
          <w:numId w:val="4"/>
        </w:numPr>
        <w:spacing w:before="124" w:line="263" w:lineRule="exact"/>
        <w:ind w:left="686" w:right="9" w:hanging="68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uskutečňovat svou činnost v předmětu nájmu v souladu s protipožárními, bezpečnostními a hygienickými předpisy. </w:t>
      </w:r>
    </w:p>
    <w:p w:rsidR="004643B6" w:rsidRDefault="009C3A86">
      <w:pPr>
        <w:framePr w:w="8668" w:h="7439" w:wrap="auto" w:hAnchor="margin" w:x="364" w:y="6791"/>
        <w:numPr>
          <w:ilvl w:val="0"/>
          <w:numId w:val="4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bez zbytečného odkladu oznámit pronajímateli potřebu oprav, které má provádět pronajímatel, a umožnit jejich provedení, jinak odpovídá za škodu, která by nesplněním této povinnosti vznikla. </w:t>
      </w:r>
    </w:p>
    <w:p w:rsidR="004643B6" w:rsidRDefault="009C3A86">
      <w:pPr>
        <w:framePr w:w="8668" w:h="7439" w:wrap="auto" w:hAnchor="margin" w:x="364" w:y="6791"/>
        <w:numPr>
          <w:ilvl w:val="0"/>
          <w:numId w:val="4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na požádání umožnit pronajímateli přístup do předmětu nájmu za účelem kontroly řádného užívání předmětu nájmu vč. dodržování obecně závazných předpisů v oblasti PO a BOZP. </w:t>
      </w:r>
    </w:p>
    <w:p w:rsidR="004643B6" w:rsidRDefault="009C3A86">
      <w:pPr>
        <w:framePr w:w="8668" w:h="7439" w:wrap="auto" w:hAnchor="margin" w:x="364" w:y="6791"/>
        <w:numPr>
          <w:ilvl w:val="0"/>
          <w:numId w:val="4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má po dobu trvání této smlouvy právo časově neomezeného vstupu do předmětu nájmu. V případě potřeby mohou na základě tohoto práva do předmětu nájmu vstupovat i smluvní partneři nájemce. </w:t>
      </w:r>
    </w:p>
    <w:p w:rsidR="004643B6" w:rsidRDefault="009C3A86">
      <w:pPr>
        <w:framePr w:w="8668" w:h="7439" w:wrap="auto" w:hAnchor="margin" w:x="364" w:y="6791"/>
        <w:numPr>
          <w:ilvl w:val="0"/>
          <w:numId w:val="4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odpovídá pronajímateli za škody, které by vznikly v souvislosti s užíváním předmětu nájmu podle této smlouvy, ať už jsou způsobeny jím samým, popř. jeho zaměstnanci, nebo osobami třetími, které by se zdržovaly v předmětu nájmu s jeho vědomím nebo souhlasem. </w:t>
      </w:r>
    </w:p>
    <w:p w:rsidR="004643B6" w:rsidRDefault="009C3A86">
      <w:pPr>
        <w:framePr w:w="8668" w:h="7439" w:wrap="auto" w:hAnchor="margin" w:x="364" w:y="6791"/>
        <w:numPr>
          <w:ilvl w:val="0"/>
          <w:numId w:val="4"/>
        </w:numPr>
        <w:spacing w:before="115" w:line="263" w:lineRule="exact"/>
        <w:ind w:left="691" w:right="4" w:hanging="68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odpovídá za jakékoli znehodnocení věcí, které se v předmětu nájmu budou nalézat, s výjimkou případu, kdy takovou škodu způsobí pronajímatel. (Viz též VI. 2.) </w:t>
      </w:r>
    </w:p>
    <w:p w:rsidR="004643B6" w:rsidRDefault="009C3A86">
      <w:pPr>
        <w:framePr w:w="8668" w:h="239" w:wrap="auto" w:hAnchor="margin" w:x="364" w:y="14548"/>
        <w:spacing w:line="196" w:lineRule="exact"/>
        <w:ind w:left="232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2- Nájemní smlouva o pronájmu nebytových prostor </w:t>
      </w:r>
    </w:p>
    <w:p w:rsidR="004643B6" w:rsidRDefault="004643B6">
      <w:pPr>
        <w:rPr>
          <w:rFonts w:ascii="Times New Roman" w:hAnsi="Times New Roman"/>
          <w:sz w:val="18"/>
          <w:szCs w:val="24"/>
        </w:rPr>
        <w:sectPr w:rsidR="004643B6">
          <w:pgSz w:w="11900" w:h="16840"/>
          <w:pgMar w:top="988" w:right="1546" w:bottom="360" w:left="1319" w:header="708" w:footer="708" w:gutter="0"/>
          <w:cols w:space="708"/>
        </w:sectPr>
      </w:pPr>
    </w:p>
    <w:p w:rsidR="004643B6" w:rsidRDefault="004643B6">
      <w:pPr>
        <w:rPr>
          <w:rFonts w:ascii="Times New Roman" w:hAnsi="Times New Roman"/>
          <w:sz w:val="2"/>
          <w:szCs w:val="24"/>
        </w:rPr>
      </w:pPr>
    </w:p>
    <w:p w:rsidR="004643B6" w:rsidRDefault="009C3A86">
      <w:pPr>
        <w:framePr w:w="8716" w:h="556" w:wrap="auto" w:hAnchor="margin" w:x="378" w:y="359"/>
        <w:numPr>
          <w:ilvl w:val="0"/>
          <w:numId w:val="5"/>
        </w:numPr>
        <w:spacing w:line="254" w:lineRule="exact"/>
        <w:ind w:left="705" w:right="4" w:hanging="68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není oprávněn přenechat předmět nájmu bez souhlasu pronajímatele do podnájmu jinému. </w:t>
      </w:r>
    </w:p>
    <w:p w:rsidR="004643B6" w:rsidRDefault="009C3A86">
      <w:pPr>
        <w:framePr w:w="8702" w:h="676" w:wrap="auto" w:hAnchor="margin" w:x="378" w:y="1617"/>
        <w:spacing w:line="239" w:lineRule="exact"/>
        <w:ind w:left="4252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V. </w:t>
      </w:r>
    </w:p>
    <w:p w:rsidR="004643B6" w:rsidRDefault="009C3A86">
      <w:pPr>
        <w:framePr w:w="8702" w:h="676" w:wrap="auto" w:hAnchor="margin" w:x="378" w:y="1617"/>
        <w:spacing w:line="374" w:lineRule="exact"/>
        <w:ind w:left="1055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Zajištění požární ochrany a bezpečnosti a ochrany zdraví při práci </w:t>
      </w:r>
    </w:p>
    <w:p w:rsidR="004643B6" w:rsidRDefault="009C3A86">
      <w:pPr>
        <w:framePr w:w="8707" w:h="3676" w:wrap="auto" w:hAnchor="margin" w:x="378" w:y="2653"/>
        <w:numPr>
          <w:ilvl w:val="0"/>
          <w:numId w:val="6"/>
        </w:numPr>
        <w:spacing w:line="249" w:lineRule="exact"/>
        <w:ind w:left="412" w:right="4" w:hanging="32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Prostor pronajatý dle této nájemní smlouvy je po celou dobu trvání nájmu pracovištěm předaným nájemci. </w:t>
      </w:r>
    </w:p>
    <w:p w:rsidR="004643B6" w:rsidRDefault="009C3A86">
      <w:pPr>
        <w:framePr w:w="8707" w:h="3676" w:wrap="auto" w:hAnchor="margin" w:x="378" w:y="2653"/>
        <w:numPr>
          <w:ilvl w:val="0"/>
          <w:numId w:val="6"/>
        </w:numPr>
        <w:spacing w:before="134" w:line="263" w:lineRule="exact"/>
        <w:ind w:left="403" w:right="9" w:hanging="340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Nájemce je povinen a současně se i zavazuje v prostoru pronajatém dle této nájemní smlouvy dodržovat předpisy BOZP ve smyslu obecně závazných právních předpisů. To se týká i všech osob, které se s vědomím nájemce v tomto prostoru zdržují. </w:t>
      </w:r>
    </w:p>
    <w:p w:rsidR="004643B6" w:rsidRDefault="009C3A86">
      <w:pPr>
        <w:framePr w:w="8707" w:h="3676" w:wrap="auto" w:hAnchor="margin" w:x="378" w:y="2653"/>
        <w:numPr>
          <w:ilvl w:val="0"/>
          <w:numId w:val="6"/>
        </w:numPr>
        <w:spacing w:before="134" w:line="263" w:lineRule="exact"/>
        <w:ind w:left="403" w:right="9" w:hanging="340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O všech činnostech a změnách v prostoru pronajatém dle této nájemní smlouvy, které by mohly mít vliv na BOZP, je nájemce povinen a současně se i zavazuje neprodleně informovat pronajímatele a ostatní nájemce a uživatele objektu. </w:t>
      </w:r>
    </w:p>
    <w:p w:rsidR="004643B6" w:rsidRDefault="009C3A86">
      <w:pPr>
        <w:framePr w:w="8707" w:h="3676" w:wrap="auto" w:hAnchor="margin" w:x="378" w:y="2653"/>
        <w:numPr>
          <w:ilvl w:val="0"/>
          <w:numId w:val="6"/>
        </w:numPr>
        <w:spacing w:before="119" w:line="263" w:lineRule="exact"/>
        <w:ind w:left="393" w:right="19" w:hanging="340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Revize a kontroly technických zařízení v pronajatém nebytovém prostoru je povinen a současně se i zavazuje zajišťovat nájemce na vlastní náklady. </w:t>
      </w:r>
    </w:p>
    <w:p w:rsidR="004643B6" w:rsidRDefault="009C3A86">
      <w:pPr>
        <w:framePr w:w="8707" w:h="3676" w:wrap="auto" w:hAnchor="margin" w:x="378" w:y="2653"/>
        <w:numPr>
          <w:ilvl w:val="0"/>
          <w:numId w:val="6"/>
        </w:numPr>
        <w:spacing w:before="119" w:line="263" w:lineRule="exact"/>
        <w:ind w:left="393" w:right="19" w:hanging="340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Porušování obecně závazných předpisů k zajištění BOZP a PO je důvodem k výpovědi této smlouvy před uplynutím doby jejího trvání. </w:t>
      </w:r>
    </w:p>
    <w:p w:rsidR="004643B6" w:rsidRDefault="009C3A86">
      <w:pPr>
        <w:framePr w:w="8702" w:h="671" w:wrap="auto" w:hAnchor="margin" w:x="378" w:y="6729"/>
        <w:spacing w:line="239" w:lineRule="exact"/>
        <w:ind w:left="4161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VI. </w:t>
      </w:r>
    </w:p>
    <w:p w:rsidR="004643B6" w:rsidRDefault="009C3A86">
      <w:pPr>
        <w:framePr w:w="8702" w:h="671" w:wrap="auto" w:hAnchor="margin" w:x="378" w:y="6729"/>
        <w:spacing w:line="374" w:lineRule="exact"/>
        <w:ind w:left="2697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Práva a povinnosti pronajímatele </w:t>
      </w:r>
    </w:p>
    <w:p w:rsidR="004643B6" w:rsidRDefault="009C3A86">
      <w:pPr>
        <w:framePr w:w="8721" w:h="2121" w:wrap="auto" w:hAnchor="margin" w:x="359" w:y="7770"/>
        <w:numPr>
          <w:ilvl w:val="0"/>
          <w:numId w:val="6"/>
        </w:numPr>
        <w:spacing w:line="263" w:lineRule="exact"/>
        <w:ind w:left="686" w:right="14" w:hanging="662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Pronajímatel předá nájemci předmět nájmu ve stavu způsobilém k provozování činností dle čl. I této smlouvy. Pronajímatel ho v tomto stavu bude udržovat a zabezpečovat řádné plnění činností, jejichž poskytování je s užíváním předmětu nájmu spojeno. </w:t>
      </w:r>
    </w:p>
    <w:p w:rsidR="004643B6" w:rsidRDefault="009C3A86">
      <w:pPr>
        <w:framePr w:w="8721" w:h="2121" w:wrap="auto" w:hAnchor="margin" w:x="359" w:y="7770"/>
        <w:numPr>
          <w:ilvl w:val="0"/>
          <w:numId w:val="6"/>
        </w:numPr>
        <w:spacing w:before="115" w:line="263" w:lineRule="exact"/>
        <w:ind w:left="691" w:right="28" w:hanging="691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Pronajímatel potvrzuje sjednání pojištění celého objektu včetně vnitřního zařízení budovy a technologií podle obecných kritérií. Pojištění věcí vnesených je věcí nájemce. </w:t>
      </w:r>
    </w:p>
    <w:p w:rsidR="004643B6" w:rsidRDefault="009C3A86">
      <w:pPr>
        <w:framePr w:w="8721" w:h="2121" w:wrap="auto" w:hAnchor="margin" w:x="359" w:y="7770"/>
        <w:numPr>
          <w:ilvl w:val="0"/>
          <w:numId w:val="6"/>
        </w:numPr>
        <w:spacing w:before="110" w:line="268" w:lineRule="exact"/>
        <w:ind w:left="691" w:right="33" w:hanging="686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Pronajímatel se zavazuje sdělit nájemci nejméně 30 dnů předem nutnost větších řádných oprav, při nichž by bylo zasaženo do činnosti nájemce. </w:t>
      </w:r>
    </w:p>
    <w:p w:rsidR="004643B6" w:rsidRDefault="009C3A86">
      <w:pPr>
        <w:framePr w:w="8702" w:h="667" w:wrap="auto" w:hAnchor="margin" w:x="378" w:y="10276"/>
        <w:spacing w:line="239" w:lineRule="exact"/>
        <w:ind w:left="4161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VII. </w:t>
      </w:r>
    </w:p>
    <w:p w:rsidR="004643B6" w:rsidRDefault="009C3A86">
      <w:pPr>
        <w:framePr w:w="8702" w:h="667" w:wrap="auto" w:hAnchor="margin" w:x="378" w:y="10276"/>
        <w:spacing w:line="379" w:lineRule="exact"/>
        <w:ind w:left="2788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Výpočet a splatnost nájemného </w:t>
      </w:r>
    </w:p>
    <w:p w:rsidR="004643B6" w:rsidRDefault="009C3A86">
      <w:pPr>
        <w:framePr w:w="8707" w:h="1881" w:wrap="auto" w:hAnchor="margin" w:x="373" w:y="11322"/>
        <w:numPr>
          <w:ilvl w:val="0"/>
          <w:numId w:val="7"/>
        </w:numPr>
        <w:spacing w:line="230" w:lineRule="exact"/>
        <w:ind w:left="326" w:hanging="32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Výpočet nájemného </w:t>
      </w:r>
    </w:p>
    <w:p w:rsidR="004643B6" w:rsidRDefault="009C3A86">
      <w:pPr>
        <w:framePr w:w="8707" w:h="1881" w:wrap="auto" w:hAnchor="margin" w:x="373" w:y="11322"/>
        <w:spacing w:before="129" w:line="268" w:lineRule="exact"/>
        <w:ind w:left="311" w:right="23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Nájemné z předmětu nájmu bude vypočteno dle platného Cenového rozhodnutí Energetického regulačního úřadu č. 2/2013 ze dne I. listopadu 20 I 3, k cenám tepelné energie, jako součin vyrobeného množství tepla (objem OJ) a částky 50,- Kč/OJ/rok. </w:t>
      </w:r>
    </w:p>
    <w:p w:rsidR="004643B6" w:rsidRDefault="009C3A86">
      <w:pPr>
        <w:framePr w:w="8707" w:h="1881" w:wrap="auto" w:hAnchor="margin" w:x="373" w:y="11322"/>
        <w:spacing w:before="110" w:line="268" w:lineRule="exact"/>
        <w:ind w:left="316" w:right="47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Stanovení výše ceny nájemného na rok 20 I 7, dle cenového rozhodnutí Energetického regulačního úřadu č. 2/2013 ze dne I. </w:t>
      </w:r>
      <w:r>
        <w:rPr>
          <w:b/>
          <w:w w:val="65"/>
          <w:szCs w:val="24"/>
        </w:rPr>
        <w:t xml:space="preserve">11. </w:t>
      </w:r>
      <w:r>
        <w:rPr>
          <w:rFonts w:ascii="Times New Roman" w:hAnsi="Times New Roman"/>
          <w:sz w:val="21"/>
          <w:szCs w:val="24"/>
        </w:rPr>
        <w:t xml:space="preserve">2013 a jeho přílohy č. </w:t>
      </w:r>
      <w:r>
        <w:rPr>
          <w:b/>
          <w:w w:val="65"/>
          <w:szCs w:val="24"/>
        </w:rPr>
        <w:t xml:space="preserve">1 </w:t>
      </w:r>
      <w:r>
        <w:rPr>
          <w:rFonts w:ascii="Times New Roman" w:hAnsi="Times New Roman"/>
          <w:sz w:val="21"/>
          <w:szCs w:val="24"/>
        </w:rPr>
        <w:t xml:space="preserve">odstavec 2.3 Nájemné: </w:t>
      </w:r>
    </w:p>
    <w:p w:rsidR="004643B6" w:rsidRDefault="009C3A86">
      <w:pPr>
        <w:framePr w:w="8702" w:h="244" w:wrap="auto" w:hAnchor="margin" w:x="378" w:y="14601"/>
        <w:spacing w:line="196" w:lineRule="exact"/>
        <w:ind w:left="2289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3- Nájemní smlouva o pronájmu nebytových prostor </w:t>
      </w:r>
    </w:p>
    <w:p w:rsidR="004643B6" w:rsidRDefault="004643B6">
      <w:pPr>
        <w:rPr>
          <w:rFonts w:ascii="Times New Roman" w:hAnsi="Times New Roman"/>
          <w:sz w:val="18"/>
          <w:szCs w:val="24"/>
        </w:rPr>
        <w:sectPr w:rsidR="004643B6">
          <w:pgSz w:w="11900" w:h="16840"/>
          <w:pgMar w:top="969" w:right="1570" w:bottom="360" w:left="1233" w:header="708" w:footer="708" w:gutter="0"/>
          <w:cols w:space="708"/>
        </w:sectPr>
      </w:pPr>
    </w:p>
    <w:p w:rsidR="004643B6" w:rsidRDefault="004643B6">
      <w:pPr>
        <w:rPr>
          <w:rFonts w:ascii="Times New Roman" w:hAnsi="Times New Roman"/>
          <w:sz w:val="2"/>
          <w:szCs w:val="24"/>
        </w:rPr>
      </w:pPr>
      <w:bookmarkStart w:id="0" w:name="_GoBack"/>
      <w:bookmarkEnd w:id="0"/>
    </w:p>
    <w:p w:rsidR="004643B6" w:rsidRDefault="009C3A86">
      <w:pPr>
        <w:framePr w:w="911" w:h="307" w:wrap="auto" w:hAnchor="margin" w:x="9090"/>
        <w:spacing w:line="355" w:lineRule="exact"/>
        <w:ind w:left="14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------- </w:t>
      </w:r>
    </w:p>
    <w:p w:rsidR="004643B6" w:rsidRDefault="00D810A9">
      <w:pPr>
        <w:framePr w:w="1631" w:h="979" w:wrap="auto" w:hAnchor="margin" w:x="8951" w:y="364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pict>
          <v:shape id="_x0000_i1026" type="#_x0000_t75" style="width:81.75pt;height:48.75pt" o:allowincell="f">
            <v:imagedata r:id="rId6" o:title=""/>
          </v:shape>
        </w:pict>
      </w:r>
    </w:p>
    <w:p w:rsidR="004643B6" w:rsidRDefault="009C3A86">
      <w:pPr>
        <w:framePr w:w="4070" w:h="513" w:wrap="auto" w:hAnchor="margin" w:x="791" w:y="2495"/>
        <w:spacing w:line="278" w:lineRule="exact"/>
        <w:ind w:left="14" w:right="4"/>
        <w:rPr>
          <w:sz w:val="18"/>
          <w:szCs w:val="24"/>
        </w:rPr>
      </w:pPr>
      <w:r>
        <w:rPr>
          <w:sz w:val="18"/>
          <w:szCs w:val="24"/>
        </w:rPr>
        <w:t xml:space="preserve">PPS plynové kotelny v objektu OÁZA č.p. 1424 Nájemné pro rok 2017 </w:t>
      </w:r>
    </w:p>
    <w:p w:rsidR="004643B6" w:rsidRDefault="009C3A86">
      <w:pPr>
        <w:framePr w:w="1051" w:h="244" w:wrap="auto" w:hAnchor="margin" w:x="7861" w:y="2755"/>
        <w:spacing w:line="215" w:lineRule="exact"/>
        <w:ind w:left="9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85 815,17 Kč </w:t>
      </w:r>
    </w:p>
    <w:p w:rsidR="004643B6" w:rsidRDefault="009C3A86">
      <w:pPr>
        <w:framePr w:w="8668" w:h="1463" w:wrap="auto" w:hAnchor="margin" w:x="402" w:y="4444"/>
        <w:numPr>
          <w:ilvl w:val="0"/>
          <w:numId w:val="8"/>
        </w:numPr>
        <w:spacing w:line="263" w:lineRule="exact"/>
        <w:ind w:left="350" w:right="4" w:hanging="350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Faktura za nájemné bude vystavena pronajímatelem v roce 2017 nejpozději 31.1 </w:t>
      </w:r>
      <w:r>
        <w:rPr>
          <w:rFonts w:ascii="Times New Roman" w:hAnsi="Times New Roman"/>
          <w:w w:val="78"/>
          <w:sz w:val="22"/>
          <w:szCs w:val="24"/>
        </w:rPr>
        <w:t xml:space="preserve">O., </w:t>
      </w:r>
      <w:r>
        <w:rPr>
          <w:rFonts w:ascii="Times New Roman" w:hAnsi="Times New Roman"/>
          <w:sz w:val="21"/>
          <w:szCs w:val="24"/>
        </w:rPr>
        <w:t xml:space="preserve">splatnost faktury za nájemné je stanovena k datu 30. </w:t>
      </w:r>
      <w:r>
        <w:rPr>
          <w:b/>
          <w:w w:val="85"/>
          <w:sz w:val="21"/>
          <w:szCs w:val="24"/>
        </w:rPr>
        <w:t xml:space="preserve">11. </w:t>
      </w:r>
      <w:r>
        <w:rPr>
          <w:rFonts w:ascii="Times New Roman" w:hAnsi="Times New Roman"/>
          <w:sz w:val="21"/>
          <w:szCs w:val="24"/>
        </w:rPr>
        <w:t xml:space="preserve">a bude uhrazena bezhotovostně na účet pronajímatele uvedený v záhlaví této smlouvy. </w:t>
      </w:r>
    </w:p>
    <w:p w:rsidR="004643B6" w:rsidRDefault="009C3A86">
      <w:pPr>
        <w:framePr w:w="8668" w:h="1463" w:wrap="auto" w:hAnchor="margin" w:x="402" w:y="4444"/>
        <w:numPr>
          <w:ilvl w:val="0"/>
          <w:numId w:val="8"/>
        </w:numPr>
        <w:spacing w:before="124" w:line="259" w:lineRule="exact"/>
        <w:ind w:left="345" w:right="9" w:hanging="340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Cena nájmu nezahrnuje odběr elektrické energie, plynu, vodné a stočné. Odběr elektrické energie, plynu a vody je zajištěn a hrazen nájemcem. </w:t>
      </w:r>
    </w:p>
    <w:p w:rsidR="004643B6" w:rsidRDefault="009C3A86">
      <w:pPr>
        <w:framePr w:w="8663" w:h="623" w:wrap="auto" w:hAnchor="margin" w:x="402" w:y="6388"/>
        <w:spacing w:line="235" w:lineRule="exact"/>
        <w:ind w:left="4094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VIII. </w:t>
      </w:r>
    </w:p>
    <w:p w:rsidR="004643B6" w:rsidRDefault="009C3A86">
      <w:pPr>
        <w:framePr w:w="8663" w:h="623" w:wrap="auto" w:hAnchor="margin" w:x="402" w:y="6388"/>
        <w:spacing w:line="379" w:lineRule="exact"/>
        <w:ind w:left="3273"/>
        <w:rPr>
          <w:rFonts w:ascii="Times New Roman" w:hAnsi="Times New Roman"/>
          <w:b/>
          <w:sz w:val="21"/>
          <w:szCs w:val="24"/>
        </w:rPr>
      </w:pPr>
      <w:r>
        <w:rPr>
          <w:rFonts w:ascii="Times New Roman" w:hAnsi="Times New Roman"/>
          <w:b/>
          <w:sz w:val="21"/>
          <w:szCs w:val="24"/>
        </w:rPr>
        <w:t xml:space="preserve">Závěrečná ustanovení </w:t>
      </w:r>
    </w:p>
    <w:p w:rsidR="004643B6" w:rsidRDefault="009C3A86">
      <w:pPr>
        <w:framePr w:w="8668" w:h="3119" w:wrap="auto" w:hAnchor="margin" w:x="402" w:y="7444"/>
        <w:tabs>
          <w:tab w:val="left" w:pos="666"/>
        </w:tabs>
        <w:spacing w:line="230" w:lineRule="exact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I. </w:t>
      </w:r>
      <w:r>
        <w:rPr>
          <w:rFonts w:ascii="Times New Roman" w:hAnsi="Times New Roman"/>
          <w:sz w:val="21"/>
          <w:szCs w:val="24"/>
        </w:rPr>
        <w:tab/>
        <w:t xml:space="preserve">Tato smlouva nabývá platnosti dnem jejího podpisu a účinnosti dnem 1.1.2017. </w:t>
      </w:r>
    </w:p>
    <w:p w:rsidR="004643B6" w:rsidRDefault="009C3A86">
      <w:pPr>
        <w:framePr w:w="8668" w:h="3119" w:wrap="auto" w:hAnchor="margin" w:x="402" w:y="7444"/>
        <w:numPr>
          <w:ilvl w:val="0"/>
          <w:numId w:val="8"/>
        </w:numPr>
        <w:spacing w:before="115" w:line="263" w:lineRule="exact"/>
        <w:ind w:left="691" w:right="9" w:hanging="69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Jakékoliv změny a dodatky k této smlouvě vyžadují ke své platnosti písemnou formu a podpisy obou smluvních stran. </w:t>
      </w:r>
    </w:p>
    <w:p w:rsidR="004643B6" w:rsidRDefault="009C3A86">
      <w:pPr>
        <w:framePr w:w="8668" w:h="3119" w:wrap="auto" w:hAnchor="margin" w:x="402" w:y="7444"/>
        <w:numPr>
          <w:ilvl w:val="0"/>
          <w:numId w:val="8"/>
        </w:numPr>
        <w:spacing w:before="115" w:line="263" w:lineRule="exact"/>
        <w:ind w:left="691" w:right="9" w:hanging="69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V otázkách touto smlouvou výslovně neupravených se obě strany řídí ustanoveními zákona o nájmu a podnájmu nebytových prostor. </w:t>
      </w:r>
    </w:p>
    <w:p w:rsidR="004643B6" w:rsidRDefault="009C3A86">
      <w:pPr>
        <w:framePr w:w="8668" w:h="3119" w:wrap="auto" w:hAnchor="margin" w:x="402" w:y="7444"/>
        <w:numPr>
          <w:ilvl w:val="0"/>
          <w:numId w:val="8"/>
        </w:numPr>
        <w:spacing w:before="115" w:line="263" w:lineRule="exact"/>
        <w:ind w:left="691" w:right="9" w:hanging="691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Smlouva se vyhotovuje ve třech stejnopisech. Pro nájemce jedno a pro pronajímatele dvě vyhotovení. </w:t>
      </w:r>
    </w:p>
    <w:p w:rsidR="004643B6" w:rsidRDefault="009C3A86">
      <w:pPr>
        <w:framePr w:w="8668" w:h="3119" w:wrap="auto" w:hAnchor="margin" w:x="402" w:y="7444"/>
        <w:numPr>
          <w:ilvl w:val="0"/>
          <w:numId w:val="8"/>
        </w:numPr>
        <w:spacing w:before="115" w:line="263" w:lineRule="exact"/>
        <w:ind w:left="695" w:right="4" w:hanging="686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Smluvní strany prohlašují, že tato smlouva byla jimi před podpisem přečtena a jako správná podepsána. Činí tak podle své pravé a svobodné vůle určitě, srozumitelně a vážně, nikoliv v tísni za nápadně nevýhodných podmínek pro jednu ze smluvních stran. </w:t>
      </w:r>
    </w:p>
    <w:p w:rsidR="004643B6" w:rsidRDefault="009C3A86">
      <w:pPr>
        <w:framePr w:w="8663" w:h="230" w:wrap="auto" w:hAnchor="margin" w:x="402" w:y="10958"/>
        <w:tabs>
          <w:tab w:val="left" w:leader="dot" w:pos="3844"/>
        </w:tabs>
        <w:spacing w:line="225" w:lineRule="exact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 xml:space="preserve">V Novém Městě n. Met. dne </w:t>
      </w:r>
      <w:r w:rsidR="00D810A9">
        <w:rPr>
          <w:rFonts w:ascii="Times New Roman" w:hAnsi="Times New Roman"/>
          <w:sz w:val="21"/>
          <w:szCs w:val="24"/>
        </w:rPr>
        <w:t>1. 1. 2017</w:t>
      </w:r>
    </w:p>
    <w:p w:rsidR="004643B6" w:rsidRDefault="004643B6">
      <w:pPr>
        <w:framePr w:w="2663" w:h="1305" w:wrap="auto" w:hAnchor="margin" w:x="6215" w:y="13233"/>
        <w:tabs>
          <w:tab w:val="left" w:pos="709"/>
          <w:tab w:val="left" w:pos="2394"/>
        </w:tabs>
        <w:spacing w:line="239" w:lineRule="exact"/>
        <w:rPr>
          <w:rFonts w:ascii="Times New Roman" w:hAnsi="Times New Roman"/>
          <w:w w:val="51"/>
          <w:sz w:val="27"/>
          <w:szCs w:val="24"/>
        </w:rPr>
      </w:pPr>
    </w:p>
    <w:p w:rsidR="004643B6" w:rsidRDefault="009C3A86">
      <w:pPr>
        <w:framePr w:w="8663" w:h="235" w:wrap="auto" w:hAnchor="margin" w:x="402" w:y="15523"/>
        <w:spacing w:line="191" w:lineRule="exact"/>
        <w:ind w:left="232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4- Nájemní smlouva o pronájmu nebytových prostor </w:t>
      </w:r>
    </w:p>
    <w:sectPr w:rsidR="004643B6">
      <w:pgSz w:w="11900" w:h="16840"/>
      <w:pgMar w:top="383" w:right="720" w:bottom="36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7"/>
    <w:multiLevelType w:val="singleLevel"/>
    <w:tmpl w:val="00000007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8"/>
    <w:multiLevelType w:val="singleLevel"/>
    <w:tmpl w:val="0000000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F"/>
    <w:multiLevelType w:val="singleLevel"/>
    <w:tmpl w:val="0000000F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18"/>
    <w:multiLevelType w:val="singleLevel"/>
    <w:tmpl w:val="00000018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19"/>
    <w:multiLevelType w:val="singleLevel"/>
    <w:tmpl w:val="00000019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3B6"/>
    <w:rsid w:val="004643B6"/>
    <w:rsid w:val="009C3A86"/>
    <w:rsid w:val="00D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7D3AE"/>
  <w15:docId w15:val="{1D20C799-233D-4444-9FDB-2651F4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2017-10-25T11:51:00Z</dcterms:created>
  <dcterms:modified xsi:type="dcterms:W3CDTF">2017-10-26T06:14:00Z</dcterms:modified>
</cp:coreProperties>
</file>