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910"/>
      </w:tblGrid>
      <w:tr w:rsidR="00FA732F" w:rsidRPr="00FA732F" w:rsidTr="00FA732F">
        <w:trPr>
          <w:tblCellSpacing w:w="0" w:type="dxa"/>
          <w:jc w:val="right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Smlouva o poskytnutí dotace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formou veřejnoprávní smlouvy uzavřené dle § 10a a násl. zákona č. 250/2000 Sb.,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 rozpočtových pravidlech územních rozpočtů, v platném znění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Městská část PRAHA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5447"/>
      </w:tblGrid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Čs. armády 23, 160 52 Praha 6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Mgr. Libor Bezděk, neuvolněný radní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IČ, DIČ: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00063703, CZ00063703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předmětu smlouvy oprávněn jednat: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Luděk Soustružník, vedoucí odboru, Odbor školství, kultury a sportu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(dále jen </w:t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"poskytovatel"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732F" w:rsidRPr="00FA732F" w:rsidRDefault="00FA732F" w:rsidP="00FA7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732F" w:rsidRPr="00FA732F" w:rsidRDefault="00FA732F" w:rsidP="00FA732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Spolek břevnovských živnostníků </w:t>
            </w:r>
            <w:proofErr w:type="spellStart"/>
            <w:proofErr w:type="gramStart"/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o.s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Nad Hradním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vodojedem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25, 162 00, </w:t>
            </w:r>
            <w:proofErr w:type="gram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6-Střešovice</w:t>
            </w:r>
            <w:proofErr w:type="gramEnd"/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Hudera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předseda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62940830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bank. </w:t>
            </w:r>
            <w:proofErr w:type="gram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spojení</w:t>
            </w:r>
            <w:proofErr w:type="gram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1426A0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1426A0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</w:p>
        </w:tc>
      </w:tr>
    </w:tbl>
    <w:p w:rsidR="00FA732F" w:rsidRPr="00FA732F" w:rsidRDefault="00FA732F" w:rsidP="00F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"příjemce"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uzavírají mezi sebou níže uvedeného dne, měsíce a roku následující smlouvu: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FA732F" w:rsidRPr="00FA732F" w:rsidRDefault="00FA732F" w:rsidP="00FA7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 6 poskytuje příjemci z dotačního programu s názvem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 a volný čas na Šestce - podpora jednorázových sportovních a volnočasových aktivit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téma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2) Volný čas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jeho žádost ze dne </w:t>
      </w:r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27.03.2016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dotaci ve výši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170.000,- Kč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stosedmdesáttisíc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na projekt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Břevnovské posvícení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"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dotace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").</w:t>
      </w:r>
    </w:p>
    <w:p w:rsidR="00FA732F" w:rsidRPr="00FA732F" w:rsidRDefault="00FA732F" w:rsidP="00FA7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Účelem projektu je podpora sportu a volnočasových aktivit na území MČ Praha 6. V rámci projektu se příjemce zavazuje uskutečnit projekt Břevnovské posvícení.</w:t>
      </w:r>
    </w:p>
    <w:p w:rsidR="00FA732F" w:rsidRPr="00FA732F" w:rsidRDefault="00FA732F" w:rsidP="00FA7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Poskytnutí dotace schválilo Zastupitelstvo městské části Praha 6 usnesením č. </w:t>
      </w:r>
      <w:r w:rsidR="00D128DE" w:rsidRPr="00D128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5/16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21. 04. 2016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732F" w:rsidRPr="00FA732F" w:rsidRDefault="00FA732F" w:rsidP="00FA7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poukáže částku uvedenou v odst. 1 jednorázově na výše uvedený účet příjemce do 30 dnů po uzavření této smlouvy.</w:t>
      </w:r>
      <w:bookmarkStart w:id="0" w:name="_GoBack"/>
      <w:bookmarkEnd w:id="0"/>
    </w:p>
    <w:p w:rsidR="00FA732F" w:rsidRPr="00FA732F" w:rsidRDefault="00FA732F" w:rsidP="00FA73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FA732F" w:rsidRPr="00FA732F" w:rsidRDefault="00FA732F" w:rsidP="00FA7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dotaci přijímá a zavazuje se ji použít nejpozději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31.12.2016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účelu uvedenému v čl. I.</w:t>
      </w:r>
    </w:p>
    <w:p w:rsidR="00FA732F" w:rsidRPr="00FA732F" w:rsidRDefault="00FA732F" w:rsidP="00FA7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se dále zavazuje:</w:t>
      </w:r>
    </w:p>
    <w:p w:rsidR="00FA732F" w:rsidRPr="00FA732F" w:rsidRDefault="00FA732F" w:rsidP="00FA73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odděleně evidenci a účetnictví poskytnuté dotace pro účely finančního vypořádání dotace a vyúčtované náklady neuplatňovat duplicitně ve vyúčtování jiné finanční podpory,</w:t>
      </w:r>
    </w:p>
    <w:p w:rsidR="00FA732F" w:rsidRPr="00FA732F" w:rsidRDefault="00FA732F" w:rsidP="00FA73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vyhotovit závěrečnou zprávu, včetně vyúčtování poskytnuté dotace a toto předložit za účelem finančního vypořádání dotace společně se soupisem a kopiemi faktur, pokladních dokladů a výpisů z účtu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Luďku Soustružníkovi, vedoucímu Odboru školství, kultury a sportu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31.01.2017</w:t>
      </w:r>
      <w:proofErr w:type="gramEnd"/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(posuzován bude otisk podacího razítka)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A732F" w:rsidRPr="00FA732F" w:rsidRDefault="00FA732F" w:rsidP="00FA73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změny adresy nebo jiných důležitých údajů neprodleně oznámit tyto skutečnosti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Luďku Soustružníkovi, vedoucímu Odboru školství, kultury a sportu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A732F" w:rsidRPr="00FA732F" w:rsidRDefault="00FA732F" w:rsidP="00FA7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příjemce nepoužil poskytnutou dotaci v plné výši na smlouvou stanovený účel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31.12.2016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zavazuje se vrátit poskytovateli nepoužité finanční prostředky nejpozději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31.01.2017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 číslo 19-2000866399/0800, vedený u České spořitelny a.s., jestliže se nedohodne s poskytovatelem dotace předem písemně jinak.</w:t>
      </w:r>
    </w:p>
    <w:p w:rsidR="00FA732F" w:rsidRPr="00FA732F" w:rsidRDefault="00FA732F" w:rsidP="00FA7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vrátit poskytovateli neoprávněně zadržené finanční prostředky (celou dotaci nebo její část) nebo prostředky, které použil k jinému než shora sjednanému účelu či typu činnosti nebo prostředky, které použil v rozporu s obecně závaznými předpisy a zaplatit penále podle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. § 22 zákona č. 250/2000 Sb. o rozpočtových pravidlech územních rozpočtů v platném znění nejpozději do 30 dnů od zjištění porušení závazku.</w:t>
      </w:r>
    </w:p>
    <w:p w:rsidR="00FA732F" w:rsidRPr="00FA732F" w:rsidRDefault="00FA732F" w:rsidP="00FA7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Vyjde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najevo, že údaje poskytnuté příjemcem poskytovateli a vyjadřující podmínky, na které poskytovatel uzavření této smlouvy váže, jsou neúplné, zkreslené nebo nepravdivé, má poskytovatel právo na okamžité odstoupení od smlouvy se všemi důsledky z tohoto plynoucími, zejména na okamžité vrácení poskytnuté dotace a náhradu veškeré škody vzniklé v souvislosti s poskytnutím nepravdivých údajů.</w:t>
      </w:r>
    </w:p>
    <w:p w:rsidR="00FA732F" w:rsidRDefault="00FA732F" w:rsidP="00FA7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Příjemce, který je právnickou osobou, se zavazuje, že v případě, kdyby došlo za trvání této smlouvy k jeho přeměně, převede platně na svého právního nástupce veškerá práva a povinnosti založené touto smlouvou tak, aby byly dodrženy její podmínky a termíny. Pokud by došlo k zániku příjemce s likvidací, zavazuje se příjemce vrátit dotaci či její poměrnou část poskytovateli, a to nejpozději do doby uvedené v odstavci 3. tohoto článku této smlouvy. V obou případech je příjemce povinen o změnách bezodkladně písemně informovat poskytovatele, tj. osobu uvedenou v čl. IV. odst. 1 této smlouvy.</w:t>
      </w:r>
    </w:p>
    <w:p w:rsid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III.</w:t>
      </w:r>
    </w:p>
    <w:p w:rsidR="00FA732F" w:rsidRPr="00FA732F" w:rsidRDefault="00FA732F" w:rsidP="00FA7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část Praha 6 tímto informuje příjemce, že dotace poskytnutá na základě této smlouvy je formou veřejné podpory.</w:t>
      </w:r>
    </w:p>
    <w:p w:rsidR="00FA732F" w:rsidRPr="00FA732F" w:rsidRDefault="00FA732F" w:rsidP="00FA7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podpora poskytnutá touto smlouvou má charakter veřejné podpory de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nařízení Komise (EU) č. 1407/2013 ze dne 18. prosince 2013, o použití článků 107 a 108 Smlouvy o fungování Evropské unie na podporu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udílenou podnikům ve všech odvětvích (s výjimkou uvedenou v čl. 1 tohoto nařízení).</w:t>
      </w:r>
    </w:p>
    <w:p w:rsidR="00FA732F" w:rsidRPr="00FA732F" w:rsidRDefault="00FA732F" w:rsidP="00FA7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Podnikem se dle odst. 4 Nařízení Komise (EU) č. 1407/2013 rozumí jakýkoli subjekt vykonávající hospodářskou činnost nezávisle na právním postavení tohoto subjektu a způsobu jeho financování. K provedení tohoto ustanovení smlouvy slouží přílohy č. 1 a č. 2 této smlouvy.</w:t>
      </w:r>
    </w:p>
    <w:p w:rsidR="00FA732F" w:rsidRPr="00FA732F" w:rsidRDefault="00FA732F" w:rsidP="00FA7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dále příjemce upozorňuje, že s ohledem na shora citované nařízení Komise (EU) nesmí příjemce přijmout veřejnou podporu, která nesplňuje požadavky na veřejnou podporu de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ve kterémkoliv tříletém období přesáhne částku 200.000 EUR. Před udělením veřejné podpory, resp. před uzavřením této smlouvy o jejím poskytnutí byl příjemce povinen učinit prohlášení o jakýchkoli dalších podporách de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obdržel v předchozích dvou rozpočtových letech a v současném rozpočtovém roce.</w:t>
      </w:r>
    </w:p>
    <w:p w:rsidR="00FA732F" w:rsidRPr="00FA732F" w:rsidRDefault="00FA732F" w:rsidP="00FA7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provádět kontrolu užití dotace v souladu s touto smlouvou, se zákonem č. 320/2001 Sb., o finanční kontrole ve veřejné správě a se zákonem č. 563/1991 Sb., o účetnictví, oba v platném znění.</w:t>
      </w:r>
    </w:p>
    <w:p w:rsidR="00FA732F" w:rsidRPr="00FA732F" w:rsidRDefault="00FA732F" w:rsidP="00FA7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příjemce nedodrží své závazky a termíny stanovené v čl. II. této smlouvy, nebudou mu v následujících letech poskytnuty další finanční podpory a neoprávněně použité nebo zadržené finanční prostředky budou na příjemci vymáhány. 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FA732F" w:rsidRPr="00FA732F" w:rsidRDefault="00FA732F" w:rsidP="00FA73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Jednáním ve věci plnění této smlouvy poskytovatel pověřuje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Luďka Soustružníka, vedoucího Odboru školství, kultury a sportu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. Změnu v této osobě lze provést jednostranným písemným oznámením poskytovatele druhé smluvní straně.</w:t>
      </w:r>
    </w:p>
    <w:p w:rsidR="00FA732F" w:rsidRPr="00FA732F" w:rsidRDefault="00FA732F" w:rsidP="00FA73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se zavazuje zveřejnit informaci o poskytnuté dotaci na všech propagačních materiálech formou textu: "Projekt finančně podpořila MČ Praha 6" a uvedením loga MČ Praha 6 (ke stažení na webových stránkách v sekci Pro média). V místě konání akce umístí příjemce logo MČ Praha 6 na vhodné místo. Informaci včetně případného vizuálu realizované akce příjemce zveřejní na vlastních webových stránkách, případně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facebookovém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profilu. Výše uvedené doloží v závěrečné zprávě přiložením propagačního materiálu, obrázku, fotografie loga z akce apod. Tutéž informaci zároveň zveřejní vložením na webové stránky Prahy 6 v sekci "Akce". Pozvánku na pořádanou akci zašle minimálně 14 dní předem e-mailem na příslušné oddělení Úřadu městské části Praha 6.</w:t>
      </w:r>
    </w:p>
    <w:p w:rsidR="00FA732F" w:rsidRPr="00FA732F" w:rsidRDefault="00FA732F" w:rsidP="00FA73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bere na vědomí, že Městská část Praha 6 je povinna na dotaz třetí osoby poskytovat informace podle ustanovení zákona č. 106/1999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, o svobodném přístupu k informacím, v platném znění a souhlasí s tím, aby veškeré informace v této smlouvě obsažené, s výjimkou osobních údajů, byly poskytnuty třetím osobám pokud si je vyžádají dále souhlasí s tím, že text této smlouvy bude zveřejněn ve veřejně přístupné (též způsobem umožňujícím dálkový přístup) elektronické databázi smluv a též prohlašuje, že nic z obsahu této smlouvy nepovažuje za důvěrné ani za obchodní tajemství.</w:t>
      </w:r>
    </w:p>
    <w:p w:rsidR="00FA732F" w:rsidRPr="00FA732F" w:rsidRDefault="00FA732F" w:rsidP="00FA73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Účastnící prohlašují, že si smlouvu před jejím podpisem přečetli, že je uzavřena podle jejich pravé a svobodné vůle, určitě, vážně a srozumitelně.</w:t>
      </w:r>
    </w:p>
    <w:p w:rsidR="00FA732F" w:rsidRPr="00FA732F" w:rsidRDefault="00FA732F" w:rsidP="00FA73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třech stejnopisech, z nichž 2 obdrží poskytovatel a 1 příjemce.</w:t>
      </w:r>
    </w:p>
    <w:p w:rsidR="00FA732F" w:rsidRPr="00FA732F" w:rsidRDefault="00FA732F" w:rsidP="00FA73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této smlouvy jsou přílohy č. 1 a č. 2: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Přílohy: 1) Informace o poskytnutí veřejné podpory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      2) Čestné prohlášení žadatele o podporu v režimu </w:t>
      </w:r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FA732F" w:rsidRPr="00FA732F" w:rsidTr="00FA732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Spolek břevnovských živnostníků </w:t>
            </w:r>
            <w:proofErr w:type="spellStart"/>
            <w:proofErr w:type="gramStart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Hudera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předseda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DOLOŽKA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Potvrzujeme ve smyslu § 43 z. </w:t>
      </w:r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131/2000 Sb., 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 byly splněny podmínky pro platnost tohoto právního jednání.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Pověření členové zastupitelstva městské části Praha 6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        ………………………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p w:rsidR="00FA732F" w:rsidRDefault="00FA732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 w:type="page"/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Příloha č. 1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o poskytnuté podpoře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5521"/>
      </w:tblGrid>
      <w:tr w:rsidR="00FA732F" w:rsidRPr="00FA732F" w:rsidTr="00FA73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732F" w:rsidRPr="00FA732F" w:rsidRDefault="00FA732F" w:rsidP="00FA732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Spolek břevnovských živnostníků </w:t>
            </w:r>
            <w:proofErr w:type="spellStart"/>
            <w:proofErr w:type="gramStart"/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o.s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Nad Hradním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vodojedem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25, 162 00, </w:t>
            </w:r>
            <w:proofErr w:type="gram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6-Střešovice</w:t>
            </w:r>
            <w:proofErr w:type="gramEnd"/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Hudera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předseda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62940830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Městská část Praha 6 Vás tímto jako poskytovatel informuje, že jste formou udělené účelové dotace na projekt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Břevnovské posvícení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/za účelem úhrady části nákladů  spojených s realizací  předloženého projektu/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obdrželi veřejnou podporu ve výši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170.000,- Kč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stosedmdesáttisíc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Poskytnutá podpora má charakter podpory </w:t>
      </w:r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</w:t>
      </w:r>
      <w:r w:rsidRPr="00FA73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nařízení Komise (EU) č. 1407/2013 ze dne 18. prosince 2013 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použití článků 107 a 108 Smlouvy o fungování Evropské unie na podporu de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Úř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věst</w:t>
      </w:r>
      <w:proofErr w:type="spellEnd"/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 352, </w:t>
      </w:r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24.12.2013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 6 Vás současně upozorňuje, že s ohledem na výše uvedené nařízení Komise EU nesmíte  přijmout veřejnou podporu, která nesplňuje požadavky na veřejnou podporu de 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v kterémkoli tříletém období  přesáhne částku 200.000,- EUR.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FA732F" w:rsidRPr="00FA732F" w:rsidTr="00FA732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dne ……………………</w:t>
            </w:r>
          </w:p>
        </w:tc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 Potvrzuji, že jsem dnešního dne převzal originál této informace.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FA732F" w:rsidRPr="00FA732F" w:rsidTr="00FA732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dne ……………………</w:t>
            </w:r>
          </w:p>
        </w:tc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Spolek břevnovských živnostníků </w:t>
            </w:r>
            <w:proofErr w:type="spellStart"/>
            <w:proofErr w:type="gramStart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Hudera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předseda 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Příloha č. 2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Čestné prohlášení žadatele o podporu v režimu </w:t>
      </w:r>
      <w:r w:rsidRPr="00FA73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minimis</w:t>
      </w:r>
      <w:proofErr w:type="spellEnd"/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5521"/>
      </w:tblGrid>
      <w:tr w:rsidR="00FA732F" w:rsidRPr="00FA732F" w:rsidTr="00FA73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732F" w:rsidRPr="00FA732F" w:rsidRDefault="00FA732F" w:rsidP="00FA732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Spolek břevnovských živnostníků </w:t>
            </w:r>
            <w:proofErr w:type="spellStart"/>
            <w:proofErr w:type="gramStart"/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o.s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.</w:t>
            </w:r>
            <w:proofErr w:type="gramEnd"/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Nad Hradním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vodojedem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25, 162 00, </w:t>
            </w:r>
            <w:proofErr w:type="gram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6-Střešovice</w:t>
            </w:r>
            <w:proofErr w:type="gramEnd"/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Hudera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předseda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62940830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 Žadatel prohlašuje, že jako účetní období používá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kalendářní rok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hospodářský rok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(začátek ……………………., konec ……………………).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během předchozích dvou účetních období došlo k přechodu z kalendářního roku na rok hospodářský anebo opačně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uveďte tuto skutečnost vypsáním účetních období, která byla použita </w:t>
      </w:r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1. 4. 2012 - 31. 3. 2013; 1. 4. 2013 - 31. 12. 2013)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………………………………………………………………………………………………………………………….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 Podniky</w:t>
      </w: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cs-CZ"/>
        </w:rPr>
        <w:t>1</w:t>
      </w: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propojené s žadatelem o podporu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lang w:eastAsia="cs-CZ"/>
        </w:rPr>
        <w:t>Žadatel o podporu se považuje za propojený</w:t>
      </w:r>
      <w:r w:rsidRPr="00FA732F">
        <w:rPr>
          <w:rFonts w:ascii="Times New Roman" w:eastAsia="Times New Roman" w:hAnsi="Times New Roman" w:cs="Times New Roman"/>
          <w:b/>
          <w:bCs/>
          <w:vertAlign w:val="superscript"/>
          <w:lang w:eastAsia="cs-CZ"/>
        </w:rPr>
        <w:t>2</w:t>
      </w:r>
      <w:r w:rsidRPr="00FA732F">
        <w:rPr>
          <w:rFonts w:ascii="Times New Roman" w:eastAsia="Times New Roman" w:hAnsi="Times New Roman" w:cs="Times New Roman"/>
          <w:b/>
          <w:bCs/>
          <w:lang w:eastAsia="cs-CZ"/>
        </w:rPr>
        <w:t xml:space="preserve"> s jinými podniky, pokud i tyto subjekty mezi sebou mají některý z následujících vztahů:</w:t>
      </w:r>
    </w:p>
    <w:p w:rsidR="00FA732F" w:rsidRPr="00FA732F" w:rsidRDefault="00FA732F" w:rsidP="00FA73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lang w:eastAsia="cs-CZ"/>
        </w:rPr>
        <w:t>jeden subjekt vlastní více než 50% hlasovacích práv, která náležejí akcionářům nebo společníkům, v jiném subjektu;</w:t>
      </w:r>
    </w:p>
    <w:p w:rsidR="00FA732F" w:rsidRPr="00FA732F" w:rsidRDefault="00FA732F" w:rsidP="00FA73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lang w:eastAsia="cs-CZ"/>
        </w:rPr>
        <w:t>jeden subjekt má právo jmenovat nebo odvolat více než 50 % členů správního, řídícího nebo dozorčího orgánu jiného subjektu;</w:t>
      </w:r>
    </w:p>
    <w:p w:rsidR="00FA732F" w:rsidRPr="00FA732F" w:rsidRDefault="00FA732F" w:rsidP="00FA73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lang w:eastAsia="cs-CZ"/>
        </w:rPr>
        <w:t>jeden subjekt má právo uplatňovat více než 50% vliv v jiném subjektu podle smlouvy uzavřené s daným subjektem nebo dle ustanovení v zakladatelské smlouvě nebo ve stanovách tohoto subjektu;</w:t>
      </w:r>
    </w:p>
    <w:p w:rsidR="00FA732F" w:rsidRPr="00FA732F" w:rsidRDefault="00FA732F" w:rsidP="00FA73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lang w:eastAsia="cs-CZ"/>
        </w:rPr>
        <w:t>jeden subjekt, který je akcionářem nebo společníkem jiného subjektu, ovládá sám, v souladu s dohodou uzavřenou s jinými akcionáři nebo společníky daného subjektu, více než 50% hlasovacích práv, náležejících akcionářům nebo společníkům, v daném subjektu.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lang w:eastAsia="cs-CZ"/>
        </w:rPr>
        <w:t xml:space="preserve">Subjekty, které mají s žadatelem o podporu jakýkoli vztah uvedený pod písm. a) až d) </w:t>
      </w:r>
      <w:r w:rsidRPr="00FA732F">
        <w:rPr>
          <w:rFonts w:ascii="Times New Roman" w:eastAsia="Times New Roman" w:hAnsi="Times New Roman" w:cs="Times New Roman"/>
          <w:b/>
          <w:bCs/>
          <w:lang w:eastAsia="cs-CZ"/>
        </w:rPr>
        <w:t>prostřednictvím jednoho nebo více dalších subjektů</w:t>
      </w:r>
      <w:r w:rsidRPr="00FA732F">
        <w:rPr>
          <w:rFonts w:ascii="Times New Roman" w:eastAsia="Times New Roman" w:hAnsi="Times New Roman" w:cs="Times New Roman"/>
          <w:lang w:eastAsia="cs-CZ"/>
        </w:rPr>
        <w:t>, se také považují za podnik propojený s žadatelem o podporu.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732F">
        <w:rPr>
          <w:rFonts w:ascii="Times New Roman" w:eastAsia="Times New Roman" w:hAnsi="Times New Roman" w:cs="Times New Roman"/>
          <w:lang w:eastAsia="cs-CZ"/>
        </w:rPr>
        <w:t xml:space="preserve">Do výčtu podniků propojených přímo či zprostředkovaně se žadatelem o podporu se zahrnují </w:t>
      </w:r>
      <w:r w:rsidRPr="00FA732F">
        <w:rPr>
          <w:rFonts w:ascii="Times New Roman" w:eastAsia="Times New Roman" w:hAnsi="Times New Roman" w:cs="Times New Roman"/>
          <w:b/>
          <w:bCs/>
          <w:lang w:eastAsia="cs-CZ"/>
        </w:rPr>
        <w:t>osoby zapsané v základních registrech</w:t>
      </w:r>
      <w:r w:rsidRPr="00FA732F">
        <w:rPr>
          <w:rFonts w:ascii="Times New Roman" w:eastAsia="Times New Roman" w:hAnsi="Times New Roman" w:cs="Times New Roman"/>
          <w:lang w:eastAsia="cs-CZ"/>
        </w:rPr>
        <w:t xml:space="preserve"> v souladu se zákonem č. 111/2009 Sb., o základních registrech, ve znění pozdějších předpisů.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Žadatel prohlašuje, že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výše uvedeném smyslu propojen s jiným podnikem.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výše uvedeném smyslu propojen s následujícími podniky: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8"/>
        <w:gridCol w:w="4596"/>
        <w:gridCol w:w="1838"/>
      </w:tblGrid>
      <w:tr w:rsidR="00FA732F" w:rsidRPr="00FA732F" w:rsidTr="00FA732F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Obchodní jméno podniku/Jméno a příjmení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Sídlo/Adresa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IČ/Datum narození 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Žadatel prohlašuje, že podnik (žadatel) v současném a 2 předcházejících účetních obdobích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nevznikl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spojením podniků či nabytím podniku.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vznikl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spojením (fúzí splynutím</w:t>
      </w:r>
      <w:r w:rsidRPr="00FA73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) níže uvedených podniků: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 nabytím (fúzí sloučením</w:t>
      </w:r>
      <w:r w:rsidRPr="00FA73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převzal jmění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uvedeného/</w:t>
      </w:r>
      <w:proofErr w:type="spell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podniku/ů: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8"/>
        <w:gridCol w:w="4596"/>
        <w:gridCol w:w="1838"/>
      </w:tblGrid>
      <w:tr w:rsidR="00FA732F" w:rsidRPr="00FA732F" w:rsidTr="00FA732F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Obchodní jméno podniku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 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změny spočívající ve spojení či nabytí podniků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zohledněny v Centrálním registru podpor malého rozsahu.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nejsou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zohledněny v Centrálním registru podpor malého rozsahu.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 Žadatel prohlašuje, že podnik (žadatel) v současném a 2 předcházejících účetních obdobích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nevznikl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rozdělením (rozštěpením nebo odštěpením</w:t>
      </w:r>
      <w:r w:rsidRPr="00FA73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5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) podniku.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vznikl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rozdělením níže uvedeného podniku: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8"/>
        <w:gridCol w:w="4596"/>
        <w:gridCol w:w="1838"/>
      </w:tblGrid>
      <w:tr w:rsidR="00FA732F" w:rsidRPr="00FA732F" w:rsidTr="00FA732F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Obchodní jméno podniku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 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 převzal jeho činnosti, na něž byla dříve poskytnutá podpora </w:t>
      </w:r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použita</w:t>
      </w:r>
      <w:r w:rsidRPr="00FA73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6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. Podniku (žadateli) byly přiděleny následující (dříve poskytnuté) podpory: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9"/>
        <w:gridCol w:w="6434"/>
        <w:gridCol w:w="1379"/>
      </w:tblGrid>
      <w:tr w:rsidR="00FA732F" w:rsidRPr="00FA732F" w:rsidTr="00FA73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poskytnutí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Poskytovatel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Částka v Kč 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A732F" w:rsidRPr="00FA732F" w:rsidTr="00FA7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změny spočívající v rozdělení podniků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zohledněny v Centrálním registru podpor malého rozsahu.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Pr="00FA7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nejsou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zohledněny v Centrálním registru podpor malého rozsahu.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A732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5. Žadatel níže svým podpisem</w:t>
      </w:r>
    </w:p>
    <w:p w:rsidR="00FA732F" w:rsidRPr="00FA732F" w:rsidRDefault="00FA732F" w:rsidP="00FA73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potvrzuje, že výše uvedené údaje jsou přesné a pravdivé a jsou poskytovány dobrovolně;</w:t>
      </w:r>
    </w:p>
    <w:p w:rsidR="00FA732F" w:rsidRPr="00FA732F" w:rsidRDefault="00FA732F" w:rsidP="00FA73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se zavazuje</w:t>
      </w:r>
      <w:proofErr w:type="gram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tomu, že v případě změny předmětných údajů v průběhu administrativního procesu poskytnutí podpory </w:t>
      </w:r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neprodleně informovat poskytovatele dané podpory o změnách, které u něj nastaly;</w:t>
      </w:r>
    </w:p>
    <w:p w:rsidR="00FA732F" w:rsidRPr="00FA732F" w:rsidRDefault="00FA732F" w:rsidP="00FA73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 se zpracováním svých osobních údajů obsažených v tomto prohlášení ve smyslu zákona č. 101/2000 Sb., o ochraně osobních údajů, ve znění p. p., za účelem evidence podpor malého rozsahu v souladu se zákonem č. 215/2004 Sb., o úpravě některých vztahů v oblasti veřejné podpory a o změně zákona o podpoře výzkumu a vývoje, ve znění p. p. Tento souhlas uděluji správci</w:t>
      </w:r>
      <w:r w:rsidRPr="00FA73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7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zpracovateli</w:t>
      </w:r>
      <w:r w:rsidRPr="00FA73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8</w:t>
      </w: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je městská část Praha 6, pro všechny údaje obsažené v tomto prohlášení, a to po celou dobu 10 let ode dne udělení souhlasu. Zároveň si je žadatel vědom svých práv podle zákona č. 101/2000 Sb., o ochraně osobních údajů.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……………………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FA732F" w:rsidRPr="00FA732F" w:rsidTr="00FA732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poskytovatel: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  <w:tc>
          <w:tcPr>
            <w:tcW w:w="2500" w:type="pct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Spolek břevnovských živnostníků </w:t>
            </w:r>
            <w:proofErr w:type="spellStart"/>
            <w:proofErr w:type="gramStart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732F" w:rsidRPr="00FA732F" w:rsidTr="00FA7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Ing. Mgr. Libor Bezděk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neuvolněný radní</w:t>
            </w:r>
          </w:p>
        </w:tc>
        <w:tc>
          <w:tcPr>
            <w:tcW w:w="0" w:type="auto"/>
            <w:vAlign w:val="center"/>
            <w:hideMark/>
          </w:tcPr>
          <w:p w:rsidR="00FA732F" w:rsidRPr="00FA732F" w:rsidRDefault="00FA732F" w:rsidP="00FA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……………………………………</w:t>
            </w:r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FA7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Hudera</w:t>
            </w:r>
            <w:proofErr w:type="spellEnd"/>
            <w:r w:rsidRPr="00FA73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předseda </w:t>
            </w:r>
          </w:p>
        </w:tc>
      </w:tr>
    </w:tbl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3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732F" w:rsidRPr="00FA732F" w:rsidRDefault="00D128DE" w:rsidP="00FA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5" style="width:0;height:1.5pt" o:hralign="center" o:hrstd="t" o:hr="t" fillcolor="#a0a0a0" stroked="f"/>
        </w:pict>
      </w:r>
    </w:p>
    <w:p w:rsidR="00FA732F" w:rsidRPr="00FA732F" w:rsidRDefault="00FA732F" w:rsidP="00FA7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1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>Podle pravidel veřejné podpory lze za podnik považovat jakýkoliv subjekt, který provádí hospodářskou činnost, tedy nabízí na trhu zboží nebo služby, a to bez ohledu na právní formu tohoto subjektu.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2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Bližší informace o propojeném podniku naleznete v METODICKÉ PŘÍRUČCE k aplikaci pojmu "jeden podnik" z pohledu pravidel podpory </w:t>
      </w:r>
      <w:r w:rsidRPr="00FA732F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>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3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>Viz § 62 zákona č. 125/2008 Sb., o přeměnách obchodních společností a družstev, ve znění pozdějších předpisů.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4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>Viz § 61 zákona č. 125/2008 Sb.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5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>Viz § 243 zákona č. 125/2008 Sb.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6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Pokud by na základě převzatých činností nebylo možné dříve poskytnuté podpory de </w:t>
      </w:r>
      <w:proofErr w:type="spellStart"/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rozdělit, rozdělí se podpora poměrným způsobem na základě účetní hodnoty vlastního kapitálu nových podniků k datu účinku rozdělení (viz čl. 3 odst. 9 nařízení č. 1407/2013, č. 1408/2013 a č. 717/2014).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7</w:t>
      </w:r>
      <w:r w:rsidRPr="00FA732F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Správcem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je koordinační orgán ve smyslu zákona č. 215/2004 Sb., o úpravě některých vztahů v oblasti veřejné podpory a o změně zákona o podpoře výzkumu a vývoje, ve znění p. p.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br/>
      </w:r>
      <w:r w:rsidRPr="00FA732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cs-CZ"/>
        </w:rPr>
        <w:t>8</w:t>
      </w:r>
      <w:r w:rsidRPr="00FA732F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Zpracovatelem</w:t>
      </w:r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je poskytovatel podpory </w:t>
      </w:r>
      <w:r w:rsidRPr="00FA732F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 xml:space="preserve">de </w:t>
      </w:r>
      <w:proofErr w:type="spellStart"/>
      <w:r w:rsidRPr="00FA732F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>minimis</w:t>
      </w:r>
      <w:proofErr w:type="spellEnd"/>
      <w:r w:rsidRPr="00FA732F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. </w:t>
      </w:r>
    </w:p>
    <w:p w:rsidR="00FA732F" w:rsidRPr="00FA732F" w:rsidRDefault="00FA732F" w:rsidP="00FA73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FA732F">
        <w:rPr>
          <w:rFonts w:ascii="Times New Roman" w:eastAsia="Times New Roman" w:hAnsi="Times New Roman" w:cs="Times New Roman"/>
          <w:i/>
          <w:iCs/>
          <w:sz w:val="19"/>
          <w:szCs w:val="19"/>
          <w:lang w:eastAsia="cs-CZ"/>
        </w:rPr>
        <w:t>[Příloha č. 2 dle příkazu tajemníka č. 03/2016 k evidenci smluvních vztahů]</w:t>
      </w:r>
    </w:p>
    <w:sectPr w:rsidR="00FA732F" w:rsidRPr="00FA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DD7"/>
    <w:multiLevelType w:val="multilevel"/>
    <w:tmpl w:val="B28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712EE"/>
    <w:multiLevelType w:val="multilevel"/>
    <w:tmpl w:val="B188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115E0"/>
    <w:multiLevelType w:val="multilevel"/>
    <w:tmpl w:val="F07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F755D"/>
    <w:multiLevelType w:val="multilevel"/>
    <w:tmpl w:val="A8101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42940"/>
    <w:multiLevelType w:val="multilevel"/>
    <w:tmpl w:val="8D6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524AF"/>
    <w:multiLevelType w:val="multilevel"/>
    <w:tmpl w:val="E90C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2F"/>
    <w:rsid w:val="001426A0"/>
    <w:rsid w:val="003B3094"/>
    <w:rsid w:val="00880935"/>
    <w:rsid w:val="00D128DE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7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7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A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73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3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73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73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73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zavrena">
    <w:name w:val="uzavrena"/>
    <w:basedOn w:val="Normln"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732F"/>
    <w:rPr>
      <w:b/>
      <w:bCs/>
    </w:rPr>
  </w:style>
  <w:style w:type="paragraph" w:customStyle="1" w:styleId="tin">
    <w:name w:val="tin"/>
    <w:basedOn w:val="Normln"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a">
    <w:name w:val="strana"/>
    <w:basedOn w:val="Normln"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x">
    <w:name w:val="box"/>
    <w:basedOn w:val="Standardnpsmoodstavce"/>
    <w:rsid w:val="00FA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7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7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A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73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3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73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73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73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zavrena">
    <w:name w:val="uzavrena"/>
    <w:basedOn w:val="Normln"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732F"/>
    <w:rPr>
      <w:b/>
      <w:bCs/>
    </w:rPr>
  </w:style>
  <w:style w:type="paragraph" w:customStyle="1" w:styleId="tin">
    <w:name w:val="tin"/>
    <w:basedOn w:val="Normln"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a">
    <w:name w:val="strana"/>
    <w:basedOn w:val="Normln"/>
    <w:rsid w:val="00F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x">
    <w:name w:val="box"/>
    <w:basedOn w:val="Standardnpsmoodstavce"/>
    <w:rsid w:val="00FA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2184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Nádvorník</dc:creator>
  <cp:lastModifiedBy>Jana Cihlová</cp:lastModifiedBy>
  <cp:revision>3</cp:revision>
  <dcterms:created xsi:type="dcterms:W3CDTF">2016-06-15T15:36:00Z</dcterms:created>
  <dcterms:modified xsi:type="dcterms:W3CDTF">2016-07-14T12:38:00Z</dcterms:modified>
</cp:coreProperties>
</file>