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9F" w:rsidRDefault="00121A9F" w:rsidP="00121A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SMLOUVA O NÁJMU NEBYTOVÝCH PROSTOR</w:t>
      </w:r>
      <w:r>
        <w:rPr>
          <w:rFonts w:ascii="Verdana" w:hAnsi="Verdana"/>
          <w:b/>
        </w:rPr>
        <w:br/>
        <w:t>č.2/2003</w:t>
      </w: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br/>
      </w:r>
      <w:r>
        <w:rPr>
          <w:rFonts w:ascii="Verdana" w:hAnsi="Verdana"/>
          <w:b/>
        </w:rPr>
        <w:t xml:space="preserve">uzavřená dle zákona č. 116/1990 Sb., o nájmu a podnájmu nebytových prostor, </w:t>
      </w:r>
    </w:p>
    <w:p w:rsidR="00121A9F" w:rsidRDefault="00121A9F" w:rsidP="00121A9F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a občanského zákoníku č. 40/1964 Sb., v platném znění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br/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  <w:b/>
        </w:rPr>
        <w:t>1. Základní škola Beroun, Wagnerovo náměstí 458</w:t>
      </w:r>
      <w:r>
        <w:rPr>
          <w:rFonts w:ascii="Verdana" w:hAnsi="Verdana"/>
        </w:rPr>
        <w:t xml:space="preserve">, 266 01 Beroun 2, Wagnerovonám. 458, </w:t>
      </w:r>
    </w:p>
    <w:p w:rsidR="00121A9F" w:rsidRDefault="00121A9F" w:rsidP="00121A9F">
      <w:pPr>
        <w:rPr>
          <w:rFonts w:ascii="Verdana" w:hAnsi="Verdana"/>
          <w:b/>
        </w:rPr>
      </w:pPr>
      <w:r>
        <w:rPr>
          <w:rFonts w:ascii="Verdana" w:hAnsi="Verdana"/>
        </w:rPr>
        <w:t xml:space="preserve">IČO 709 75 001, zastoupena ředitelem Antonínem Leopoldem </w:t>
      </w:r>
      <w:r>
        <w:rPr>
          <w:rFonts w:ascii="Verdana" w:hAnsi="Verdana"/>
        </w:rPr>
        <w:br/>
        <w:t>/dále jen základní škola/</w:t>
      </w:r>
      <w:r>
        <w:rPr>
          <w:rFonts w:ascii="Verdana" w:hAnsi="Verdana"/>
        </w:rPr>
        <w:br/>
        <w:t xml:space="preserve">jako </w:t>
      </w:r>
      <w:r>
        <w:rPr>
          <w:rFonts w:ascii="Verdana" w:hAnsi="Verdana"/>
          <w:b/>
        </w:rPr>
        <w:t xml:space="preserve">pronajímatel 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br/>
        <w:t>a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2. </w:t>
      </w:r>
      <w:r>
        <w:rPr>
          <w:rFonts w:ascii="Verdana" w:hAnsi="Verdana"/>
          <w:b/>
        </w:rPr>
        <w:t>Gymnázium Joachima Barranda Beroun</w:t>
      </w:r>
      <w:r>
        <w:rPr>
          <w:rFonts w:ascii="Verdana" w:hAnsi="Verdana"/>
        </w:rPr>
        <w:t xml:space="preserve">, se sídlem Wagnerovo náměstí 458, 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 xml:space="preserve">266 01 Beroun 2, 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IČO : 47558407, zastoupeným Stanislavem Lidinským</w:t>
      </w:r>
    </w:p>
    <w:p w:rsidR="00121A9F" w:rsidRDefault="00121A9F" w:rsidP="00121A9F">
      <w:r>
        <w:rPr>
          <w:rFonts w:ascii="Verdana" w:hAnsi="Verdana"/>
        </w:rPr>
        <w:t>/dále jen nájemce/</w:t>
      </w:r>
      <w:r>
        <w:rPr>
          <w:rFonts w:ascii="Verdana" w:hAnsi="Verdana"/>
          <w:i/>
        </w:rPr>
        <w:br/>
      </w:r>
      <w:r>
        <w:rPr>
          <w:rFonts w:ascii="Verdana" w:hAnsi="Verdana"/>
        </w:rPr>
        <w:t xml:space="preserve"> jako </w:t>
      </w:r>
      <w:r>
        <w:rPr>
          <w:rFonts w:ascii="Verdana" w:hAnsi="Verdana"/>
          <w:b/>
        </w:rPr>
        <w:t>nájemce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br/>
        <w:t>uzavírají smlouvu o pronájmu tělocvičen a sportovních hřišť:</w:t>
      </w:r>
    </w:p>
    <w:p w:rsidR="00121A9F" w:rsidRDefault="00121A9F" w:rsidP="00121A9F"/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 xml:space="preserve">a)  tělocvična (přízemí)      </w:t>
      </w:r>
    </w:p>
    <w:p w:rsidR="00121A9F" w:rsidRDefault="00121A9F" w:rsidP="00121A9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tělocvična - aula (2.patro)</w:t>
      </w:r>
    </w:p>
    <w:p w:rsidR="00121A9F" w:rsidRDefault="00121A9F" w:rsidP="00121A9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sportovní hřiště (hmota, asfalt)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outlineLvl w:val="0"/>
        <w:rPr>
          <w:rFonts w:ascii="Verdana" w:hAnsi="Verdana"/>
        </w:rPr>
      </w:pPr>
      <w:r>
        <w:rPr>
          <w:rFonts w:ascii="Verdana" w:hAnsi="Verdana"/>
        </w:rPr>
        <w:t>I.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Tato smlouva se uzavírá na dobu určitou – pro školní rok 2003/2004 od 1.9.2003 do 30.6.2004. Nájemce bude využívat pronajaté prostory dle přiloženého týdenního rozvrhu hodin (viz příloha)</w:t>
      </w:r>
    </w:p>
    <w:p w:rsidR="00121A9F" w:rsidRDefault="00121A9F" w:rsidP="00121A9F"/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Termíny, kdy nájemce nebude využívat pronajaté prostory: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27.10.-31.10.2003 + ŘV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17.11.2003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20.12-4.1.2004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 xml:space="preserve">30.1.2004 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23.2.-27.2.2004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8.4.-12.4.2004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+ případné ředitelské volno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Nájemné za užívání nebytových prostor a venkovních hřišť se stanoví dohodou a činí za jednu vyučovací hodinu a jednu skupinu studentů 230,-Kč</w:t>
      </w:r>
    </w:p>
    <w:p w:rsidR="00121A9F" w:rsidRDefault="00121A9F" w:rsidP="00121A9F"/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 xml:space="preserve">Úhrady budou prováděny vždy do 5. následujícího měsíce, za měsíc prosinec do nejpozději do 10.prosince 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Úhrady budou prováděny na účet pronajímatele č. 51-4870440227/0100 vedený u KB Beroun, VS číslo faktury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outlineLvl w:val="0"/>
        <w:rPr>
          <w:rFonts w:ascii="Verdana" w:hAnsi="Verdana"/>
        </w:rPr>
      </w:pPr>
      <w:r>
        <w:rPr>
          <w:rFonts w:ascii="Verdana" w:hAnsi="Verdana"/>
        </w:rPr>
        <w:t>II.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Nájemce byl seznámen se stavem pronajímaných prostorů. Bude je užívat za účelem výuky tělesné výchovy.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outlineLvl w:val="0"/>
        <w:rPr>
          <w:rFonts w:ascii="Verdana" w:hAnsi="Verdana"/>
        </w:rPr>
      </w:pPr>
      <w:r>
        <w:rPr>
          <w:rFonts w:ascii="Verdana" w:hAnsi="Verdana"/>
        </w:rPr>
        <w:lastRenderedPageBreak/>
        <w:t>III.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Povinnosti nájemce: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1.  Hradit nájemné v dohodnutém termínu.</w:t>
      </w: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2.  V případě prodlení zaplatit poplatek z prodlení ve výši 0,25% za každý den prodlení ze       stanovené částky nájemného (dle nařízení vlády č. 142/964 Sb.).</w:t>
      </w: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3.  Seznámit se s řádem tělocvičny, seznámení stvrdit podpisem.</w:t>
      </w: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Zabezpečit prostřednictvím vyučujících tělesné výchovy dodržování vnitřního řádu školy a řádu provozu tělocvičny: přezouvání hned za dveřmi do šatny, zákaz kouření v areálu školy, vstup do tělocvičny pouze za přítomnosti vyučujícího. 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5.  Hlásit p. školníkovi okamžitě případné závady, které vznikly v době pronájmu, neboť pronajímatel zodpovídá i za inventář pronajatých prostor. V případě vzniku škody na zařízení či inventáři školy v době pronájmu, je nájemce povinen tuto škodu uhradit. Výjimku tvoří škody nahodilé, k nimž nájemce nedal podnět.</w:t>
      </w: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6.  Zabezpečit dozor nad věcmi odloženými ve všech jemu pronajatých prostorech po dobu pronájmu. Za ztrátu respektive poškození těchto věcí, v nichž se nacházejí pronajaté prostory, pronajímatel nezodpovídá.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7.  Užívat prostor výlučně za účelem uvedeným v této smlouvě.</w:t>
      </w: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8.  Hrát fotbal je povoleno pouze výjimečně a pouze s míčem pro halovou kopanou.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Povinnosti pronajímatele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Zabezpečit vytápění tělocvičny, úklid, možnost použití šaten a sociálního zařízení. </w:t>
      </w:r>
    </w:p>
    <w:p w:rsidR="00121A9F" w:rsidRDefault="00121A9F" w:rsidP="00121A9F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Zabezpečit údržbu tělocvičen a sportovních hřišť.</w:t>
      </w:r>
    </w:p>
    <w:p w:rsidR="00121A9F" w:rsidRDefault="00121A9F" w:rsidP="00121A9F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Revizi tělovýchovného nářadí uhradit z 50% nákladů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outlineLvl w:val="0"/>
        <w:rPr>
          <w:rFonts w:ascii="Verdana" w:hAnsi="Verdana"/>
        </w:rPr>
      </w:pPr>
      <w:r>
        <w:rPr>
          <w:rFonts w:ascii="Verdana" w:hAnsi="Verdana"/>
        </w:rPr>
        <w:t>IV.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Smlouva je oboustranně vypověditelná v jednoměsíční lhůtě bez uvedení důvodu. Výpovědní lhůta začíná běžet od prvního dne následujícího měsíce po doručení výpovědi druhé smluvní straně.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Při nedodržení podmínek smlouvy nebo při jejím hrubém porušení může pronajímatel vypovědět smlouvu s okamžitým účinkem, tedy bez výpovědní lhůty. Nájemní vztah v tomto případě skončí nájemci písemným doručením okamžitého zrušení nájmu.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Jakékoliv změny v uzavřené smlouvě o pronájmu lze provést pouze formou písemného dodatku ke smlouvě.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jc w:val="both"/>
        <w:rPr>
          <w:rFonts w:ascii="Verdana" w:hAnsi="Verdana"/>
        </w:rPr>
      </w:pPr>
      <w:r>
        <w:rPr>
          <w:rFonts w:ascii="Verdana" w:hAnsi="Verdana"/>
        </w:rPr>
        <w:t>Tato smlouva je vyhotovena ve 2 exemplářích, po jednom pro každou smluvní stranu. Obě smluvní strany prohlašují, že se seznámily s textem této smlouvy, porozuměly jejímu obsahu i právním důsledkům. Na důkaz souhlasu připojily podpisy svých zástupců.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t>pronajímatel: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nájemce:</w:t>
      </w:r>
      <w:r>
        <w:rPr>
          <w:rFonts w:ascii="Verdana" w:hAnsi="Verdana"/>
        </w:rPr>
        <w:br/>
        <w:t xml:space="preserve">Antonín Leopold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Stanislav Lidinský </w:t>
      </w:r>
      <w:r>
        <w:rPr>
          <w:rFonts w:ascii="Verdana" w:hAnsi="Verdana"/>
        </w:rPr>
        <w:br/>
        <w:t>ředitel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ředitel</w:t>
      </w:r>
      <w:r>
        <w:rPr>
          <w:rFonts w:ascii="Verdana" w:hAnsi="Verdana"/>
        </w:rPr>
        <w:br/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  <w:r>
        <w:rPr>
          <w:rFonts w:ascii="Verdana" w:hAnsi="Verdana"/>
        </w:rPr>
        <w:br/>
        <w:t xml:space="preserve">V Berouně dne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 Berouně dne</w:t>
      </w:r>
      <w:r>
        <w:rPr>
          <w:rFonts w:ascii="Verdana" w:hAnsi="Verdana"/>
        </w:rPr>
        <w:tab/>
      </w:r>
      <w:r>
        <w:rPr>
          <w:rFonts w:ascii="Verdana" w:hAnsi="Verdana"/>
        </w:rPr>
        <w:br/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outlineLvl w:val="0"/>
        <w:rPr>
          <w:rFonts w:ascii="Verdana" w:hAnsi="Verdana"/>
        </w:rPr>
      </w:pPr>
      <w:r>
        <w:rPr>
          <w:rFonts w:ascii="Verdana" w:hAnsi="Verdana"/>
        </w:rPr>
        <w:t>PŘŘÍLOHA č.1</w:t>
      </w: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9"/>
        <w:gridCol w:w="859"/>
        <w:gridCol w:w="859"/>
        <w:gridCol w:w="859"/>
        <w:gridCol w:w="860"/>
        <w:gridCol w:w="859"/>
        <w:gridCol w:w="859"/>
        <w:gridCol w:w="859"/>
        <w:gridCol w:w="859"/>
        <w:gridCol w:w="860"/>
        <w:gridCol w:w="859"/>
      </w:tblGrid>
      <w:tr w:rsidR="00121A9F" w:rsidTr="009C6BC8">
        <w:trPr>
          <w:trHeight w:val="461"/>
        </w:trPr>
        <w:tc>
          <w:tcPr>
            <w:tcW w:w="5155" w:type="dxa"/>
            <w:gridSpan w:val="6"/>
          </w:tcPr>
          <w:p w:rsidR="00121A9F" w:rsidRDefault="00121A9F" w:rsidP="009C6BC8">
            <w:pPr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  <w:p w:rsidR="00121A9F" w:rsidRDefault="00121A9F" w:rsidP="009C6BC8">
            <w:pPr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>
              <w:rPr>
                <w:rFonts w:ascii="Verdana" w:hAnsi="Verdana"/>
                <w:b/>
                <w:snapToGrid w:val="0"/>
                <w:color w:val="000000"/>
              </w:rPr>
              <w:t>Rozvrh hodin tělesné výchovy GJB -</w:t>
            </w:r>
          </w:p>
          <w:p w:rsidR="00121A9F" w:rsidRDefault="00121A9F" w:rsidP="009C6BC8">
            <w:pPr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>
              <w:rPr>
                <w:rFonts w:ascii="Verdana" w:hAnsi="Verdana"/>
                <w:b/>
                <w:snapToGrid w:val="0"/>
                <w:color w:val="000000"/>
              </w:rPr>
              <w:t>pronájem</w:t>
            </w:r>
          </w:p>
          <w:p w:rsidR="00121A9F" w:rsidRDefault="00121A9F" w:rsidP="009C6BC8">
            <w:pPr>
              <w:rPr>
                <w:rFonts w:ascii="Verdana" w:hAnsi="Verdana"/>
                <w:b/>
                <w:snapToGrid w:val="0"/>
                <w:color w:val="000000"/>
              </w:rPr>
            </w:pPr>
          </w:p>
        </w:tc>
        <w:tc>
          <w:tcPr>
            <w:tcW w:w="859" w:type="dxa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8.00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8.55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10.00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10.55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11.50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12.40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13.35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14.25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15.15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9F" w:rsidRDefault="00121A9F" w:rsidP="009C6BC8">
            <w:pPr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16.05</w:t>
            </w:r>
          </w:p>
        </w:tc>
      </w:tr>
      <w:tr w:rsidR="00121A9F" w:rsidTr="009C6BC8">
        <w:trPr>
          <w:trHeight w:val="256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8.45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9.40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10.45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11.40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12.35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13.25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14.20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15.10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16.00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right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16.50</w:t>
            </w:r>
          </w:p>
        </w:tc>
      </w:tr>
      <w:tr w:rsidR="00121A9F" w:rsidTr="009C6BC8">
        <w:trPr>
          <w:trHeight w:val="561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left w:val="nil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2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3</w:t>
            </w:r>
          </w:p>
        </w:tc>
        <w:tc>
          <w:tcPr>
            <w:tcW w:w="86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4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5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6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7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8</w:t>
            </w:r>
          </w:p>
        </w:tc>
        <w:tc>
          <w:tcPr>
            <w:tcW w:w="86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9</w:t>
            </w:r>
          </w:p>
        </w:tc>
        <w:tc>
          <w:tcPr>
            <w:tcW w:w="859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10</w:t>
            </w: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left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Po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Út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St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Čt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Pá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  <w:tr w:rsidR="00121A9F" w:rsidTr="009C6BC8">
        <w:trPr>
          <w:trHeight w:val="456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G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A9F" w:rsidRDefault="00121A9F" w:rsidP="009C6BC8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</w:tr>
    </w:tbl>
    <w:p w:rsidR="00121A9F" w:rsidRDefault="00121A9F" w:rsidP="00121A9F">
      <w:pPr>
        <w:rPr>
          <w:rFonts w:ascii="Verdana" w:hAnsi="Verdana"/>
        </w:rPr>
      </w:pPr>
    </w:p>
    <w:p w:rsidR="00121A9F" w:rsidRDefault="00121A9F" w:rsidP="00121A9F">
      <w:pPr>
        <w:rPr>
          <w:rFonts w:ascii="Verdana" w:hAnsi="Verdana"/>
        </w:rPr>
      </w:pPr>
    </w:p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/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121A9F" w:rsidRDefault="00121A9F" w:rsidP="00121A9F">
      <w:pPr>
        <w:jc w:val="center"/>
        <w:rPr>
          <w:rFonts w:ascii="Verdana" w:hAnsi="Verdana"/>
          <w:b/>
        </w:rPr>
      </w:pPr>
    </w:p>
    <w:p w:rsidR="00300130" w:rsidRDefault="00300130">
      <w:bookmarkStart w:id="0" w:name="_GoBack"/>
      <w:bookmarkEnd w:id="0"/>
    </w:p>
    <w:sectPr w:rsidR="0030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2C6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FB0C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1407155"/>
    <w:multiLevelType w:val="singleLevel"/>
    <w:tmpl w:val="2A848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9F"/>
    <w:rsid w:val="00121A9F"/>
    <w:rsid w:val="0030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Nademlejnská</dc:creator>
  <cp:lastModifiedBy>Hana Nademlejnská</cp:lastModifiedBy>
  <cp:revision>1</cp:revision>
  <dcterms:created xsi:type="dcterms:W3CDTF">2017-10-25T06:44:00Z</dcterms:created>
  <dcterms:modified xsi:type="dcterms:W3CDTF">2017-10-25T06:44:00Z</dcterms:modified>
</cp:coreProperties>
</file>