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AA5" w:rsidRDefault="00234031">
      <w:r>
        <w:rPr>
          <w:b/>
          <w:bCs/>
        </w:rPr>
        <w:t>Komerční banka, a.s.</w:t>
      </w:r>
      <w:r>
        <w:t>, se sídlem Praha 1, Na Příkopě 33 čp. 969, PSČ 114 07, IČO: 45317054, zapsaná v obchodním rejstříku vedeném Městským soudem v Praze, oddíl B, vložka 1360 (dále jen „</w:t>
      </w:r>
      <w:r>
        <w:rPr>
          <w:b/>
          <w:bCs/>
        </w:rPr>
        <w:t>Banka</w:t>
      </w:r>
      <w:r>
        <w:t>“)</w:t>
      </w:r>
    </w:p>
    <w:p w:rsidR="004F2AA5" w:rsidRDefault="004F2AA5"/>
    <w:p w:rsidR="004F2AA5" w:rsidRDefault="00234031">
      <w:r>
        <w:t>a</w:t>
      </w:r>
    </w:p>
    <w:p w:rsidR="004F2AA5" w:rsidRDefault="004F2AA5"/>
    <w:p w:rsidR="004F2AA5" w:rsidRDefault="00234031">
      <w:bookmarkStart w:id="0" w:name="hlava"/>
      <w:bookmarkEnd w:id="0"/>
      <w:r>
        <w:rPr>
          <w:b/>
        </w:rPr>
        <w:t>právnická osoba</w:t>
      </w:r>
      <w:r>
        <w:t xml:space="preserve"> (dále jen „</w:t>
      </w:r>
      <w:bookmarkStart w:id="1" w:name="hlava_osoba"/>
      <w:r>
        <w:rPr>
          <w:b/>
        </w:rPr>
        <w:t>Klient</w:t>
      </w:r>
      <w:bookmarkEnd w:id="1"/>
      <w:r>
        <w:t>“)</w:t>
      </w:r>
    </w:p>
    <w:tbl>
      <w:tblPr>
        <w:tblW w:w="9629" w:type="dxa"/>
        <w:tblCellMar>
          <w:left w:w="10" w:type="dxa"/>
          <w:right w:w="10" w:type="dxa"/>
        </w:tblCellMar>
        <w:tblLook w:val="0000" w:firstRow="0" w:lastRow="0" w:firstColumn="0" w:lastColumn="0" w:noHBand="0" w:noVBand="0"/>
      </w:tblPr>
      <w:tblGrid>
        <w:gridCol w:w="2767"/>
        <w:gridCol w:w="6862"/>
      </w:tblGrid>
      <w:tr w:rsidR="004F2AA5">
        <w:tc>
          <w:tcPr>
            <w:tcW w:w="2767" w:type="dxa"/>
            <w:tcBorders>
              <w:top w:val="single" w:sz="4" w:space="0" w:color="000000"/>
              <w:left w:val="single" w:sz="4" w:space="0" w:color="000000"/>
              <w:bottom w:val="single" w:sz="4" w:space="0" w:color="808080"/>
              <w:right w:val="single" w:sz="4" w:space="0" w:color="808080"/>
            </w:tcBorders>
            <w:shd w:val="clear" w:color="auto" w:fill="auto"/>
            <w:tcMar>
              <w:top w:w="0" w:type="dxa"/>
              <w:left w:w="108" w:type="dxa"/>
              <w:bottom w:w="0" w:type="dxa"/>
              <w:right w:w="108" w:type="dxa"/>
            </w:tcMar>
            <w:vAlign w:val="center"/>
          </w:tcPr>
          <w:p w:rsidR="004F2AA5" w:rsidRDefault="00234031">
            <w:pPr>
              <w:spacing w:before="40" w:after="40"/>
            </w:pPr>
            <w:r>
              <w:rPr>
                <w:sz w:val="16"/>
              </w:rPr>
              <w:t>Obchodní firma* / název**:</w:t>
            </w:r>
          </w:p>
        </w:tc>
        <w:tc>
          <w:tcPr>
            <w:tcW w:w="6862" w:type="dxa"/>
            <w:tcBorders>
              <w:top w:val="single" w:sz="4" w:space="0" w:color="000000"/>
              <w:left w:val="single" w:sz="4" w:space="0" w:color="808080"/>
              <w:bottom w:val="single" w:sz="4" w:space="0" w:color="808080"/>
              <w:right w:val="single" w:sz="4" w:space="0" w:color="000000"/>
            </w:tcBorders>
            <w:shd w:val="clear" w:color="auto" w:fill="auto"/>
            <w:tcMar>
              <w:top w:w="0" w:type="dxa"/>
              <w:left w:w="108" w:type="dxa"/>
              <w:bottom w:w="0" w:type="dxa"/>
              <w:right w:w="108" w:type="dxa"/>
            </w:tcMar>
            <w:vAlign w:val="center"/>
          </w:tcPr>
          <w:p w:rsidR="004F2AA5" w:rsidRDefault="00234031">
            <w:pPr>
              <w:spacing w:before="40" w:after="40"/>
              <w:rPr>
                <w:b/>
              </w:rPr>
            </w:pPr>
            <w:bookmarkStart w:id="2" w:name="jmpo"/>
            <w:bookmarkEnd w:id="2"/>
            <w:r>
              <w:rPr>
                <w:b/>
              </w:rPr>
              <w:t>6. mateřská škola Plzeň, Republikánská 25, příspěvková organizace</w:t>
            </w:r>
          </w:p>
        </w:tc>
      </w:tr>
      <w:tr w:rsidR="004F2AA5">
        <w:tc>
          <w:tcPr>
            <w:tcW w:w="2767" w:type="dxa"/>
            <w:tcBorders>
              <w:top w:val="single" w:sz="4" w:space="0" w:color="808080"/>
              <w:left w:val="single" w:sz="4" w:space="0" w:color="000000"/>
              <w:bottom w:val="single" w:sz="4" w:space="0" w:color="808080"/>
              <w:right w:val="single" w:sz="4" w:space="0" w:color="808080"/>
            </w:tcBorders>
            <w:shd w:val="clear" w:color="auto" w:fill="auto"/>
            <w:tcMar>
              <w:top w:w="0" w:type="dxa"/>
              <w:left w:w="108" w:type="dxa"/>
              <w:bottom w:w="0" w:type="dxa"/>
              <w:right w:w="108" w:type="dxa"/>
            </w:tcMar>
            <w:vAlign w:val="center"/>
          </w:tcPr>
          <w:p w:rsidR="004F2AA5" w:rsidRDefault="00234031">
            <w:pPr>
              <w:spacing w:before="40" w:after="40"/>
            </w:pPr>
            <w:r>
              <w:rPr>
                <w:sz w:val="16"/>
              </w:rPr>
              <w:t>Sídlo:</w:t>
            </w:r>
          </w:p>
        </w:tc>
        <w:tc>
          <w:tcPr>
            <w:tcW w:w="6862" w:type="dxa"/>
            <w:tcBorders>
              <w:top w:val="single" w:sz="4" w:space="0" w:color="808080"/>
              <w:left w:val="single" w:sz="4" w:space="0" w:color="808080"/>
              <w:bottom w:val="single" w:sz="4" w:space="0" w:color="808080"/>
              <w:right w:val="single" w:sz="4" w:space="0" w:color="000000"/>
            </w:tcBorders>
            <w:shd w:val="clear" w:color="auto" w:fill="auto"/>
            <w:tcMar>
              <w:top w:w="0" w:type="dxa"/>
              <w:left w:w="108" w:type="dxa"/>
              <w:bottom w:w="0" w:type="dxa"/>
              <w:right w:w="108" w:type="dxa"/>
            </w:tcMar>
            <w:vAlign w:val="center"/>
          </w:tcPr>
          <w:p w:rsidR="004F2AA5" w:rsidRDefault="00234031">
            <w:pPr>
              <w:spacing w:before="40" w:after="40"/>
              <w:rPr>
                <w:b/>
              </w:rPr>
            </w:pPr>
            <w:bookmarkStart w:id="3" w:name="sidlopo1"/>
            <w:bookmarkEnd w:id="3"/>
            <w:r>
              <w:rPr>
                <w:b/>
              </w:rPr>
              <w:t>Republikánská 25 Plzeň 312 00</w:t>
            </w:r>
          </w:p>
        </w:tc>
      </w:tr>
      <w:tr w:rsidR="004F2AA5">
        <w:tc>
          <w:tcPr>
            <w:tcW w:w="2767" w:type="dxa"/>
            <w:tcBorders>
              <w:top w:val="single" w:sz="4" w:space="0" w:color="808080"/>
              <w:left w:val="single" w:sz="4" w:space="0" w:color="000000"/>
              <w:bottom w:val="single" w:sz="4" w:space="0" w:color="808080"/>
              <w:right w:val="single" w:sz="4" w:space="0" w:color="808080"/>
            </w:tcBorders>
            <w:shd w:val="clear" w:color="auto" w:fill="auto"/>
            <w:tcMar>
              <w:top w:w="0" w:type="dxa"/>
              <w:left w:w="108" w:type="dxa"/>
              <w:bottom w:w="0" w:type="dxa"/>
              <w:right w:w="108" w:type="dxa"/>
            </w:tcMar>
            <w:vAlign w:val="center"/>
          </w:tcPr>
          <w:p w:rsidR="004F2AA5" w:rsidRDefault="00234031">
            <w:pPr>
              <w:spacing w:before="40" w:after="40"/>
            </w:pPr>
            <w:r>
              <w:rPr>
                <w:sz w:val="16"/>
              </w:rPr>
              <w:t>IČO:</w:t>
            </w:r>
          </w:p>
        </w:tc>
        <w:tc>
          <w:tcPr>
            <w:tcW w:w="6862" w:type="dxa"/>
            <w:tcBorders>
              <w:top w:val="single" w:sz="4" w:space="0" w:color="808080"/>
              <w:left w:val="single" w:sz="4" w:space="0" w:color="808080"/>
              <w:bottom w:val="single" w:sz="4" w:space="0" w:color="808080"/>
              <w:right w:val="single" w:sz="4" w:space="0" w:color="000000"/>
            </w:tcBorders>
            <w:shd w:val="clear" w:color="auto" w:fill="auto"/>
            <w:tcMar>
              <w:top w:w="0" w:type="dxa"/>
              <w:left w:w="108" w:type="dxa"/>
              <w:bottom w:w="0" w:type="dxa"/>
              <w:right w:w="108" w:type="dxa"/>
            </w:tcMar>
            <w:vAlign w:val="center"/>
          </w:tcPr>
          <w:p w:rsidR="004F2AA5" w:rsidRDefault="00234031">
            <w:pPr>
              <w:spacing w:before="40" w:after="40"/>
              <w:rPr>
                <w:b/>
              </w:rPr>
            </w:pPr>
            <w:bookmarkStart w:id="4" w:name="icopo"/>
            <w:bookmarkEnd w:id="4"/>
            <w:r>
              <w:rPr>
                <w:b/>
              </w:rPr>
              <w:t>70941033</w:t>
            </w:r>
          </w:p>
        </w:tc>
      </w:tr>
      <w:tr w:rsidR="004F2AA5">
        <w:tc>
          <w:tcPr>
            <w:tcW w:w="2767" w:type="dxa"/>
            <w:tcBorders>
              <w:top w:val="single" w:sz="4" w:space="0" w:color="808080"/>
              <w:left w:val="single" w:sz="4" w:space="0" w:color="000000"/>
              <w:bottom w:val="single" w:sz="4" w:space="0" w:color="000000"/>
              <w:right w:val="single" w:sz="4" w:space="0" w:color="808080"/>
            </w:tcBorders>
            <w:shd w:val="clear" w:color="auto" w:fill="auto"/>
            <w:tcMar>
              <w:top w:w="0" w:type="dxa"/>
              <w:left w:w="108" w:type="dxa"/>
              <w:bottom w:w="0" w:type="dxa"/>
              <w:right w:w="108" w:type="dxa"/>
            </w:tcMar>
            <w:vAlign w:val="center"/>
          </w:tcPr>
          <w:p w:rsidR="004F2AA5" w:rsidRDefault="00234031">
            <w:pPr>
              <w:spacing w:before="40" w:after="40"/>
            </w:pPr>
            <w:r>
              <w:rPr>
                <w:sz w:val="16"/>
              </w:rPr>
              <w:t>Zápis v obchodním rejstříku či jiné evidenci, včetně spisové značky:</w:t>
            </w:r>
          </w:p>
        </w:tc>
        <w:tc>
          <w:tcPr>
            <w:tcW w:w="6862" w:type="dxa"/>
            <w:tcBorders>
              <w:top w:val="single" w:sz="4" w:space="0" w:color="808080"/>
              <w:left w:val="single" w:sz="4" w:space="0" w:color="808080"/>
              <w:bottom w:val="single" w:sz="4" w:space="0" w:color="000000"/>
              <w:right w:val="single" w:sz="4" w:space="0" w:color="000000"/>
            </w:tcBorders>
            <w:shd w:val="clear" w:color="auto" w:fill="auto"/>
            <w:tcMar>
              <w:top w:w="0" w:type="dxa"/>
              <w:left w:w="108" w:type="dxa"/>
              <w:bottom w:w="0" w:type="dxa"/>
              <w:right w:w="108" w:type="dxa"/>
            </w:tcMar>
            <w:vAlign w:val="center"/>
          </w:tcPr>
          <w:p w:rsidR="004F2AA5" w:rsidRDefault="00234031">
            <w:pPr>
              <w:spacing w:before="40" w:after="40"/>
              <w:rPr>
                <w:b/>
              </w:rPr>
            </w:pPr>
            <w:bookmarkStart w:id="5" w:name="spis"/>
            <w:bookmarkEnd w:id="5"/>
            <w:r>
              <w:rPr>
                <w:b/>
              </w:rPr>
              <w:t>Výpis z OR ČR, číslo: USNESENÍ Č. 581, Česká republika</w:t>
            </w:r>
          </w:p>
        </w:tc>
      </w:tr>
    </w:tbl>
    <w:p w:rsidR="004F2AA5" w:rsidRDefault="00234031">
      <w:pPr>
        <w:rPr>
          <w:sz w:val="16"/>
        </w:rPr>
      </w:pPr>
      <w:r>
        <w:rPr>
          <w:sz w:val="16"/>
        </w:rPr>
        <w:t>*je-li Klient zapsán v obchodním rejstříku; **není-li Klient zapsán v obchodním rejstříku</w:t>
      </w:r>
    </w:p>
    <w:p w:rsidR="004F2AA5" w:rsidRDefault="004F2AA5"/>
    <w:p w:rsidR="004F2AA5" w:rsidRDefault="00234031">
      <w:r>
        <w:t xml:space="preserve">uzavírají v souladu s § 1746 odst. 2 </w:t>
      </w:r>
      <w:proofErr w:type="spellStart"/>
      <w:r>
        <w:t>z.č</w:t>
      </w:r>
      <w:proofErr w:type="spellEnd"/>
      <w:r>
        <w:t>. 89/2012 Sb., občanského zákoníku, ve znění pozdějších předpisů, tuto Univerzální smlouvu o předávání hotovosti v obalech (dále jen „</w:t>
      </w:r>
      <w:r>
        <w:rPr>
          <w:b/>
          <w:bCs/>
        </w:rPr>
        <w:t>Smlouva</w:t>
      </w:r>
      <w:r>
        <w:t xml:space="preserve">“). </w:t>
      </w:r>
    </w:p>
    <w:p w:rsidR="004F2AA5" w:rsidRDefault="004F2AA5"/>
    <w:p w:rsidR="004F2AA5" w:rsidRDefault="00234031">
      <w:pPr>
        <w:pStyle w:val="Nadpis1"/>
        <w:numPr>
          <w:ilvl w:val="0"/>
          <w:numId w:val="1"/>
        </w:numPr>
        <w:tabs>
          <w:tab w:val="clear" w:pos="567"/>
        </w:tabs>
      </w:pPr>
      <w:r>
        <w:t>Následující pojmy s velkým počátečním písmenem mají v této Smlouvě tento význam:</w:t>
      </w:r>
    </w:p>
    <w:p w:rsidR="004F2AA5" w:rsidRDefault="00234031">
      <w:pPr>
        <w:spacing w:after="120"/>
        <w:ind w:left="426"/>
      </w:pPr>
      <w:r>
        <w:t>„</w:t>
      </w:r>
      <w:r>
        <w:rPr>
          <w:b/>
          <w:bCs/>
        </w:rPr>
        <w:t>Dotační box</w:t>
      </w:r>
      <w:r>
        <w:t xml:space="preserve">“ je Bankou určené místo, kde Klient může předávat Bance obaly dopravené vozidlem dle této Smlouvy v pokladních hodinách Obchodního místa Banky. </w:t>
      </w:r>
    </w:p>
    <w:p w:rsidR="004F2AA5" w:rsidRDefault="00234031">
      <w:pPr>
        <w:spacing w:after="120"/>
        <w:ind w:left="426"/>
      </w:pPr>
      <w:r>
        <w:t>„</w:t>
      </w:r>
      <w:r>
        <w:rPr>
          <w:b/>
          <w:bCs/>
        </w:rPr>
        <w:t>Noční trezor</w:t>
      </w:r>
      <w:r>
        <w:t>“ je úschovný objekt s </w:t>
      </w:r>
      <w:proofErr w:type="spellStart"/>
      <w:r>
        <w:t>vhazovacím</w:t>
      </w:r>
      <w:proofErr w:type="spellEnd"/>
      <w:r>
        <w:t xml:space="preserve"> zařízením umístěný v Obchodním místě Banky, kam Klient může vhazovat obaly dle této Smlouvy v závislosti na přístupnosti Nočního trezoru dle jeho umístění až 24 hodin denně.</w:t>
      </w:r>
    </w:p>
    <w:p w:rsidR="004F2AA5" w:rsidRDefault="00234031">
      <w:pPr>
        <w:spacing w:after="120"/>
        <w:ind w:left="426"/>
      </w:pPr>
      <w:r>
        <w:t>„</w:t>
      </w:r>
      <w:r>
        <w:rPr>
          <w:b/>
          <w:bCs/>
        </w:rPr>
        <w:t>Obchodní místo Banky</w:t>
      </w:r>
      <w:r>
        <w:t>“ je kterékoli obchodní místo Banky, ve kterém Banka umožňuje Klientovi předávat Bance obaly dle této Smlouvy; v případě vkladu prostřednictvím Nočního trezoru, ve kterém převzal identifikační předměty k Nočnímu trezoru. Aktuální seznam Obchodních míst Banky se způsobem vkladu je Klientovi k dispozici v kterémkoli obchodním místě Banky.</w:t>
      </w:r>
    </w:p>
    <w:p w:rsidR="004F2AA5" w:rsidRDefault="00234031">
      <w:pPr>
        <w:spacing w:after="120"/>
        <w:ind w:left="426"/>
      </w:pPr>
      <w:r>
        <w:t>„</w:t>
      </w:r>
      <w:r>
        <w:rPr>
          <w:b/>
          <w:bCs/>
        </w:rPr>
        <w:t>Oprávněné osoby</w:t>
      </w:r>
      <w:r>
        <w:t xml:space="preserve">“ jsou Klientem zmocněné osoby uvedené v Seznamu provozoven. </w:t>
      </w:r>
    </w:p>
    <w:p w:rsidR="004F2AA5" w:rsidRDefault="00234031">
      <w:pPr>
        <w:spacing w:after="120"/>
        <w:ind w:left="426"/>
      </w:pPr>
      <w:r>
        <w:t>„</w:t>
      </w:r>
      <w:r>
        <w:rPr>
          <w:b/>
          <w:bCs/>
        </w:rPr>
        <w:t>Pokladní přepážka</w:t>
      </w:r>
      <w:r>
        <w:t xml:space="preserve">“ je Bankou určené místo, kde Klient může předávat Bance obaly dle této Smlouvy v pokladních hodinách Obchodního místa Banky. </w:t>
      </w:r>
    </w:p>
    <w:p w:rsidR="004F2AA5" w:rsidRDefault="00234031">
      <w:pPr>
        <w:pStyle w:val="Nadpis1"/>
        <w:numPr>
          <w:ilvl w:val="0"/>
          <w:numId w:val="1"/>
        </w:numPr>
        <w:tabs>
          <w:tab w:val="clear" w:pos="567"/>
        </w:tabs>
      </w:pPr>
      <w:r>
        <w:t>Klient a Banka se dohodli, že za podmínek sjednaných touto Smlouvou je Klient oprávněn předávat Bance hotovost v obalech v Obchodním místě Banky. Banka bude tuto hotovost zpracovávat a připisovat na Účet.</w:t>
      </w:r>
    </w:p>
    <w:p w:rsidR="004F2AA5" w:rsidRDefault="00234031">
      <w:pPr>
        <w:pStyle w:val="Nadpis1"/>
        <w:numPr>
          <w:ilvl w:val="0"/>
          <w:numId w:val="1"/>
        </w:numPr>
        <w:tabs>
          <w:tab w:val="clear" w:pos="567"/>
        </w:tabs>
      </w:pPr>
      <w:r>
        <w:t>V souladu s § 1751 občanského zákoníku jsou nedílnou součástí této Smlouvy Všeobecné obchodní podmínky Banky (dále jen „</w:t>
      </w:r>
      <w:r>
        <w:rPr>
          <w:b/>
        </w:rPr>
        <w:t>Všeobecné podmínky</w:t>
      </w:r>
      <w:r>
        <w:t>“)</w:t>
      </w:r>
      <w:bookmarkStart w:id="6" w:name="_DV_C10"/>
      <w:r>
        <w:t>, příslušná Oznámení, tj. Oznámení o provádění platebního styku, a Sazebník (v rozsahu relevantním k této Smlouvě)</w:t>
      </w:r>
      <w:bookmarkStart w:id="7" w:name="_DV_M13"/>
      <w:bookmarkEnd w:id="6"/>
      <w:bookmarkEnd w:id="7"/>
      <w:r>
        <w:t xml:space="preserve">. Podpisem této Smlouvy Klient potvrzuje, že se seznámil </w:t>
      </w:r>
      <w:bookmarkStart w:id="8" w:name="_DV_C12"/>
      <w:r>
        <w:t>s obsahem a významem dokumentů uvedených v předchozí větě</w:t>
      </w:r>
      <w:bookmarkEnd w:id="8"/>
      <w:r>
        <w:t>, jakož i dalších dokumentů, na které se ve Všeobecných podmínkách odkazuje,</w:t>
      </w:r>
      <w:bookmarkStart w:id="9" w:name="_DV_M14"/>
      <w:bookmarkEnd w:id="9"/>
      <w:r>
        <w:t xml:space="preserve"> a výslovně s jejich zněním souhlasí.</w:t>
      </w:r>
    </w:p>
    <w:p w:rsidR="004F2AA5" w:rsidRDefault="00234031">
      <w:pPr>
        <w:spacing w:after="120"/>
        <w:ind w:left="425"/>
      </w:pPr>
      <w:r>
        <w:t>Klient tímto prohlašuje, že ho Banka upozornila na ustanovení, která odkazují na shora uvedené dokumenty stojící mimo vlastní text Smlouvy a jejich význam mu byl dostatečně vysvětlen. Klient bere na vědomí, že je vázán nejen Smlouvou, ale i těmito dokumenty a bere na vědomí, že nesplnění povinností či podmínek uvedených v těchto dokumentech může mít stejné právní následky jako nesplnění povinností a podmínek vyplývajících ze Smlouvy.</w:t>
      </w:r>
    </w:p>
    <w:p w:rsidR="004F2AA5" w:rsidRDefault="00234031">
      <w:pPr>
        <w:spacing w:after="120"/>
        <w:ind w:left="425"/>
      </w:pPr>
      <w:r>
        <w:t>Článek</w:t>
      </w:r>
      <w:bookmarkStart w:id="10" w:name="_DV_C14"/>
      <w:r>
        <w:t xml:space="preserve"> 28</w:t>
      </w:r>
      <w:bookmarkStart w:id="11" w:name="_DV_M15"/>
      <w:bookmarkEnd w:id="10"/>
      <w:bookmarkEnd w:id="11"/>
      <w:r>
        <w:t xml:space="preserve"> Všeobecných podmínek upravuje potřebné souhlasy Klienta, zejména souhlas se zpracováním Osobních údajů. Klient je oprávněn tyto souhlasy kdykoliv písemně odvolat. Pojmy s velkým počátečním písmenem mají v této Smlouvě význam stanovený v tomto dokumentu nebo ve Všeobecných podmínkách.</w:t>
      </w:r>
    </w:p>
    <w:p w:rsidR="004F2AA5" w:rsidRDefault="00234031">
      <w:pPr>
        <w:spacing w:after="120"/>
        <w:ind w:left="425"/>
      </w:pPr>
      <w:r>
        <w:t>Klient souhlasí s tím, že Banka je oprávněna započítávat své pohledávky za Klientem v rozsahu a způsobem stanoveným ve Všeobecných podmínkách.</w:t>
      </w:r>
    </w:p>
    <w:p w:rsidR="004F2AA5" w:rsidRDefault="00234031">
      <w:pPr>
        <w:spacing w:after="120"/>
        <w:ind w:left="425"/>
      </w:pPr>
      <w:r>
        <w:t>Na smluvní vztah založený na základě Smlouvy se vylučuje uplatnění ustanovení § 1799 a § 1800 občanského zákoníku o adhezních smlouvách.</w:t>
      </w:r>
    </w:p>
    <w:p w:rsidR="004F2AA5" w:rsidRDefault="00234031">
      <w:pPr>
        <w:pStyle w:val="Nadpis1"/>
        <w:keepNext/>
        <w:numPr>
          <w:ilvl w:val="0"/>
          <w:numId w:val="1"/>
        </w:numPr>
        <w:tabs>
          <w:tab w:val="clear" w:pos="567"/>
        </w:tabs>
      </w:pPr>
      <w:r>
        <w:t xml:space="preserve">Klient je oprávněn vkládat hotovost prostřednictvím obalů následujícími způsoby a dle uvedených parametrů: </w:t>
      </w:r>
    </w:p>
    <w:tbl>
      <w:tblPr>
        <w:tblW w:w="9851" w:type="dxa"/>
        <w:tblCellMar>
          <w:left w:w="10" w:type="dxa"/>
          <w:right w:w="10" w:type="dxa"/>
        </w:tblCellMar>
        <w:tblLook w:val="0000" w:firstRow="0" w:lastRow="0" w:firstColumn="0" w:lastColumn="0" w:noHBand="0" w:noVBand="0"/>
      </w:tblPr>
      <w:tblGrid>
        <w:gridCol w:w="2120"/>
        <w:gridCol w:w="2060"/>
        <w:gridCol w:w="2260"/>
        <w:gridCol w:w="3411"/>
      </w:tblGrid>
      <w:tr w:rsidR="004F2AA5">
        <w:trPr>
          <w:trHeight w:val="465"/>
          <w:tblHeader/>
        </w:trPr>
        <w:tc>
          <w:tcPr>
            <w:tcW w:w="2120" w:type="dxa"/>
            <w:tcBorders>
              <w:top w:val="single" w:sz="8"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F2AA5" w:rsidRDefault="004F2AA5">
            <w:pPr>
              <w:overflowPunct/>
              <w:autoSpaceDE/>
              <w:jc w:val="center"/>
              <w:textAlignment w:val="auto"/>
            </w:pPr>
          </w:p>
        </w:tc>
        <w:tc>
          <w:tcPr>
            <w:tcW w:w="7731" w:type="dxa"/>
            <w:gridSpan w:val="3"/>
            <w:tcBorders>
              <w:top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rPr>
                <w:b/>
              </w:rPr>
            </w:pPr>
            <w:r>
              <w:rPr>
                <w:b/>
              </w:rPr>
              <w:t>ZPŮSOB VKLADU</w:t>
            </w:r>
          </w:p>
        </w:tc>
      </w:tr>
      <w:tr w:rsidR="004F2AA5">
        <w:trPr>
          <w:trHeight w:val="480"/>
          <w:tblHeader/>
        </w:trPr>
        <w:tc>
          <w:tcPr>
            <w:tcW w:w="212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rPr>
                <w:i/>
                <w:iCs/>
              </w:rPr>
            </w:pPr>
            <w:r>
              <w:rPr>
                <w:i/>
                <w:iCs/>
              </w:rPr>
              <w:t>PARAMETRY PRO</w:t>
            </w:r>
          </w:p>
          <w:p w:rsidR="004F2AA5" w:rsidRDefault="00234031">
            <w:pPr>
              <w:overflowPunct/>
              <w:autoSpaceDE/>
              <w:jc w:val="center"/>
              <w:textAlignment w:val="auto"/>
              <w:rPr>
                <w:i/>
                <w:iCs/>
              </w:rPr>
            </w:pPr>
            <w:r>
              <w:rPr>
                <w:i/>
                <w:iCs/>
              </w:rPr>
              <w:t>1 OBAL</w:t>
            </w:r>
          </w:p>
        </w:tc>
        <w:tc>
          <w:tcPr>
            <w:tcW w:w="20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rPr>
                <w:b/>
                <w:bCs/>
              </w:rPr>
            </w:pPr>
            <w:r>
              <w:rPr>
                <w:b/>
                <w:bCs/>
              </w:rPr>
              <w:t>NOČNÍ TREZOR</w:t>
            </w:r>
          </w:p>
        </w:tc>
        <w:tc>
          <w:tcPr>
            <w:tcW w:w="22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rPr>
                <w:b/>
                <w:bCs/>
              </w:rPr>
            </w:pPr>
            <w:r>
              <w:rPr>
                <w:b/>
                <w:bCs/>
              </w:rPr>
              <w:t>POKLADNÍ PŘEPÁŽKA</w:t>
            </w:r>
          </w:p>
        </w:tc>
        <w:tc>
          <w:tcPr>
            <w:tcW w:w="3411"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rPr>
                <w:b/>
                <w:bCs/>
              </w:rPr>
            </w:pPr>
            <w:r>
              <w:rPr>
                <w:b/>
                <w:bCs/>
              </w:rPr>
              <w:t>POKLADNÍ PŘEPÁŽKA / DOTAČNÍ BOX</w:t>
            </w:r>
          </w:p>
        </w:tc>
      </w:tr>
      <w:tr w:rsidR="004F2AA5">
        <w:trPr>
          <w:trHeight w:val="825"/>
        </w:trPr>
        <w:tc>
          <w:tcPr>
            <w:tcW w:w="212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pPr>
            <w:r>
              <w:rPr>
                <w:b/>
                <w:bCs/>
                <w:i/>
                <w:iCs/>
              </w:rPr>
              <w:lastRenderedPageBreak/>
              <w:t>max. výše hotovosti</w:t>
            </w:r>
            <w:r>
              <w:rPr>
                <w:sz w:val="14"/>
                <w:szCs w:val="14"/>
              </w:rPr>
              <w:t xml:space="preserve"> </w:t>
            </w:r>
            <w:r>
              <w:rPr>
                <w:sz w:val="14"/>
                <w:szCs w:val="14"/>
              </w:rPr>
              <w:br/>
              <w:t>(pro cizí měnu platí přepočet kurzem Banky valuta-prodej platným v den předání obalu)</w:t>
            </w:r>
          </w:p>
        </w:tc>
        <w:tc>
          <w:tcPr>
            <w:tcW w:w="20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pPr>
            <w:r>
              <w:t>1.000.000,- Kč</w:t>
            </w:r>
          </w:p>
        </w:tc>
        <w:tc>
          <w:tcPr>
            <w:tcW w:w="22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pPr>
            <w:r>
              <w:t>200.000,- Kč</w:t>
            </w:r>
          </w:p>
        </w:tc>
        <w:tc>
          <w:tcPr>
            <w:tcW w:w="3411"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pPr>
            <w:r>
              <w:t>3.000.000,- Kč</w:t>
            </w:r>
          </w:p>
        </w:tc>
      </w:tr>
      <w:tr w:rsidR="004F2AA5">
        <w:trPr>
          <w:trHeight w:val="495"/>
        </w:trPr>
        <w:tc>
          <w:tcPr>
            <w:tcW w:w="212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rPr>
                <w:b/>
                <w:bCs/>
                <w:i/>
                <w:iCs/>
              </w:rPr>
            </w:pPr>
            <w:r>
              <w:rPr>
                <w:b/>
                <w:bCs/>
                <w:i/>
                <w:iCs/>
              </w:rPr>
              <w:t>max. hmotnost</w:t>
            </w:r>
          </w:p>
        </w:tc>
        <w:tc>
          <w:tcPr>
            <w:tcW w:w="20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pPr>
            <w:r>
              <w:t>určena velikostí obalu</w:t>
            </w:r>
          </w:p>
        </w:tc>
        <w:tc>
          <w:tcPr>
            <w:tcW w:w="22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pPr>
            <w:r>
              <w:t>určena velikostí obalu</w:t>
            </w:r>
          </w:p>
        </w:tc>
        <w:tc>
          <w:tcPr>
            <w:tcW w:w="3411"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pPr>
            <w:r>
              <w:t>20 kg</w:t>
            </w:r>
          </w:p>
        </w:tc>
      </w:tr>
      <w:tr w:rsidR="004F2AA5">
        <w:trPr>
          <w:trHeight w:val="570"/>
        </w:trPr>
        <w:tc>
          <w:tcPr>
            <w:tcW w:w="212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rPr>
                <w:b/>
                <w:bCs/>
                <w:i/>
                <w:iCs/>
              </w:rPr>
            </w:pPr>
            <w:r>
              <w:rPr>
                <w:b/>
                <w:bCs/>
                <w:i/>
                <w:iCs/>
              </w:rPr>
              <w:t>max. počet mincí</w:t>
            </w:r>
          </w:p>
        </w:tc>
        <w:tc>
          <w:tcPr>
            <w:tcW w:w="20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pPr>
            <w:r>
              <w:t>50 ks</w:t>
            </w:r>
          </w:p>
        </w:tc>
        <w:tc>
          <w:tcPr>
            <w:tcW w:w="22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pPr>
            <w:r>
              <w:t>50 ks</w:t>
            </w:r>
          </w:p>
        </w:tc>
        <w:tc>
          <w:tcPr>
            <w:tcW w:w="3411"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pPr>
            <w:r>
              <w:t>určen velikostí obalu</w:t>
            </w:r>
          </w:p>
        </w:tc>
      </w:tr>
      <w:tr w:rsidR="004F2AA5">
        <w:trPr>
          <w:trHeight w:val="825"/>
        </w:trPr>
        <w:tc>
          <w:tcPr>
            <w:tcW w:w="212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pPr>
            <w:r>
              <w:t>typ obalu</w:t>
            </w:r>
          </w:p>
        </w:tc>
        <w:tc>
          <w:tcPr>
            <w:tcW w:w="20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pPr>
            <w:r>
              <w:t>jednorázové nebo vratné obaly Banky k nočnímu trezoru</w:t>
            </w:r>
          </w:p>
        </w:tc>
        <w:tc>
          <w:tcPr>
            <w:tcW w:w="22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pPr>
            <w:r>
              <w:t>jednorázové obaly Banky</w:t>
            </w:r>
          </w:p>
        </w:tc>
        <w:tc>
          <w:tcPr>
            <w:tcW w:w="3411"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pPr>
            <w:r>
              <w:t>vratné obaly Banky a ostatní jednorázové obaly, které splňují požadavky k uzavření hotovosti do obalu dle článku 11 této Smlouvy.</w:t>
            </w:r>
          </w:p>
        </w:tc>
      </w:tr>
      <w:tr w:rsidR="004F2AA5">
        <w:trPr>
          <w:trHeight w:val="825"/>
        </w:trPr>
        <w:tc>
          <w:tcPr>
            <w:tcW w:w="212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pPr>
            <w:r>
              <w:t>Čas doručení obalu do Obchodního místa Banky</w:t>
            </w:r>
          </w:p>
        </w:tc>
        <w:tc>
          <w:tcPr>
            <w:tcW w:w="20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pPr>
            <w:r>
              <w:t>do 8:00 hodin</w:t>
            </w:r>
          </w:p>
        </w:tc>
        <w:tc>
          <w:tcPr>
            <w:tcW w:w="5671" w:type="dxa"/>
            <w:gridSpan w:val="2"/>
            <w:tcBorders>
              <w:bottom w:val="single" w:sz="4" w:space="0" w:color="000000"/>
              <w:right w:val="single" w:sz="8" w:space="0" w:color="000000"/>
            </w:tcBorders>
            <w:shd w:val="clear" w:color="auto" w:fill="auto"/>
            <w:tcMar>
              <w:top w:w="0" w:type="dxa"/>
              <w:left w:w="70" w:type="dxa"/>
              <w:bottom w:w="0" w:type="dxa"/>
              <w:right w:w="70" w:type="dxa"/>
            </w:tcMar>
            <w:vAlign w:val="center"/>
          </w:tcPr>
          <w:p w:rsidR="004F2AA5" w:rsidRDefault="00234031">
            <w:pPr>
              <w:overflowPunct/>
              <w:autoSpaceDE/>
              <w:jc w:val="center"/>
              <w:textAlignment w:val="auto"/>
            </w:pPr>
            <w:r>
              <w:t>do 13:00 hodin</w:t>
            </w:r>
          </w:p>
        </w:tc>
      </w:tr>
    </w:tbl>
    <w:p w:rsidR="004F2AA5" w:rsidRDefault="004F2AA5"/>
    <w:p w:rsidR="004F2AA5" w:rsidRDefault="00234031">
      <w:pPr>
        <w:pStyle w:val="Nadpis1"/>
        <w:numPr>
          <w:ilvl w:val="0"/>
          <w:numId w:val="1"/>
        </w:numPr>
        <w:tabs>
          <w:tab w:val="clear" w:pos="567"/>
        </w:tabs>
      </w:pPr>
      <w:r>
        <w:t xml:space="preserve">Klient je oprávněn vkládat hotovost prostřednictvím obalů ve prospěch níže uvedených běžných účtů vedených Bankou pro Klienta: </w:t>
      </w:r>
    </w:p>
    <w:tbl>
      <w:tblPr>
        <w:tblW w:w="4961" w:type="dxa"/>
        <w:tblInd w:w="496" w:type="dxa"/>
        <w:tblLayout w:type="fixed"/>
        <w:tblCellMar>
          <w:left w:w="10" w:type="dxa"/>
          <w:right w:w="10" w:type="dxa"/>
        </w:tblCellMar>
        <w:tblLook w:val="0000" w:firstRow="0" w:lastRow="0" w:firstColumn="0" w:lastColumn="0" w:noHBand="0" w:noVBand="0"/>
      </w:tblPr>
      <w:tblGrid>
        <w:gridCol w:w="4961"/>
      </w:tblGrid>
      <w:tr w:rsidR="004F2AA5">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4F2AA5" w:rsidRDefault="00234031">
            <w:pPr>
              <w:spacing w:before="60" w:after="60"/>
              <w:rPr>
                <w:b/>
                <w:bCs/>
              </w:rPr>
            </w:pPr>
            <w:bookmarkStart w:id="12" w:name="cu"/>
            <w:bookmarkEnd w:id="12"/>
            <w:r>
              <w:rPr>
                <w:b/>
                <w:bCs/>
              </w:rPr>
              <w:t>10932311/0100</w:t>
            </w:r>
          </w:p>
        </w:tc>
      </w:tr>
    </w:tbl>
    <w:p w:rsidR="004F2AA5" w:rsidRDefault="00234031">
      <w:pPr>
        <w:spacing w:after="120"/>
        <w:ind w:left="426"/>
      </w:pPr>
      <w:r>
        <w:t>(dále jen „</w:t>
      </w:r>
      <w:r>
        <w:rPr>
          <w:b/>
          <w:bCs/>
        </w:rPr>
        <w:t>Účet</w:t>
      </w:r>
      <w:r>
        <w:t>“).</w:t>
      </w:r>
    </w:p>
    <w:p w:rsidR="004F2AA5" w:rsidRDefault="00234031">
      <w:pPr>
        <w:pStyle w:val="Nadpis1"/>
        <w:numPr>
          <w:ilvl w:val="0"/>
          <w:numId w:val="1"/>
        </w:numPr>
        <w:tabs>
          <w:tab w:val="clear" w:pos="567"/>
        </w:tabs>
      </w:pPr>
      <w:r>
        <w:t>Klient předá Bance seznam provozoven Klienta, které budou Bance na základě této Smlouvy předávat obaly. První vyhotovení tohoto seznamu bude Bance předáno na příslušném formuláři Banky a bude podepsáno Bankou a Klientem (dále jen „</w:t>
      </w:r>
      <w:r>
        <w:rPr>
          <w:b/>
          <w:bCs w:val="0"/>
        </w:rPr>
        <w:t>Seznam provozoven</w:t>
      </w:r>
      <w:r>
        <w:t>“). Seznam provozoven dále obsahuje Oprávněné osoby, které Klient tímto zmocňuje k přebírání vratných obalů a identifikačních předmětů předaných Bankou Klientovi, a název Obchodního místa Banky, ve kterém Oprávněné osoby převezmou vratné obaly a/nebo předměty. Převzetí vratných obalů a předmětů potvrdí Oprávněné osoby na příslušném formuláři Banky „Evidence identifikačních předmětů a vratných obalů“. V případě změny provozovny Klienta či Oprávněné osoby je Klient povinen zaslat Bance nový Seznam provozoven se všemi náležitostmi dle tohoto článku 6. Nový Seznam provozoven může být podepsán pouze Klientem a vůči Bance je účinný třetí den po jeho doručení Bance.</w:t>
      </w:r>
    </w:p>
    <w:p w:rsidR="004F2AA5" w:rsidRDefault="00234031">
      <w:pPr>
        <w:spacing w:after="120"/>
        <w:ind w:left="426"/>
      </w:pPr>
      <w:r>
        <w:t>Bude-li Klient pro předání obalů Bance využívat Dotační box, je povinen příslušnému Obchodnímu místu Banky předat i jména a identifikační údaje osob pověřených Klientem k tomu, aby za Klienta vstupovaly do Dotačního boxu a dále seznam vozidel včetně jejich registračních značek, která budou do Dotačního boxu vjíždět. Při jakékoli změně údajů je Klient povinen neprodleně písemně oznámit tuto skutečnost Bance. Změna je účinná následující Obchodní den po jejím obdržení Bankou.</w:t>
      </w:r>
    </w:p>
    <w:p w:rsidR="004F2AA5" w:rsidRDefault="00234031">
      <w:pPr>
        <w:spacing w:after="120"/>
        <w:ind w:left="426"/>
      </w:pPr>
      <w:r>
        <w:t xml:space="preserve">Klient je povinen seznámit Oprávněné osoby a osoby pověřené k využívání Dotačního boxu s obsahem této Smlouvy a zajistit, aby tyto osoby dodržovaly její ustanovení. </w:t>
      </w:r>
    </w:p>
    <w:p w:rsidR="004F2AA5" w:rsidRDefault="00234031">
      <w:pPr>
        <w:spacing w:after="120"/>
        <w:ind w:left="426"/>
      </w:pPr>
      <w:r>
        <w:t xml:space="preserve">Klient se zavazuje získat v souladu s právními předpisy souhlas Oprávněných osob a osob pověřených k využívání Dotačního boxu se zpracováním jejich osobních údajů za účelem dle této Smlouvy. Na žádost Banky je Klient povinen udělení souhlasu dle předchozí věty Bance prokázat. </w:t>
      </w:r>
    </w:p>
    <w:p w:rsidR="004F2AA5" w:rsidRDefault="00234031">
      <w:pPr>
        <w:pStyle w:val="Nadpis1"/>
        <w:numPr>
          <w:ilvl w:val="0"/>
          <w:numId w:val="1"/>
        </w:numPr>
        <w:tabs>
          <w:tab w:val="clear" w:pos="567"/>
        </w:tabs>
      </w:pPr>
      <w:r>
        <w:t xml:space="preserve">Klient je povinen vrátit Bance do 14 dnů ode dne zániku této Smlouvy vratné obaly a předměty, které mu byly Bankou předány. Pokud Klient Bance v uvedené lhůtě nevrátí obaly dle předchozí věty nebo je vrátí poškozené, je Klient povinen uhradit Bance za každý poškozený nebo nevrácený vratný obal smluvní pokutu ve výši ceny obalu uvedené v Sazebníku účinném ke dni zániku Smlouvy. Pokud Klient Bance v uvedené lhůtě nevrátí poskytnuté předměty nebo je vrátí poškozené, je Banka oprávněna požadovat úhradu veškerých nákladů a výloh, které jí tím vzniknou. Pohledávky Banky dle tohoto článku 7 jsou splatné okamžikem jejich vzniku. Banka je oprávněna provádět úhradu pohledávek dle tohoto článku 7 na vrub Účtu, a to bez dalšího souhlasu Klienta. </w:t>
      </w:r>
    </w:p>
    <w:p w:rsidR="004F2AA5" w:rsidRDefault="00234031">
      <w:pPr>
        <w:pStyle w:val="Nadpis1"/>
        <w:numPr>
          <w:ilvl w:val="0"/>
          <w:numId w:val="1"/>
        </w:numPr>
        <w:tabs>
          <w:tab w:val="clear" w:pos="567"/>
        </w:tabs>
      </w:pPr>
      <w:r>
        <w:t>Klient je oprávněn předávat Bance v obalech pouze platné, celé a nepoškozené bankovky a mince v české měně, dále platné, celé a nepoškozené bankovky v měnách uvedených v kurzovním lístku Banky a platné, celé a nepoškozené mince EUR.</w:t>
      </w:r>
    </w:p>
    <w:p w:rsidR="004F2AA5" w:rsidRDefault="00234031">
      <w:pPr>
        <w:rPr>
          <w:vanish/>
          <w:color w:val="FF0000"/>
          <w:sz w:val="16"/>
        </w:rPr>
      </w:pPr>
      <w:bookmarkStart w:id="13" w:name="var_pobo_1"/>
      <w:r>
        <w:rPr>
          <w:vanish/>
          <w:color w:val="FF0000"/>
          <w:sz w:val="16"/>
        </w:rPr>
        <w:lastRenderedPageBreak/>
        <w:t>alternativa zpoplatnění pro klienty v obsluze poboček – klient bude zpoplatněn v souladu se Sazebníkem KB</w:t>
      </w:r>
    </w:p>
    <w:p w:rsidR="004F2AA5" w:rsidRDefault="00234031">
      <w:pPr>
        <w:pStyle w:val="Nadpis1"/>
        <w:keepNext/>
        <w:numPr>
          <w:ilvl w:val="0"/>
          <w:numId w:val="1"/>
        </w:numPr>
        <w:tabs>
          <w:tab w:val="clear" w:pos="567"/>
        </w:tabs>
        <w:spacing w:after="0"/>
      </w:pPr>
      <w:r>
        <w:t xml:space="preserve">Za převzaté obaly je Klient povinen uhradit Bance cenu dle Sazebníku. Cena je splatná při převzetí obalů nebo předmětů. Za každý nepoškozený vratný obal poskytnutý Klientovi Bankou a předaný zpět Bance dle této Smlouvy, poskytne Banka Klientovi obal nový. Za zpracování vkladu hotovosti dle této Smlouvy je Klient povinen uhradit Bance cenu dle Sazebníku. Tato cena je splatná po Bankou provedeném zpracování hotovosti vložené Klientem do obalu. Za ostatní služby poskytnuté Klientovi dle této Smlouvy je Klient povinen hradit Bance ceny stanovené dle platného Sazebníku, přičemž v případě, že tyto služby nejsou v Sazebníku uvedené, je Banka oprávněna za ně účtovat cenu ve výši paušální sazby za 15 minut práce (i započatých) stanovené dle platného Sazebníku za „Ostatní služby v Sazebníku konkrétně neuvedené“. </w:t>
      </w:r>
    </w:p>
    <w:p w:rsidR="004F2AA5" w:rsidRDefault="00234031">
      <w:pPr>
        <w:pStyle w:val="Nadpis1"/>
        <w:tabs>
          <w:tab w:val="clear" w:pos="567"/>
        </w:tabs>
        <w:ind w:left="426"/>
      </w:pPr>
      <w:r>
        <w:t>Banka je oprávněna provádět úhrady cen dle této Smlouvy na vrub Účtu, a to bez dalšího souhlasu Klienta.</w:t>
      </w:r>
    </w:p>
    <w:p w:rsidR="004F2AA5" w:rsidRDefault="00234031">
      <w:pPr>
        <w:rPr>
          <w:vanish/>
          <w:color w:val="FF0000"/>
          <w:sz w:val="16"/>
        </w:rPr>
      </w:pPr>
      <w:bookmarkStart w:id="14" w:name="var_pobo_2"/>
      <w:bookmarkEnd w:id="13"/>
      <w:r>
        <w:rPr>
          <w:vanish/>
          <w:color w:val="FF0000"/>
          <w:sz w:val="16"/>
        </w:rPr>
        <w:t>alternativa zpoplatnění pro klienty v obsluze poboček - klient bude zpoplatněn individuálně</w:t>
      </w:r>
    </w:p>
    <w:p w:rsidR="004F2AA5" w:rsidRDefault="00234031">
      <w:pPr>
        <w:rPr>
          <w:vanish/>
          <w:color w:val="FF0000"/>
          <w:sz w:val="16"/>
        </w:rPr>
      </w:pPr>
      <w:bookmarkStart w:id="15" w:name="var_OC_1"/>
      <w:bookmarkEnd w:id="14"/>
      <w:r>
        <w:rPr>
          <w:vanish/>
          <w:color w:val="FF0000"/>
          <w:sz w:val="16"/>
        </w:rPr>
        <w:t>alternativa zpoplatnění pro klienty v obsluze Korporátní divize nebo útvaru Top Corporations (individuální zpoplatnění na základě uzavírané Univerzální smlouvy</w:t>
      </w:r>
    </w:p>
    <w:p w:rsidR="004F2AA5" w:rsidRDefault="00234031">
      <w:pPr>
        <w:rPr>
          <w:vanish/>
          <w:color w:val="FF0000"/>
          <w:sz w:val="16"/>
        </w:rPr>
      </w:pPr>
      <w:bookmarkStart w:id="16" w:name="var_OC_2"/>
      <w:bookmarkEnd w:id="15"/>
      <w:r>
        <w:rPr>
          <w:vanish/>
          <w:color w:val="FF0000"/>
          <w:sz w:val="16"/>
        </w:rPr>
        <w:t>alternativa zpoplatnění pro klienty v obsluze Korporátní divize nebo útvaru Top Corporations (individuální zpoplatnění na základě Dohody o stanovení individuálních cen</w:t>
      </w:r>
    </w:p>
    <w:bookmarkEnd w:id="16"/>
    <w:p w:rsidR="004F2AA5" w:rsidRDefault="00234031">
      <w:pPr>
        <w:pStyle w:val="Nadpis1"/>
        <w:numPr>
          <w:ilvl w:val="0"/>
          <w:numId w:val="1"/>
        </w:numPr>
        <w:tabs>
          <w:tab w:val="clear" w:pos="567"/>
        </w:tabs>
      </w:pPr>
      <w:r>
        <w:t>Klient není oprávněn provádět jakékoliv úpravy či opravy Bankou předaných obalů a předmětů, ani zhotovovat jejich duplikáty. Klient je povinen využívat obaly pouze pro vlastní potřebu a pro vklady ve prospěch Účtu. Klient odpovídá za škodu vzniklou Bance zneužitím obalu jinou osobou či vkladem na jiný účet.</w:t>
      </w:r>
    </w:p>
    <w:p w:rsidR="004F2AA5" w:rsidRDefault="00234031">
      <w:pPr>
        <w:pStyle w:val="Nadpis1"/>
        <w:numPr>
          <w:ilvl w:val="0"/>
          <w:numId w:val="1"/>
        </w:numPr>
        <w:tabs>
          <w:tab w:val="clear" w:pos="567"/>
        </w:tabs>
      </w:pPr>
      <w:r>
        <w:t>Klient obaly uzavře a zabezpečí takovým způsobem, aby bez poškození obalu nebo jeho uzavření nebylo možné hotovost vyjmout. Klient je povinen opatřit všechny obaly následujícími identifikačními údaji: obchodní firma/název/jméno a příjmení Klienta a datum předání obalu Bance. Obal musí dále obsahovat identifikační číslo složené z čárového kódu a čísla v alfanumerické podobě (dále jen „</w:t>
      </w:r>
      <w:r>
        <w:rPr>
          <w:b/>
        </w:rPr>
        <w:t>Identifikační číslo</w:t>
      </w:r>
      <w:r>
        <w:t>“) nebo plombu s číslem uvedeným v alfanumerické podobě a s čárovým kódem (dále jen „</w:t>
      </w:r>
      <w:r>
        <w:rPr>
          <w:b/>
        </w:rPr>
        <w:t>Plomba s</w:t>
      </w:r>
      <w:r>
        <w:rPr>
          <w:b/>
          <w:bCs w:val="0"/>
        </w:rPr>
        <w:t> </w:t>
      </w:r>
      <w:r>
        <w:rPr>
          <w:b/>
        </w:rPr>
        <w:t>identifikačním číslem</w:t>
      </w:r>
      <w:r>
        <w:t xml:space="preserve">“). Banka může odmítnout převzetí obalu, pokud při přebírání zjistí, že je obal nebo jeho uzavření porušeno nebo obal není opatřen Identifikačním číslem nebo Plombou s identifikačním číslem. </w:t>
      </w:r>
    </w:p>
    <w:p w:rsidR="004F2AA5" w:rsidRDefault="00234031">
      <w:pPr>
        <w:pStyle w:val="Nadpis1"/>
        <w:numPr>
          <w:ilvl w:val="0"/>
          <w:numId w:val="1"/>
        </w:numPr>
        <w:tabs>
          <w:tab w:val="clear" w:pos="567"/>
        </w:tabs>
      </w:pPr>
      <w:r>
        <w:t>Klient bude Bance předávat hotovost balenou v souladu s právními předpisy</w:t>
      </w:r>
      <w:r>
        <w:rPr>
          <w:rStyle w:val="Znakapoznpodarou"/>
          <w:position w:val="0"/>
          <w:vertAlign w:val="superscript"/>
        </w:rPr>
        <w:footnoteReference w:id="1"/>
      </w:r>
      <w:r>
        <w:t xml:space="preserve">, není-li dále uvedeno jinak. Bankovky budou do obalu vkládány roztříděné podle nominálních hodnot, srovnané podle stran a směru tisku. Bankovky téže hodnoty budou vloženy po 100 kusech do balíčků, které budou </w:t>
      </w:r>
      <w:proofErr w:type="spellStart"/>
      <w:r>
        <w:t>přepáskovány</w:t>
      </w:r>
      <w:proofErr w:type="spellEnd"/>
      <w:r>
        <w:t>. Pásky budou označeny názvem měny, počtem kusů, nominální hodnotou bankovek a úhrnnou částkou, obchodní firmou/názvem/jménem a příjmením Klienta včetně názvu provozovny, a opatřeny datem a podpisem osob, které balíček připravily. Mince Kč budou roztříděny podle nominálních hodnot a vloženy do sáčků, které budou označeny obdobným způsobem jako peněžní pásky.</w:t>
      </w:r>
    </w:p>
    <w:p w:rsidR="004F2AA5" w:rsidRDefault="00234031">
      <w:pPr>
        <w:pStyle w:val="Nadpis1"/>
        <w:numPr>
          <w:ilvl w:val="0"/>
          <w:numId w:val="1"/>
        </w:numPr>
        <w:tabs>
          <w:tab w:val="clear" w:pos="567"/>
        </w:tabs>
      </w:pPr>
      <w:r>
        <w:t xml:space="preserve">V případě </w:t>
      </w:r>
      <w:bookmarkStart w:id="17" w:name="_DV_C33"/>
      <w:r>
        <w:t>způsobu</w:t>
      </w:r>
      <w:bookmarkStart w:id="18" w:name="_DV_M38"/>
      <w:bookmarkEnd w:id="17"/>
      <w:bookmarkEnd w:id="18"/>
      <w:r>
        <w:t xml:space="preserve"> vkladu Pokladní přepážka/Dotační box, dle článku 4 této Smlouvy, je Klient oprávněn vložit hotovost do několika obalů s použitím jedné pokladní složenky</w:t>
      </w:r>
      <w:bookmarkStart w:id="19" w:name="_DV_C34"/>
      <w:r>
        <w:t>. Každá pokladní složenka je Příkazem pro účely připsání hotovosti na Účet</w:t>
      </w:r>
      <w:bookmarkStart w:id="20" w:name="_DV_M39"/>
      <w:bookmarkEnd w:id="19"/>
      <w:bookmarkEnd w:id="20"/>
      <w:r>
        <w:t xml:space="preserve">. Klient označí obal, do kterého je vložen originál pokladní složenky heslem „SLOŽENKA“ a číslem označujícím celkový počet předaných obalů vztahujících se k příslušné pokladní složence. Na originál pokladní složenky uvede Klient číslo příslušného Účtu, v jehož prospěch má Banka vkládanou hotovost </w:t>
      </w:r>
      <w:bookmarkStart w:id="21" w:name="_DV_C36"/>
      <w:r>
        <w:t>připsat. Toto číslo Účtu je Jedinečný identifikátor. Na pokladní složence je Klient dále povinen označit nebo výslovně uvést původ vkládané hotovosti. Klient dále na pokladní složence uvede</w:t>
      </w:r>
      <w:bookmarkStart w:id="22" w:name="_DV_M40"/>
      <w:bookmarkEnd w:id="21"/>
      <w:bookmarkEnd w:id="22"/>
      <w:r>
        <w:t xml:space="preserve"> celkovou částku vkládané hotovosti, počet kusů bankovek a mincí jednotlivých nominálních hodnot a jejich částky. Pro účely jednoznačné identifikace provozovny Klienta musí být na pokladní složence uvedena jména, příjmení a podpisy osob, které vložily hotovost do obalu a v poli „Vklad jménem“ název Klienta, resp. jeho provozovny. Pokladní složenka musí být také opatřena razítkem Klienta. V případě, že pokladní složenka nebude obsahovat náležitosti dle tohoto článku, je Banka oprávněna Klienta o zjištěných nedostatcích informovat. V případě, že pokladní složenka nebude obsahovat číslo Účtu, Banka připíše vkládanou hotovost na Účet uvedený ve Smlouvě. Nebude-li možné číslo Účtu ověřit, Banka Příkaz neprovede a kontaktuje Klienta telefonicky nebo elektronickými prostředky za účelem ověření čísla Účtu, v jehož prospěch má být vkládaná hotovost připsána.</w:t>
      </w:r>
    </w:p>
    <w:p w:rsidR="004F2AA5" w:rsidRDefault="00234031">
      <w:pPr>
        <w:spacing w:after="120"/>
        <w:ind w:left="425"/>
      </w:pPr>
      <w:r>
        <w:t>Klient se zavazuje, že hotovost do obalu bude vložena a pokladní složenky budou podepsány pouze osobami, které k tomu budou Klientem oprávněny v rámci vnitřních předpisů Klienta. Na žádost Banky je Klient povinen Bance sdělit identifikační údaje těchto osob a předložit požadované identifikační doklady.</w:t>
      </w:r>
    </w:p>
    <w:p w:rsidR="004F2AA5" w:rsidRDefault="00234031">
      <w:pPr>
        <w:pStyle w:val="Nadpis1"/>
        <w:numPr>
          <w:ilvl w:val="0"/>
          <w:numId w:val="1"/>
        </w:numPr>
        <w:tabs>
          <w:tab w:val="clear" w:pos="567"/>
        </w:tabs>
      </w:pPr>
      <w:bookmarkStart w:id="23" w:name="stvrzenka_N"/>
      <w:r>
        <w:t>Klient souhlasí s tím, že Banka provede jeho Příkaz v částce zjištěné Bankou při</w:t>
      </w:r>
      <w:bookmarkStart w:id="24" w:name="_DV_M41"/>
      <w:bookmarkEnd w:id="24"/>
      <w:r>
        <w:t xml:space="preserve"> zpracování </w:t>
      </w:r>
      <w:bookmarkStart w:id="25" w:name="_DV_C40"/>
      <w:r>
        <w:t xml:space="preserve">obsahu </w:t>
      </w:r>
      <w:bookmarkStart w:id="26" w:name="_DV_M42"/>
      <w:bookmarkEnd w:id="25"/>
      <w:bookmarkEnd w:id="26"/>
      <w:r>
        <w:t>obalu</w:t>
      </w:r>
      <w:bookmarkStart w:id="27" w:name="_DV_C42"/>
      <w:r>
        <w:t xml:space="preserve">. </w:t>
      </w:r>
      <w:bookmarkEnd w:id="27"/>
      <w:r>
        <w:t>Klient dále souhlasí s tím, že</w:t>
      </w:r>
      <w:bookmarkStart w:id="28" w:name="_DV_X47"/>
      <w:bookmarkStart w:id="29" w:name="_DV_C43"/>
      <w:r>
        <w:t xml:space="preserve"> rozhodná</w:t>
      </w:r>
      <w:bookmarkStart w:id="30" w:name="_DV_C44"/>
      <w:bookmarkEnd w:id="28"/>
      <w:bookmarkEnd w:id="29"/>
      <w:r>
        <w:t xml:space="preserve"> částka hotovosti, kterou Banka připíše na Účet v případě, že zjistila</w:t>
      </w:r>
      <w:bookmarkStart w:id="31" w:name="_DV_M43"/>
      <w:bookmarkEnd w:id="30"/>
      <w:bookmarkEnd w:id="31"/>
      <w:r>
        <w:t xml:space="preserve"> rozdíl mezi částkou </w:t>
      </w:r>
      <w:bookmarkStart w:id="32" w:name="_DV_M44"/>
      <w:bookmarkEnd w:id="32"/>
      <w:r>
        <w:t xml:space="preserve">uvedenou </w:t>
      </w:r>
      <w:bookmarkStart w:id="33" w:name="_DV_C45"/>
      <w:r>
        <w:t xml:space="preserve">Klientem </w:t>
      </w:r>
      <w:bookmarkStart w:id="34" w:name="_DV_M46"/>
      <w:bookmarkEnd w:id="33"/>
      <w:bookmarkEnd w:id="34"/>
      <w:r>
        <w:t xml:space="preserve">na pokladní složence a </w:t>
      </w:r>
      <w:bookmarkStart w:id="35" w:name="_DV_C49"/>
      <w:r>
        <w:t>částkou skutečně zjištěnou, je částka</w:t>
      </w:r>
      <w:bookmarkStart w:id="36" w:name="_DV_M49"/>
      <w:bookmarkEnd w:id="35"/>
      <w:bookmarkEnd w:id="36"/>
      <w:r>
        <w:t xml:space="preserve"> zjištěná Bankou při ověření obsahu obalu. </w:t>
      </w:r>
      <w:bookmarkStart w:id="37" w:name="_DV_C50"/>
      <w:r>
        <w:t>Klient proto souhlasí s tím, aby Banka připsala na Účet částku zjištěnou Bankou bez dalšího Příkazu i v tomto případě</w:t>
      </w:r>
      <w:bookmarkStart w:id="38" w:name="_DV_M50"/>
      <w:bookmarkEnd w:id="37"/>
      <w:bookmarkEnd w:id="38"/>
      <w:r>
        <w:t>. O zjištěném rozdílu Banka Klienta neprodleně informuje.</w:t>
      </w:r>
    </w:p>
    <w:bookmarkEnd w:id="23"/>
    <w:p w:rsidR="004F2AA5" w:rsidRDefault="00234031">
      <w:pPr>
        <w:pStyle w:val="Nadpis1"/>
        <w:numPr>
          <w:ilvl w:val="0"/>
          <w:numId w:val="1"/>
        </w:numPr>
        <w:tabs>
          <w:tab w:val="clear" w:pos="567"/>
        </w:tabs>
      </w:pPr>
      <w:r>
        <w:t xml:space="preserve">V případě převzetí obalu Bankou v Obchodní den </w:t>
      </w:r>
      <w:bookmarkStart w:id="39" w:name="_DV_C75"/>
      <w:r>
        <w:t>v časovém limitu uvedeném</w:t>
      </w:r>
      <w:bookmarkStart w:id="40" w:name="_DV_M60"/>
      <w:bookmarkEnd w:id="39"/>
      <w:bookmarkEnd w:id="40"/>
      <w:r>
        <w:t xml:space="preserve"> v článku 4 této Smlouvy </w:t>
      </w:r>
      <w:bookmarkStart w:id="41" w:name="_DV_C77"/>
      <w:r>
        <w:t>nastává okamžik přijetí peněžních prostředků a Okamžik účinnosti Příkazu</w:t>
      </w:r>
      <w:bookmarkStart w:id="42" w:name="_DV_M61"/>
      <w:bookmarkEnd w:id="41"/>
      <w:bookmarkEnd w:id="42"/>
      <w:r>
        <w:t xml:space="preserve"> týž Obchodní den. V případě</w:t>
      </w:r>
      <w:bookmarkStart w:id="43" w:name="_DV_C79"/>
      <w:r>
        <w:t>, že Klient předá hotovost v</w:t>
      </w:r>
      <w:bookmarkStart w:id="44" w:name="_DV_M62"/>
      <w:bookmarkEnd w:id="43"/>
      <w:bookmarkEnd w:id="44"/>
      <w:r>
        <w:t xml:space="preserve"> obalu </w:t>
      </w:r>
      <w:bookmarkStart w:id="45" w:name="_DV_C81"/>
      <w:r>
        <w:t>Bance</w:t>
      </w:r>
      <w:bookmarkStart w:id="46" w:name="_DV_M63"/>
      <w:bookmarkEnd w:id="45"/>
      <w:bookmarkEnd w:id="46"/>
      <w:r>
        <w:t xml:space="preserve"> v Obchodní den po </w:t>
      </w:r>
      <w:bookmarkStart w:id="47" w:name="_DV_C83"/>
      <w:r>
        <w:t>časovém limitu</w:t>
      </w:r>
      <w:bookmarkStart w:id="48" w:name="_DV_M64"/>
      <w:bookmarkEnd w:id="47"/>
      <w:bookmarkEnd w:id="48"/>
      <w:r>
        <w:t xml:space="preserve"> uvedeném v článku 4 této Smlouvy nebo mimo Obchodní den</w:t>
      </w:r>
      <w:bookmarkStart w:id="49" w:name="_DV_C85"/>
      <w:r>
        <w:t>, okamžik přijetí peněžních prostředků a Okamžik účinnosti Příkazu nastává</w:t>
      </w:r>
      <w:bookmarkStart w:id="50" w:name="_DV_M65"/>
      <w:bookmarkEnd w:id="49"/>
      <w:bookmarkEnd w:id="50"/>
      <w:r>
        <w:t xml:space="preserve"> následující Obchodní den. V případě, že vkládaná hotovost bude v odlišné měně od měny příslušného Účtu, provede Banka přepočet vkládané hotovosti dle Kurzu platného v okamžiku zúčtování.</w:t>
      </w:r>
    </w:p>
    <w:p w:rsidR="004F2AA5" w:rsidRDefault="00234031">
      <w:pPr>
        <w:pStyle w:val="Nadpis1"/>
        <w:numPr>
          <w:ilvl w:val="0"/>
          <w:numId w:val="1"/>
        </w:numPr>
        <w:tabs>
          <w:tab w:val="clear" w:pos="567"/>
        </w:tabs>
      </w:pPr>
      <w:r>
        <w:lastRenderedPageBreak/>
        <w:t>Banka připíše na Účet v okamžiku přijetí peněžních prostředků částku hotovosti zjištěnou při zpracování.</w:t>
      </w:r>
    </w:p>
    <w:p w:rsidR="004F2AA5" w:rsidRDefault="00234031">
      <w:pPr>
        <w:pStyle w:val="Nadpis1"/>
        <w:numPr>
          <w:ilvl w:val="0"/>
          <w:numId w:val="1"/>
        </w:numPr>
        <w:tabs>
          <w:tab w:val="clear" w:pos="567"/>
        </w:tabs>
      </w:pPr>
      <w:r>
        <w:t xml:space="preserve">Smlouva zaniká zánikem smlouvy o zřízení a vedení posledního z Účtů. Smlouva dále zaniká písemnou výpovědí Klienta nebo Banky. Výpověď nabývá účinnosti 7. Obchodní den po doručení výpovědi druhé smluvní straně. </w:t>
      </w:r>
      <w:bookmarkStart w:id="51" w:name="_DV_C90"/>
      <w:r>
        <w:t xml:space="preserve">To neplatí, pokud jde o výpověď Banky a Klientem je Klient – </w:t>
      </w:r>
      <w:proofErr w:type="spellStart"/>
      <w:r>
        <w:t>mikropodnikatel</w:t>
      </w:r>
      <w:proofErr w:type="spellEnd"/>
      <w:r>
        <w:t>. V takovém případě platí ustanovení</w:t>
      </w:r>
      <w:bookmarkEnd w:id="51"/>
      <w:r>
        <w:t xml:space="preserve"> Všeobecných podmínek</w:t>
      </w:r>
      <w:bookmarkStart w:id="52" w:name="_DV_C91"/>
      <w:r>
        <w:t>. Právo Banky odstoupit od Smlouvy v souladu s Všeobecnými podmínkami</w:t>
      </w:r>
      <w:bookmarkStart w:id="53" w:name="_DV_M67"/>
      <w:bookmarkEnd w:id="52"/>
      <w:bookmarkEnd w:id="53"/>
      <w:r>
        <w:t xml:space="preserve"> není dotčeno.</w:t>
      </w:r>
    </w:p>
    <w:p w:rsidR="004F2AA5" w:rsidRDefault="00234031">
      <w:pPr>
        <w:pStyle w:val="Nadpis1"/>
        <w:numPr>
          <w:ilvl w:val="0"/>
          <w:numId w:val="1"/>
        </w:numPr>
        <w:tabs>
          <w:tab w:val="clear" w:pos="567"/>
        </w:tabs>
      </w:pPr>
      <w:r>
        <w:t xml:space="preserve">Smlouva se uzavírá na dobu neurčitou. </w:t>
      </w:r>
      <w:r>
        <w:rPr>
          <w:shd w:val="clear" w:color="auto" w:fill="FFFFFF"/>
        </w:rPr>
        <w:t xml:space="preserve">Zavazujete se odeslat tuto smlouvu (včetně všech dokumentů, které tvoří její součást) k uveřejnění v registru smluv bez prodlení po jejím uzavření. Dále se zavazujete, že obdržíme potvrzení o uveřejnění v registru smluv zasílané správcem registru smluv na naši e-mailovou adresu </w:t>
      </w:r>
      <w:hyperlink r:id="rId8" w:history="1">
        <w:r>
          <w:rPr>
            <w:rStyle w:val="Hypertextovodkaz"/>
          </w:rPr>
          <w:t>CPP5020TV@kb.cz</w:t>
        </w:r>
      </w:hyperlink>
      <w:r>
        <w:t>.</w:t>
      </w:r>
      <w:r>
        <w:rPr>
          <w:shd w:val="clear" w:color="auto" w:fill="FFFFFF"/>
        </w:rPr>
        <w:t xml:space="preserve"> Za tím účelem vám zašleme znění této smlouvy (včetně všech dokumentů, které tvoří její součást) na e-mailovou adresu </w:t>
      </w:r>
      <w:r>
        <w:t>banikovama@ms6.plzen-edu.cz.</w:t>
      </w:r>
    </w:p>
    <w:p w:rsidR="004F2AA5" w:rsidRDefault="00234031">
      <w:pPr>
        <w:pStyle w:val="Nadpis1"/>
        <w:numPr>
          <w:ilvl w:val="0"/>
          <w:numId w:val="1"/>
        </w:numPr>
        <w:tabs>
          <w:tab w:val="clear" w:pos="567"/>
        </w:tabs>
        <w:spacing w:after="0"/>
      </w:pPr>
      <w:r>
        <w:t xml:space="preserve">Smlouva nabývá platnosti dnem uzavření a účinnosti dnem </w:t>
      </w:r>
      <w:r>
        <w:rPr>
          <w:b/>
          <w:iCs/>
        </w:rPr>
        <w:t>23.10.2017</w:t>
      </w:r>
      <w:r>
        <w:rPr>
          <w:iCs/>
        </w:rPr>
        <w:t>.</w:t>
      </w:r>
      <w:r>
        <w:t xml:space="preserve"> </w:t>
      </w:r>
    </w:p>
    <w:p w:rsidR="004F2AA5" w:rsidRDefault="004F2AA5"/>
    <w:p w:rsidR="004F2AA5" w:rsidRDefault="004F2AA5">
      <w:pPr>
        <w:tabs>
          <w:tab w:val="left" w:pos="426"/>
          <w:tab w:val="left" w:pos="3544"/>
          <w:tab w:val="left" w:pos="5670"/>
        </w:tabs>
        <w:rPr>
          <w:iCs/>
        </w:rPr>
      </w:pPr>
    </w:p>
    <w:tbl>
      <w:tblPr>
        <w:tblW w:w="9640" w:type="dxa"/>
        <w:tblLayout w:type="fixed"/>
        <w:tblCellMar>
          <w:left w:w="10" w:type="dxa"/>
          <w:right w:w="10" w:type="dxa"/>
        </w:tblCellMar>
        <w:tblLook w:val="0000" w:firstRow="0" w:lastRow="0" w:firstColumn="0" w:lastColumn="0" w:noHBand="0" w:noVBand="0"/>
      </w:tblPr>
      <w:tblGrid>
        <w:gridCol w:w="4820"/>
        <w:gridCol w:w="4820"/>
      </w:tblGrid>
      <w:tr w:rsidR="004F2AA5">
        <w:trPr>
          <w:cantSplit/>
        </w:trPr>
        <w:tc>
          <w:tcPr>
            <w:tcW w:w="4820" w:type="dxa"/>
            <w:shd w:val="clear" w:color="auto" w:fill="auto"/>
            <w:tcMar>
              <w:top w:w="0" w:type="dxa"/>
              <w:left w:w="70" w:type="dxa"/>
              <w:bottom w:w="0" w:type="dxa"/>
              <w:right w:w="70" w:type="dxa"/>
            </w:tcMar>
          </w:tcPr>
          <w:p w:rsidR="004F2AA5" w:rsidRDefault="004F2AA5">
            <w:pPr>
              <w:rPr>
                <w:sz w:val="8"/>
              </w:rPr>
            </w:pPr>
            <w:bookmarkStart w:id="54" w:name="podpisy"/>
          </w:p>
          <w:p w:rsidR="004F2AA5" w:rsidRDefault="00234031">
            <w:r>
              <w:t xml:space="preserve">V </w:t>
            </w:r>
            <w:bookmarkStart w:id="55" w:name="v"/>
            <w:bookmarkEnd w:id="55"/>
            <w:r>
              <w:t xml:space="preserve">Plzni dne </w:t>
            </w:r>
            <w:bookmarkStart w:id="56" w:name="dne"/>
            <w:bookmarkEnd w:id="56"/>
            <w:r>
              <w:t>23.10.2017</w:t>
            </w:r>
          </w:p>
          <w:p w:rsidR="004F2AA5" w:rsidRDefault="00234031">
            <w:pPr>
              <w:rPr>
                <w:b/>
              </w:rPr>
            </w:pPr>
            <w:bookmarkStart w:id="57" w:name="zaklienta"/>
            <w:bookmarkEnd w:id="57"/>
            <w:r>
              <w:rPr>
                <w:b/>
              </w:rPr>
              <w:t>6. mateřská škola Plzeň, Republikánská 25, příspěvková organizace</w:t>
            </w:r>
          </w:p>
          <w:p w:rsidR="004F2AA5" w:rsidRDefault="004F2AA5">
            <w:pPr>
              <w:rPr>
                <w:b/>
              </w:rPr>
            </w:pPr>
            <w:bookmarkStart w:id="58" w:name="obchjm"/>
            <w:bookmarkEnd w:id="58"/>
          </w:p>
          <w:p w:rsidR="004F2AA5" w:rsidRDefault="004F2AA5"/>
          <w:p w:rsidR="004F2AA5" w:rsidRDefault="00234031">
            <w:pPr>
              <w:tabs>
                <w:tab w:val="left" w:pos="4536"/>
                <w:tab w:val="left" w:pos="4962"/>
                <w:tab w:val="left" w:pos="8931"/>
              </w:tabs>
            </w:pPr>
            <w:r>
              <w:tab/>
            </w:r>
          </w:p>
          <w:p w:rsidR="004F2AA5" w:rsidRDefault="00234031">
            <w:pPr>
              <w:tabs>
                <w:tab w:val="left" w:leader="underscore" w:pos="4536"/>
                <w:tab w:val="left" w:pos="4962"/>
                <w:tab w:val="left" w:leader="dot" w:pos="8931"/>
              </w:tabs>
              <w:rPr>
                <w:sz w:val="12"/>
              </w:rPr>
            </w:pPr>
            <w:r>
              <w:rPr>
                <w:position w:val="10"/>
                <w:sz w:val="12"/>
              </w:rPr>
              <w:tab/>
            </w:r>
          </w:p>
          <w:p w:rsidR="004F2AA5" w:rsidRDefault="00234031">
            <w:pPr>
              <w:spacing w:after="120"/>
              <w:rPr>
                <w:sz w:val="16"/>
                <w:szCs w:val="16"/>
              </w:rPr>
            </w:pPr>
            <w:r>
              <w:rPr>
                <w:sz w:val="16"/>
                <w:szCs w:val="16"/>
              </w:rPr>
              <w:t>vlastnoruční podpis</w:t>
            </w:r>
          </w:p>
          <w:p w:rsidR="004F2AA5" w:rsidRDefault="00234031">
            <w:pPr>
              <w:tabs>
                <w:tab w:val="left" w:pos="851"/>
              </w:tabs>
              <w:rPr>
                <w:b/>
              </w:rPr>
            </w:pPr>
            <w:r>
              <w:rPr>
                <w:b/>
              </w:rPr>
              <w:t>Jméno:</w:t>
            </w:r>
            <w:r>
              <w:rPr>
                <w:b/>
              </w:rPr>
              <w:tab/>
            </w:r>
            <w:bookmarkStart w:id="59" w:name="zmocos"/>
            <w:bookmarkStart w:id="60" w:name="_GoBack"/>
            <w:bookmarkEnd w:id="59"/>
            <w:bookmarkEnd w:id="60"/>
          </w:p>
          <w:p w:rsidR="004F2AA5" w:rsidRDefault="00234031">
            <w:pPr>
              <w:ind w:left="851" w:hanging="851"/>
              <w:rPr>
                <w:b/>
              </w:rPr>
            </w:pPr>
            <w:r>
              <w:rPr>
                <w:b/>
              </w:rPr>
              <w:t>Funkce:</w:t>
            </w:r>
            <w:r>
              <w:rPr>
                <w:b/>
              </w:rPr>
              <w:tab/>
            </w:r>
            <w:bookmarkStart w:id="61" w:name="funkcezo"/>
            <w:bookmarkEnd w:id="61"/>
            <w:r>
              <w:rPr>
                <w:b/>
              </w:rPr>
              <w:t>ředitel</w:t>
            </w:r>
          </w:p>
          <w:p w:rsidR="004F2AA5" w:rsidRDefault="004F2AA5">
            <w:pPr>
              <w:tabs>
                <w:tab w:val="left" w:pos="1276"/>
              </w:tabs>
            </w:pPr>
          </w:p>
        </w:tc>
        <w:tc>
          <w:tcPr>
            <w:tcW w:w="4820" w:type="dxa"/>
            <w:shd w:val="clear" w:color="auto" w:fill="auto"/>
            <w:tcMar>
              <w:top w:w="0" w:type="dxa"/>
              <w:left w:w="70" w:type="dxa"/>
              <w:bottom w:w="0" w:type="dxa"/>
              <w:right w:w="70" w:type="dxa"/>
            </w:tcMar>
          </w:tcPr>
          <w:p w:rsidR="004F2AA5" w:rsidRDefault="004F2AA5">
            <w:pPr>
              <w:ind w:right="22"/>
              <w:rPr>
                <w:sz w:val="8"/>
              </w:rPr>
            </w:pPr>
            <w:bookmarkStart w:id="62" w:name="banka_podpis"/>
          </w:p>
          <w:p w:rsidR="004F2AA5" w:rsidRDefault="00234031">
            <w:pPr>
              <w:ind w:right="22"/>
            </w:pPr>
            <w:r>
              <w:t xml:space="preserve">V </w:t>
            </w:r>
            <w:bookmarkStart w:id="63" w:name="v1"/>
            <w:bookmarkEnd w:id="63"/>
            <w:r>
              <w:t xml:space="preserve">Plzni dne </w:t>
            </w:r>
            <w:bookmarkStart w:id="64" w:name="dne1"/>
            <w:bookmarkEnd w:id="64"/>
            <w:r>
              <w:t>23.10.2017</w:t>
            </w:r>
          </w:p>
          <w:p w:rsidR="004F2AA5" w:rsidRDefault="00234031">
            <w:pPr>
              <w:ind w:right="22"/>
              <w:rPr>
                <w:b/>
              </w:rPr>
            </w:pPr>
            <w:r>
              <w:rPr>
                <w:b/>
              </w:rPr>
              <w:t>Komerční banka, a.s.</w:t>
            </w:r>
          </w:p>
          <w:p w:rsidR="004F2AA5" w:rsidRDefault="004F2AA5">
            <w:pPr>
              <w:ind w:right="22"/>
            </w:pPr>
          </w:p>
          <w:p w:rsidR="004F2AA5" w:rsidRDefault="004F2AA5">
            <w:pPr>
              <w:ind w:right="22"/>
            </w:pPr>
          </w:p>
          <w:p w:rsidR="004F2AA5" w:rsidRDefault="004F2AA5">
            <w:pPr>
              <w:tabs>
                <w:tab w:val="left" w:pos="4536"/>
                <w:tab w:val="left" w:pos="4962"/>
                <w:tab w:val="left" w:pos="8931"/>
              </w:tabs>
            </w:pPr>
          </w:p>
          <w:p w:rsidR="004F2AA5" w:rsidRDefault="00234031">
            <w:pPr>
              <w:tabs>
                <w:tab w:val="left" w:pos="4536"/>
                <w:tab w:val="left" w:pos="4962"/>
                <w:tab w:val="left" w:pos="8931"/>
              </w:tabs>
            </w:pPr>
            <w:r>
              <w:tab/>
            </w:r>
          </w:p>
          <w:p w:rsidR="004F2AA5" w:rsidRDefault="00234031">
            <w:pPr>
              <w:tabs>
                <w:tab w:val="left" w:leader="underscore" w:pos="4536"/>
                <w:tab w:val="left" w:pos="4962"/>
                <w:tab w:val="left" w:leader="dot" w:pos="8931"/>
              </w:tabs>
              <w:rPr>
                <w:sz w:val="12"/>
              </w:rPr>
            </w:pPr>
            <w:r>
              <w:rPr>
                <w:position w:val="10"/>
                <w:sz w:val="12"/>
              </w:rPr>
              <w:tab/>
            </w:r>
          </w:p>
          <w:p w:rsidR="004F2AA5" w:rsidRDefault="00234031">
            <w:pPr>
              <w:spacing w:after="120"/>
              <w:rPr>
                <w:sz w:val="16"/>
                <w:szCs w:val="16"/>
              </w:rPr>
            </w:pPr>
            <w:r>
              <w:rPr>
                <w:sz w:val="16"/>
                <w:szCs w:val="16"/>
              </w:rPr>
              <w:t>vlastnoruční podpis</w:t>
            </w:r>
          </w:p>
          <w:p w:rsidR="004F2AA5" w:rsidRDefault="00234031">
            <w:pPr>
              <w:tabs>
                <w:tab w:val="left" w:pos="851"/>
              </w:tabs>
              <w:rPr>
                <w:b/>
              </w:rPr>
            </w:pPr>
            <w:r>
              <w:rPr>
                <w:b/>
              </w:rPr>
              <w:t>Jméno:</w:t>
            </w:r>
            <w:r>
              <w:rPr>
                <w:b/>
              </w:rPr>
              <w:tab/>
            </w:r>
            <w:bookmarkStart w:id="65" w:name="prac1"/>
            <w:bookmarkEnd w:id="65"/>
          </w:p>
          <w:p w:rsidR="004F2AA5" w:rsidRDefault="00234031">
            <w:pPr>
              <w:ind w:left="851" w:hanging="851"/>
              <w:rPr>
                <w:b/>
              </w:rPr>
            </w:pPr>
            <w:r>
              <w:rPr>
                <w:b/>
              </w:rPr>
              <w:t>Funkce:</w:t>
            </w:r>
            <w:r>
              <w:rPr>
                <w:b/>
              </w:rPr>
              <w:tab/>
            </w:r>
            <w:bookmarkStart w:id="66" w:name="funkb1"/>
            <w:bookmarkEnd w:id="66"/>
          </w:p>
          <w:p w:rsidR="004F2AA5" w:rsidRDefault="004F2AA5">
            <w:bookmarkStart w:id="67" w:name="vlozpod"/>
            <w:bookmarkStart w:id="68" w:name="vloz"/>
            <w:bookmarkEnd w:id="67"/>
            <w:bookmarkEnd w:id="68"/>
          </w:p>
          <w:bookmarkEnd w:id="62"/>
          <w:p w:rsidR="004F2AA5" w:rsidRDefault="004F2AA5">
            <w:pPr>
              <w:rPr>
                <w:sz w:val="8"/>
              </w:rPr>
            </w:pPr>
          </w:p>
        </w:tc>
      </w:tr>
    </w:tbl>
    <w:p w:rsidR="004F2AA5" w:rsidRDefault="004F2AA5">
      <w:bookmarkStart w:id="69" w:name="p1"/>
      <w:bookmarkStart w:id="70" w:name="p2"/>
      <w:bookmarkEnd w:id="54"/>
      <w:bookmarkEnd w:id="69"/>
      <w:bookmarkEnd w:id="70"/>
    </w:p>
    <w:p w:rsidR="004F2AA5" w:rsidRDefault="004F2AA5">
      <w:pPr>
        <w:ind w:left="426" w:hanging="426"/>
      </w:pPr>
    </w:p>
    <w:sectPr w:rsidR="004F2AA5">
      <w:headerReference w:type="default" r:id="rId9"/>
      <w:footerReference w:type="default" r:id="rId10"/>
      <w:pgSz w:w="11907" w:h="16840"/>
      <w:pgMar w:top="2552" w:right="1134" w:bottom="1588" w:left="1134" w:header="454" w:footer="3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58A" w:rsidRDefault="00234031">
      <w:r>
        <w:separator/>
      </w:r>
    </w:p>
  </w:endnote>
  <w:endnote w:type="continuationSeparator" w:id="0">
    <w:p w:rsidR="00C0758A" w:rsidRDefault="002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KBlogo">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10" w:type="dxa"/>
        <w:right w:w="10" w:type="dxa"/>
      </w:tblCellMar>
      <w:tblLook w:val="0000" w:firstRow="0" w:lastRow="0" w:firstColumn="0" w:lastColumn="0" w:noHBand="0" w:noVBand="0"/>
    </w:tblPr>
    <w:tblGrid>
      <w:gridCol w:w="5601"/>
      <w:gridCol w:w="4038"/>
    </w:tblGrid>
    <w:tr w:rsidR="008644B5">
      <w:trPr>
        <w:trHeight w:val="716"/>
      </w:trPr>
      <w:tc>
        <w:tcPr>
          <w:tcW w:w="5601" w:type="dxa"/>
          <w:shd w:val="clear" w:color="auto" w:fill="auto"/>
          <w:tcMar>
            <w:top w:w="0" w:type="dxa"/>
            <w:left w:w="0" w:type="dxa"/>
            <w:bottom w:w="0" w:type="dxa"/>
            <w:right w:w="0" w:type="dxa"/>
          </w:tcMar>
        </w:tcPr>
        <w:p w:rsidR="008644B5" w:rsidRDefault="00234031">
          <w:pPr>
            <w:pStyle w:val="kbFixedtext"/>
            <w:spacing w:before="100"/>
          </w:pPr>
          <w:r>
            <w:t xml:space="preserve">Komerční banka, a.s., se sídlem: </w:t>
          </w:r>
        </w:p>
        <w:p w:rsidR="008644B5" w:rsidRDefault="00234031">
          <w:pPr>
            <w:pStyle w:val="kbFixedtext"/>
          </w:pPr>
          <w:r>
            <w:t>Praha 1, Na Příkopě 33 čp. 969, PSČ 114 07, IČO: 45317054</w:t>
          </w:r>
        </w:p>
        <w:p w:rsidR="008644B5" w:rsidRDefault="00234031">
          <w:pPr>
            <w:pStyle w:val="kbRegistration"/>
          </w:pPr>
          <w:r>
            <w:t>ZAPSANÁ V OBCHODNÍM REJSTŘÍKU VEDENÉM MĚSTSKÝm SOUDEM V PRAZE, ODDÍL B, VLOŽKA 1360</w:t>
          </w:r>
        </w:p>
      </w:tc>
      <w:tc>
        <w:tcPr>
          <w:tcW w:w="4038" w:type="dxa"/>
          <w:shd w:val="clear" w:color="auto" w:fill="auto"/>
          <w:tcMar>
            <w:top w:w="0" w:type="dxa"/>
            <w:left w:w="0" w:type="dxa"/>
            <w:bottom w:w="0" w:type="dxa"/>
            <w:right w:w="0" w:type="dxa"/>
          </w:tcMar>
        </w:tcPr>
        <w:p w:rsidR="008644B5" w:rsidRDefault="00234031">
          <w:pPr>
            <w:pStyle w:val="kbFixedtext"/>
            <w:spacing w:before="100"/>
            <w:jc w:val="right"/>
          </w:pPr>
          <w:r>
            <w:fldChar w:fldCharType="begin"/>
          </w:r>
          <w:r>
            <w:instrText xml:space="preserve"> PAGE </w:instrText>
          </w:r>
          <w:r>
            <w:fldChar w:fldCharType="separate"/>
          </w:r>
          <w:r w:rsidR="004A5B07">
            <w:rPr>
              <w:noProof/>
            </w:rPr>
            <w:t>4</w:t>
          </w:r>
          <w:r>
            <w:fldChar w:fldCharType="end"/>
          </w:r>
          <w:r>
            <w:t>/</w:t>
          </w:r>
          <w:fldSimple w:instr=" NUMPAGES ">
            <w:r w:rsidR="004A5B07">
              <w:rPr>
                <w:noProof/>
              </w:rPr>
              <w:t>4</w:t>
            </w:r>
          </w:fldSimple>
        </w:p>
        <w:p w:rsidR="008644B5" w:rsidRDefault="00234031">
          <w:pPr>
            <w:pStyle w:val="Registration"/>
            <w:jc w:val="right"/>
          </w:pPr>
          <w:r>
            <w:t>Datum účinnosti šablony 15. 9. 2015</w:t>
          </w:r>
        </w:p>
        <w:p w:rsidR="008644B5" w:rsidRDefault="00234031">
          <w:pPr>
            <w:pStyle w:val="Registration"/>
            <w:jc w:val="right"/>
          </w:pPr>
          <w:r>
            <w:t xml:space="preserve">Ver f SMLUNIO.DOT </w:t>
          </w:r>
          <w:r>
            <w:fldChar w:fldCharType="begin"/>
          </w:r>
          <w:r>
            <w:instrText xml:space="preserve"> DATE \@ "d'.'M'.'yyyy" </w:instrText>
          </w:r>
          <w:r>
            <w:fldChar w:fldCharType="separate"/>
          </w:r>
          <w:r w:rsidR="004A5B07">
            <w:rPr>
              <w:noProof/>
            </w:rPr>
            <w:t>24.10.2017</w:t>
          </w:r>
          <w:r>
            <w:fldChar w:fldCharType="end"/>
          </w:r>
          <w:r>
            <w:t xml:space="preserve"> </w:t>
          </w:r>
          <w:r>
            <w:fldChar w:fldCharType="begin"/>
          </w:r>
          <w:r>
            <w:instrText xml:space="preserve"> DATE \@ "H':'mm':'ss" </w:instrText>
          </w:r>
          <w:r>
            <w:fldChar w:fldCharType="separate"/>
          </w:r>
          <w:r w:rsidR="004A5B07">
            <w:rPr>
              <w:noProof/>
            </w:rPr>
            <w:t>11:13:49</w:t>
          </w:r>
          <w:r>
            <w:fldChar w:fldCharType="end"/>
          </w:r>
        </w:p>
      </w:tc>
    </w:tr>
  </w:tbl>
  <w:p w:rsidR="008644B5" w:rsidRDefault="004A5B07">
    <w:pPr>
      <w:pStyle w:val="Zpat"/>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58A" w:rsidRDefault="00234031">
      <w:r>
        <w:rPr>
          <w:color w:val="000000"/>
        </w:rPr>
        <w:separator/>
      </w:r>
    </w:p>
  </w:footnote>
  <w:footnote w:type="continuationSeparator" w:id="0">
    <w:p w:rsidR="00C0758A" w:rsidRDefault="00234031">
      <w:r>
        <w:continuationSeparator/>
      </w:r>
    </w:p>
  </w:footnote>
  <w:footnote w:id="1">
    <w:p w:rsidR="004F2AA5" w:rsidRDefault="00234031">
      <w:pPr>
        <w:pStyle w:val="Textpoznpodarou"/>
        <w:ind w:left="284" w:hanging="284"/>
      </w:pPr>
      <w:r>
        <w:rPr>
          <w:rStyle w:val="Znakapoznpodarou"/>
        </w:rPr>
        <w:footnoteRef/>
      </w:r>
      <w:r>
        <w:rPr>
          <w:sz w:val="16"/>
          <w:szCs w:val="16"/>
        </w:rPr>
        <w:tab/>
        <w:t xml:space="preserve">zejména </w:t>
      </w:r>
      <w:proofErr w:type="spellStart"/>
      <w:r>
        <w:rPr>
          <w:sz w:val="16"/>
          <w:szCs w:val="16"/>
        </w:rPr>
        <w:t>z.č</w:t>
      </w:r>
      <w:proofErr w:type="spellEnd"/>
      <w:r>
        <w:rPr>
          <w:sz w:val="16"/>
          <w:szCs w:val="16"/>
        </w:rPr>
        <w:t>. 136/2011 Sb., o oběhu bankovek a mincí, ve znění pozdějších předpisů, a související prováděcí předpisy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13" w:type="dxa"/>
      <w:tblInd w:w="-170" w:type="dxa"/>
      <w:tblLayout w:type="fixed"/>
      <w:tblCellMar>
        <w:left w:w="10" w:type="dxa"/>
        <w:right w:w="10" w:type="dxa"/>
      </w:tblCellMar>
      <w:tblLook w:val="0000" w:firstRow="0" w:lastRow="0" w:firstColumn="0" w:lastColumn="0" w:noHBand="0" w:noVBand="0"/>
    </w:tblPr>
    <w:tblGrid>
      <w:gridCol w:w="5343"/>
      <w:gridCol w:w="5670"/>
    </w:tblGrid>
    <w:tr w:rsidR="008644B5">
      <w:tc>
        <w:tcPr>
          <w:tcW w:w="5343" w:type="dxa"/>
          <w:shd w:val="clear" w:color="auto" w:fill="auto"/>
          <w:tcMar>
            <w:top w:w="0" w:type="dxa"/>
            <w:left w:w="70" w:type="dxa"/>
            <w:bottom w:w="0" w:type="dxa"/>
            <w:right w:w="70" w:type="dxa"/>
          </w:tcMar>
        </w:tcPr>
        <w:p w:rsidR="008644B5" w:rsidRDefault="00234031">
          <w:r>
            <w:rPr>
              <w:rFonts w:ascii="KBlogo" w:hAnsi="KBlogo" w:cs="KBlogo"/>
              <w:sz w:val="108"/>
              <w:szCs w:val="108"/>
            </w:rPr>
            <w:t></w:t>
          </w:r>
        </w:p>
      </w:tc>
      <w:tc>
        <w:tcPr>
          <w:tcW w:w="5670" w:type="dxa"/>
          <w:shd w:val="clear" w:color="auto" w:fill="auto"/>
          <w:tcMar>
            <w:top w:w="0" w:type="dxa"/>
            <w:left w:w="70" w:type="dxa"/>
            <w:bottom w:w="0" w:type="dxa"/>
            <w:right w:w="70" w:type="dxa"/>
          </w:tcMar>
        </w:tcPr>
        <w:p w:rsidR="008644B5" w:rsidRDefault="00234031">
          <w:pPr>
            <w:pStyle w:val="kbDocumentnameextrenal"/>
            <w:tabs>
              <w:tab w:val="clear" w:pos="6167"/>
              <w:tab w:val="right" w:pos="4466"/>
            </w:tabs>
            <w:spacing w:before="360"/>
          </w:pPr>
          <w:r>
            <w:tab/>
            <w:t>Univerzální smlouva o předávání</w:t>
          </w:r>
          <w:r>
            <w:br/>
          </w:r>
          <w:r>
            <w:tab/>
            <w:t>hotovosti v </w:t>
          </w:r>
          <w:r>
            <w:rPr>
              <w:spacing w:val="-4"/>
            </w:rPr>
            <w:t>obalech</w:t>
          </w:r>
        </w:p>
      </w:tc>
    </w:tr>
  </w:tbl>
  <w:p w:rsidR="008644B5" w:rsidRDefault="004A5B07">
    <w:pPr>
      <w:pStyle w:val="Zhlav"/>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43D66"/>
    <w:multiLevelType w:val="multilevel"/>
    <w:tmpl w:val="5B346618"/>
    <w:lvl w:ilvl="0">
      <w:start w:val="1"/>
      <w:numFmt w:val="decimal"/>
      <w:lvlText w:val="%1."/>
      <w:lvlJc w:val="left"/>
      <w:pPr>
        <w:ind w:left="425" w:hanging="425"/>
      </w:pPr>
      <w:rPr>
        <w:rFonts w:ascii="Arial" w:hAnsi="Arial"/>
        <w:b w:val="0"/>
        <w:i w:val="0"/>
        <w:strike w:val="0"/>
        <w:dstrike w:val="0"/>
        <w:vanish w:val="0"/>
        <w:color w:val="auto"/>
        <w:position w:val="0"/>
        <w:sz w:val="18"/>
        <w:szCs w:val="1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6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F2AA5"/>
    <w:rsid w:val="00234031"/>
    <w:rsid w:val="004A5B07"/>
    <w:rsid w:val="004F2AA5"/>
    <w:rsid w:val="00C075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overflowPunct w:val="0"/>
      <w:autoSpaceDE w:val="0"/>
      <w:jc w:val="both"/>
    </w:pPr>
    <w:rPr>
      <w:rFonts w:ascii="Arial" w:hAnsi="Arial" w:cs="Arial"/>
      <w:sz w:val="18"/>
      <w:szCs w:val="18"/>
    </w:rPr>
  </w:style>
  <w:style w:type="paragraph" w:styleId="Nadpis1">
    <w:name w:val="heading 1"/>
    <w:basedOn w:val="Normln"/>
    <w:next w:val="Normln"/>
    <w:pPr>
      <w:tabs>
        <w:tab w:val="left" w:pos="567"/>
      </w:tabs>
      <w:spacing w:after="120"/>
      <w:outlineLvl w:val="0"/>
    </w:pPr>
    <w:rPr>
      <w:bCs/>
    </w:rPr>
  </w:style>
  <w:style w:type="paragraph" w:styleId="Nadpis2">
    <w:name w:val="heading 2"/>
    <w:basedOn w:val="Normln"/>
    <w:next w:val="Normln"/>
    <w:pPr>
      <w:tabs>
        <w:tab w:val="left" w:pos="567"/>
      </w:tabs>
      <w:spacing w:before="120"/>
      <w:outlineLvl w:val="1"/>
    </w:pPr>
    <w:rPr>
      <w:b/>
      <w:bCs/>
      <w:sz w:val="24"/>
      <w:szCs w:val="24"/>
    </w:rPr>
  </w:style>
  <w:style w:type="paragraph" w:styleId="Nadpis3">
    <w:name w:val="heading 3"/>
    <w:basedOn w:val="Normln"/>
    <w:next w:val="Normln"/>
    <w:pPr>
      <w:tabs>
        <w:tab w:val="left" w:pos="567"/>
      </w:tabs>
      <w:outlineLvl w:val="2"/>
    </w:pPr>
    <w:rPr>
      <w:b/>
      <w:bCs/>
    </w:rPr>
  </w:style>
  <w:style w:type="paragraph" w:styleId="Nadpis4">
    <w:name w:val="heading 4"/>
    <w:basedOn w:val="Normln"/>
    <w:next w:val="Normlnodsazen"/>
    <w:pPr>
      <w:ind w:left="283"/>
      <w:outlineLvl w:val="3"/>
    </w:pPr>
    <w:rPr>
      <w:sz w:val="24"/>
      <w:szCs w:val="24"/>
      <w:u w:val="single"/>
    </w:rPr>
  </w:style>
  <w:style w:type="paragraph" w:styleId="Nadpis5">
    <w:name w:val="heading 5"/>
    <w:basedOn w:val="Normln"/>
    <w:next w:val="Normlnodsazen"/>
    <w:pPr>
      <w:ind w:left="567"/>
      <w:outlineLvl w:val="4"/>
    </w:pPr>
    <w:rPr>
      <w:b/>
      <w:bCs/>
    </w:rPr>
  </w:style>
  <w:style w:type="paragraph" w:styleId="Nadpis6">
    <w:name w:val="heading 6"/>
    <w:basedOn w:val="Normln"/>
    <w:next w:val="Normlnodsazen"/>
    <w:pPr>
      <w:ind w:left="567"/>
      <w:outlineLvl w:val="5"/>
    </w:pPr>
    <w:rPr>
      <w:u w:val="single"/>
    </w:rPr>
  </w:style>
  <w:style w:type="paragraph" w:styleId="Nadpis7">
    <w:name w:val="heading 7"/>
    <w:basedOn w:val="Normln"/>
    <w:next w:val="Normlnodsazen"/>
    <w:pPr>
      <w:ind w:left="567"/>
      <w:outlineLvl w:val="6"/>
    </w:pPr>
    <w:rPr>
      <w:i/>
      <w:iCs/>
    </w:rPr>
  </w:style>
  <w:style w:type="paragraph" w:styleId="Nadpis8">
    <w:name w:val="heading 8"/>
    <w:basedOn w:val="Normln"/>
    <w:next w:val="Normlnodsazen"/>
    <w:pPr>
      <w:ind w:left="567"/>
      <w:outlineLvl w:val="7"/>
    </w:pPr>
    <w:rPr>
      <w:i/>
      <w:iCs/>
    </w:rPr>
  </w:style>
  <w:style w:type="paragraph" w:styleId="Nadpis9">
    <w:name w:val="heading 9"/>
    <w:basedOn w:val="Normln"/>
    <w:next w:val="Normlnodsazen"/>
    <w:pPr>
      <w:ind w:left="567"/>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567"/>
    </w:pPr>
  </w:style>
  <w:style w:type="paragraph" w:styleId="Textbubliny">
    <w:name w:val="Balloon Text"/>
    <w:basedOn w:val="Normln"/>
    <w:rPr>
      <w:rFonts w:ascii="Tahoma" w:hAnsi="Tahoma" w:cs="Tahoma"/>
      <w:sz w:val="16"/>
      <w:szCs w:val="16"/>
    </w:rPr>
  </w:style>
  <w:style w:type="paragraph" w:styleId="Zpat">
    <w:name w:val="footer"/>
    <w:basedOn w:val="Normln"/>
    <w:rPr>
      <w:sz w:val="16"/>
      <w:szCs w:val="16"/>
    </w:rPr>
  </w:style>
  <w:style w:type="paragraph" w:styleId="Zhlav">
    <w:name w:val="header"/>
    <w:basedOn w:val="Normln"/>
    <w:next w:val="Normln"/>
    <w:rPr>
      <w:sz w:val="16"/>
      <w:szCs w:val="16"/>
    </w:rPr>
  </w:style>
  <w:style w:type="character" w:styleId="Znakapoznpodarou">
    <w:name w:val="footnote reference"/>
    <w:basedOn w:val="Standardnpsmoodstavce"/>
    <w:rPr>
      <w:rFonts w:cs="Times New Roman"/>
      <w:position w:val="6"/>
      <w:sz w:val="16"/>
      <w:szCs w:val="16"/>
      <w:vertAlign w:val="baseline"/>
    </w:rPr>
  </w:style>
  <w:style w:type="paragraph" w:customStyle="1" w:styleId="kbDocumentnameextrenal">
    <w:name w:val="kb_Document_name_extrenal"/>
    <w:basedOn w:val="Normln"/>
    <w:pPr>
      <w:tabs>
        <w:tab w:val="right" w:pos="6167"/>
      </w:tabs>
      <w:spacing w:before="560"/>
    </w:pPr>
    <w:rPr>
      <w:b/>
      <w:bCs/>
      <w:color w:val="FFFFFF"/>
      <w:sz w:val="27"/>
      <w:szCs w:val="27"/>
    </w:rPr>
  </w:style>
  <w:style w:type="paragraph" w:customStyle="1" w:styleId="kbFixedtext">
    <w:name w:val="kb_Fixed_text"/>
    <w:basedOn w:val="Normln"/>
    <w:pPr>
      <w:spacing w:before="40"/>
    </w:pPr>
    <w:rPr>
      <w:sz w:val="16"/>
      <w:szCs w:val="16"/>
    </w:rPr>
  </w:style>
  <w:style w:type="paragraph" w:customStyle="1" w:styleId="kbRegistration">
    <w:name w:val="kb_Registration"/>
    <w:basedOn w:val="Normln"/>
    <w:pPr>
      <w:spacing w:before="40"/>
    </w:pPr>
    <w:rPr>
      <w:caps/>
      <w:sz w:val="8"/>
      <w:szCs w:val="8"/>
    </w:rPr>
  </w:style>
  <w:style w:type="paragraph" w:customStyle="1" w:styleId="Registration">
    <w:name w:val="Registration"/>
    <w:basedOn w:val="Normln"/>
    <w:pPr>
      <w:spacing w:before="40"/>
    </w:pPr>
    <w:rPr>
      <w:caps/>
      <w:sz w:val="8"/>
      <w:szCs w:val="8"/>
    </w:rPr>
  </w:style>
  <w:style w:type="paragraph" w:customStyle="1" w:styleId="CharCharChar">
    <w:name w:val="Char Char Char"/>
    <w:basedOn w:val="Normln"/>
    <w:pPr>
      <w:widowControl w:val="0"/>
      <w:overflowPunct/>
      <w:autoSpaceDE/>
      <w:spacing w:after="160" w:line="240" w:lineRule="exact"/>
    </w:pPr>
    <w:rPr>
      <w:rFonts w:ascii="Verdana" w:hAnsi="Verdana" w:cs="Verdana"/>
      <w:sz w:val="20"/>
      <w:szCs w:val="20"/>
      <w:lang w:val="en-US" w:eastAsia="en-US"/>
    </w:rPr>
  </w:style>
  <w:style w:type="paragraph" w:styleId="Textpoznpodarou">
    <w:name w:val="footnote text"/>
    <w:basedOn w:val="Normln"/>
    <w:rPr>
      <w:sz w:val="20"/>
      <w:szCs w:val="20"/>
    </w:rPr>
  </w:style>
  <w:style w:type="character" w:styleId="Odkaznakoment">
    <w:name w:val="annotation reference"/>
    <w:basedOn w:val="Standardnpsmoodstavce"/>
    <w:rPr>
      <w:rFonts w:cs="Times New Roman"/>
      <w:sz w:val="16"/>
      <w:szCs w:val="16"/>
    </w:rPr>
  </w:style>
  <w:style w:type="paragraph" w:styleId="Textkomente">
    <w:name w:val="annotation text"/>
    <w:basedOn w:val="Normln"/>
    <w:rPr>
      <w:sz w:val="20"/>
      <w:szCs w:val="20"/>
    </w:rPr>
  </w:style>
  <w:style w:type="paragraph" w:styleId="Pedmtkomente">
    <w:name w:val="annotation subject"/>
    <w:basedOn w:val="Textkomente"/>
    <w:next w:val="Textkomente"/>
    <w:rPr>
      <w:b/>
      <w:bCs/>
    </w:rPr>
  </w:style>
  <w:style w:type="character" w:styleId="Hypertextovodkaz">
    <w:name w:val="Hyperlink"/>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overflowPunct w:val="0"/>
      <w:autoSpaceDE w:val="0"/>
      <w:jc w:val="both"/>
    </w:pPr>
    <w:rPr>
      <w:rFonts w:ascii="Arial" w:hAnsi="Arial" w:cs="Arial"/>
      <w:sz w:val="18"/>
      <w:szCs w:val="18"/>
    </w:rPr>
  </w:style>
  <w:style w:type="paragraph" w:styleId="Nadpis1">
    <w:name w:val="heading 1"/>
    <w:basedOn w:val="Normln"/>
    <w:next w:val="Normln"/>
    <w:pPr>
      <w:tabs>
        <w:tab w:val="left" w:pos="567"/>
      </w:tabs>
      <w:spacing w:after="120"/>
      <w:outlineLvl w:val="0"/>
    </w:pPr>
    <w:rPr>
      <w:bCs/>
    </w:rPr>
  </w:style>
  <w:style w:type="paragraph" w:styleId="Nadpis2">
    <w:name w:val="heading 2"/>
    <w:basedOn w:val="Normln"/>
    <w:next w:val="Normln"/>
    <w:pPr>
      <w:tabs>
        <w:tab w:val="left" w:pos="567"/>
      </w:tabs>
      <w:spacing w:before="120"/>
      <w:outlineLvl w:val="1"/>
    </w:pPr>
    <w:rPr>
      <w:b/>
      <w:bCs/>
      <w:sz w:val="24"/>
      <w:szCs w:val="24"/>
    </w:rPr>
  </w:style>
  <w:style w:type="paragraph" w:styleId="Nadpis3">
    <w:name w:val="heading 3"/>
    <w:basedOn w:val="Normln"/>
    <w:next w:val="Normln"/>
    <w:pPr>
      <w:tabs>
        <w:tab w:val="left" w:pos="567"/>
      </w:tabs>
      <w:outlineLvl w:val="2"/>
    </w:pPr>
    <w:rPr>
      <w:b/>
      <w:bCs/>
    </w:rPr>
  </w:style>
  <w:style w:type="paragraph" w:styleId="Nadpis4">
    <w:name w:val="heading 4"/>
    <w:basedOn w:val="Normln"/>
    <w:next w:val="Normlnodsazen"/>
    <w:pPr>
      <w:ind w:left="283"/>
      <w:outlineLvl w:val="3"/>
    </w:pPr>
    <w:rPr>
      <w:sz w:val="24"/>
      <w:szCs w:val="24"/>
      <w:u w:val="single"/>
    </w:rPr>
  </w:style>
  <w:style w:type="paragraph" w:styleId="Nadpis5">
    <w:name w:val="heading 5"/>
    <w:basedOn w:val="Normln"/>
    <w:next w:val="Normlnodsazen"/>
    <w:pPr>
      <w:ind w:left="567"/>
      <w:outlineLvl w:val="4"/>
    </w:pPr>
    <w:rPr>
      <w:b/>
      <w:bCs/>
    </w:rPr>
  </w:style>
  <w:style w:type="paragraph" w:styleId="Nadpis6">
    <w:name w:val="heading 6"/>
    <w:basedOn w:val="Normln"/>
    <w:next w:val="Normlnodsazen"/>
    <w:pPr>
      <w:ind w:left="567"/>
      <w:outlineLvl w:val="5"/>
    </w:pPr>
    <w:rPr>
      <w:u w:val="single"/>
    </w:rPr>
  </w:style>
  <w:style w:type="paragraph" w:styleId="Nadpis7">
    <w:name w:val="heading 7"/>
    <w:basedOn w:val="Normln"/>
    <w:next w:val="Normlnodsazen"/>
    <w:pPr>
      <w:ind w:left="567"/>
      <w:outlineLvl w:val="6"/>
    </w:pPr>
    <w:rPr>
      <w:i/>
      <w:iCs/>
    </w:rPr>
  </w:style>
  <w:style w:type="paragraph" w:styleId="Nadpis8">
    <w:name w:val="heading 8"/>
    <w:basedOn w:val="Normln"/>
    <w:next w:val="Normlnodsazen"/>
    <w:pPr>
      <w:ind w:left="567"/>
      <w:outlineLvl w:val="7"/>
    </w:pPr>
    <w:rPr>
      <w:i/>
      <w:iCs/>
    </w:rPr>
  </w:style>
  <w:style w:type="paragraph" w:styleId="Nadpis9">
    <w:name w:val="heading 9"/>
    <w:basedOn w:val="Normln"/>
    <w:next w:val="Normlnodsazen"/>
    <w:pPr>
      <w:ind w:left="567"/>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567"/>
    </w:pPr>
  </w:style>
  <w:style w:type="paragraph" w:styleId="Textbubliny">
    <w:name w:val="Balloon Text"/>
    <w:basedOn w:val="Normln"/>
    <w:rPr>
      <w:rFonts w:ascii="Tahoma" w:hAnsi="Tahoma" w:cs="Tahoma"/>
      <w:sz w:val="16"/>
      <w:szCs w:val="16"/>
    </w:rPr>
  </w:style>
  <w:style w:type="paragraph" w:styleId="Zpat">
    <w:name w:val="footer"/>
    <w:basedOn w:val="Normln"/>
    <w:rPr>
      <w:sz w:val="16"/>
      <w:szCs w:val="16"/>
    </w:rPr>
  </w:style>
  <w:style w:type="paragraph" w:styleId="Zhlav">
    <w:name w:val="header"/>
    <w:basedOn w:val="Normln"/>
    <w:next w:val="Normln"/>
    <w:rPr>
      <w:sz w:val="16"/>
      <w:szCs w:val="16"/>
    </w:rPr>
  </w:style>
  <w:style w:type="character" w:styleId="Znakapoznpodarou">
    <w:name w:val="footnote reference"/>
    <w:basedOn w:val="Standardnpsmoodstavce"/>
    <w:rPr>
      <w:rFonts w:cs="Times New Roman"/>
      <w:position w:val="6"/>
      <w:sz w:val="16"/>
      <w:szCs w:val="16"/>
      <w:vertAlign w:val="baseline"/>
    </w:rPr>
  </w:style>
  <w:style w:type="paragraph" w:customStyle="1" w:styleId="kbDocumentnameextrenal">
    <w:name w:val="kb_Document_name_extrenal"/>
    <w:basedOn w:val="Normln"/>
    <w:pPr>
      <w:tabs>
        <w:tab w:val="right" w:pos="6167"/>
      </w:tabs>
      <w:spacing w:before="560"/>
    </w:pPr>
    <w:rPr>
      <w:b/>
      <w:bCs/>
      <w:color w:val="FFFFFF"/>
      <w:sz w:val="27"/>
      <w:szCs w:val="27"/>
    </w:rPr>
  </w:style>
  <w:style w:type="paragraph" w:customStyle="1" w:styleId="kbFixedtext">
    <w:name w:val="kb_Fixed_text"/>
    <w:basedOn w:val="Normln"/>
    <w:pPr>
      <w:spacing w:before="40"/>
    </w:pPr>
    <w:rPr>
      <w:sz w:val="16"/>
      <w:szCs w:val="16"/>
    </w:rPr>
  </w:style>
  <w:style w:type="paragraph" w:customStyle="1" w:styleId="kbRegistration">
    <w:name w:val="kb_Registration"/>
    <w:basedOn w:val="Normln"/>
    <w:pPr>
      <w:spacing w:before="40"/>
    </w:pPr>
    <w:rPr>
      <w:caps/>
      <w:sz w:val="8"/>
      <w:szCs w:val="8"/>
    </w:rPr>
  </w:style>
  <w:style w:type="paragraph" w:customStyle="1" w:styleId="Registration">
    <w:name w:val="Registration"/>
    <w:basedOn w:val="Normln"/>
    <w:pPr>
      <w:spacing w:before="40"/>
    </w:pPr>
    <w:rPr>
      <w:caps/>
      <w:sz w:val="8"/>
      <w:szCs w:val="8"/>
    </w:rPr>
  </w:style>
  <w:style w:type="paragraph" w:customStyle="1" w:styleId="CharCharChar">
    <w:name w:val="Char Char Char"/>
    <w:basedOn w:val="Normln"/>
    <w:pPr>
      <w:widowControl w:val="0"/>
      <w:overflowPunct/>
      <w:autoSpaceDE/>
      <w:spacing w:after="160" w:line="240" w:lineRule="exact"/>
    </w:pPr>
    <w:rPr>
      <w:rFonts w:ascii="Verdana" w:hAnsi="Verdana" w:cs="Verdana"/>
      <w:sz w:val="20"/>
      <w:szCs w:val="20"/>
      <w:lang w:val="en-US" w:eastAsia="en-US"/>
    </w:rPr>
  </w:style>
  <w:style w:type="paragraph" w:styleId="Textpoznpodarou">
    <w:name w:val="footnote text"/>
    <w:basedOn w:val="Normln"/>
    <w:rPr>
      <w:sz w:val="20"/>
      <w:szCs w:val="20"/>
    </w:rPr>
  </w:style>
  <w:style w:type="character" w:styleId="Odkaznakoment">
    <w:name w:val="annotation reference"/>
    <w:basedOn w:val="Standardnpsmoodstavce"/>
    <w:rPr>
      <w:rFonts w:cs="Times New Roman"/>
      <w:sz w:val="16"/>
      <w:szCs w:val="16"/>
    </w:rPr>
  </w:style>
  <w:style w:type="paragraph" w:styleId="Textkomente">
    <w:name w:val="annotation text"/>
    <w:basedOn w:val="Normln"/>
    <w:rPr>
      <w:sz w:val="20"/>
      <w:szCs w:val="20"/>
    </w:rPr>
  </w:style>
  <w:style w:type="paragraph" w:styleId="Pedmtkomente">
    <w:name w:val="annotation subject"/>
    <w:basedOn w:val="Textkomente"/>
    <w:next w:val="Textkomente"/>
    <w:rPr>
      <w:b/>
      <w:bCs/>
    </w:rPr>
  </w:style>
  <w:style w:type="character" w:styleId="Hypertextovodkaz">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PP5010SKU@kb.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8FF01D4B.dotm</Template>
  <TotalTime>1</TotalTime>
  <Pages>4</Pages>
  <Words>2142</Words>
  <Characters>12638</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Smlouva o předávání hotovosti v uzavřených obalech</vt:lpstr>
    </vt:vector>
  </TitlesOfParts>
  <Company>Komerční banka, a.s.</Company>
  <LinksUpToDate>false</LinksUpToDate>
  <CharactersWithSpaces>14751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předávání hotovosti v uzavřených obalech</dc:title>
  <dc:subject/>
  <dc:creator>pstanek1</dc:creator>
  <dc:description/>
  <cp:lastModifiedBy>Baníková Martina</cp:lastModifiedBy>
  <cp:revision>3</cp:revision>
  <cp:lastPrinted>2017-10-23T12:10:00Z</cp:lastPrinted>
  <dcterms:created xsi:type="dcterms:W3CDTF">2017-10-23T13:22:00Z</dcterms:created>
  <dcterms:modified xsi:type="dcterms:W3CDTF">2017-10-24T09:14:00Z</dcterms:modified>
</cp:coreProperties>
</file>