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A66487">
        <w:rPr>
          <w:rFonts w:ascii="Arial" w:eastAsia="Times New Roman" w:hAnsi="Arial" w:cs="Arial"/>
          <w:b/>
          <w:sz w:val="28"/>
          <w:szCs w:val="28"/>
          <w:lang w:eastAsia="cs-CZ"/>
        </w:rPr>
        <w:t xml:space="preserve">Smlouva o poskytnutí dotace </w:t>
      </w:r>
    </w:p>
    <w:p w:rsidR="00A66487" w:rsidRPr="00A66487" w:rsidRDefault="00A66487" w:rsidP="00A66487">
      <w:pPr>
        <w:tabs>
          <w:tab w:val="left" w:pos="8928"/>
        </w:tabs>
        <w:spacing w:beforeLines="50" w:before="120" w:after="120"/>
        <w:jc w:val="center"/>
        <w:rPr>
          <w:rFonts w:ascii="Arial" w:hAnsi="Arial" w:cs="Arial"/>
          <w:i/>
          <w:sz w:val="20"/>
          <w:szCs w:val="20"/>
        </w:rPr>
      </w:pPr>
      <w:r w:rsidRPr="00A66487">
        <w:rPr>
          <w:rFonts w:ascii="Arial" w:hAnsi="Arial" w:cs="Arial"/>
          <w:b/>
        </w:rPr>
        <w:t>č. D/1032/2017/ŽPZE</w:t>
      </w:r>
    </w:p>
    <w:p w:rsidR="00A66487" w:rsidRPr="00A66487" w:rsidRDefault="00A66487" w:rsidP="00A66487">
      <w:pPr>
        <w:tabs>
          <w:tab w:val="left" w:pos="8928"/>
        </w:tabs>
        <w:spacing w:beforeLines="30" w:before="72" w:after="120"/>
        <w:jc w:val="center"/>
        <w:rPr>
          <w:rFonts w:ascii="Arial" w:hAnsi="Arial" w:cs="Arial"/>
          <w:sz w:val="24"/>
          <w:szCs w:val="24"/>
        </w:rPr>
      </w:pPr>
      <w:r w:rsidRPr="00A66487">
        <w:rPr>
          <w:rFonts w:ascii="Arial" w:hAnsi="Arial" w:cs="Arial"/>
          <w:sz w:val="20"/>
          <w:szCs w:val="20"/>
        </w:rPr>
        <w:t>(uzavřená dle § 159 a násl. zákona č. 500/2004 Sb., správní řád, ve znění pozdějších předpisů)</w:t>
      </w:r>
    </w:p>
    <w:p w:rsidR="00A66487" w:rsidRPr="00A66487" w:rsidRDefault="00A66487" w:rsidP="00A66487">
      <w:pPr>
        <w:tabs>
          <w:tab w:val="left" w:pos="8928"/>
        </w:tabs>
        <w:spacing w:beforeLines="60" w:before="144" w:after="60"/>
        <w:jc w:val="both"/>
        <w:rPr>
          <w:rFonts w:ascii="Arial" w:hAnsi="Arial" w:cs="Arial"/>
          <w:sz w:val="20"/>
          <w:szCs w:val="20"/>
        </w:rPr>
      </w:pPr>
    </w:p>
    <w:p w:rsidR="00A66487" w:rsidRPr="00A66487" w:rsidRDefault="00A66487" w:rsidP="00A66487">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A66487">
        <w:rPr>
          <w:rFonts w:ascii="Arial" w:eastAsia="Times New Roman" w:hAnsi="Arial" w:cs="Arial"/>
          <w:sz w:val="20"/>
          <w:szCs w:val="20"/>
          <w:lang w:eastAsia="cs-CZ"/>
        </w:rPr>
        <w:t>Poskytovatel dotace:</w:t>
      </w:r>
      <w:r w:rsidRPr="00A66487">
        <w:rPr>
          <w:rFonts w:ascii="Arial" w:eastAsia="Times New Roman" w:hAnsi="Arial" w:cs="Arial"/>
          <w:sz w:val="20"/>
          <w:szCs w:val="20"/>
          <w:lang w:eastAsia="cs-CZ"/>
        </w:rPr>
        <w:tab/>
      </w:r>
      <w:r w:rsidRPr="00A66487">
        <w:rPr>
          <w:rFonts w:ascii="Arial" w:eastAsia="Times New Roman" w:hAnsi="Arial" w:cs="Arial"/>
          <w:b/>
          <w:sz w:val="20"/>
          <w:szCs w:val="20"/>
          <w:lang w:eastAsia="cs-CZ"/>
        </w:rPr>
        <w:t xml:space="preserve">Zlínský kraj </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se sídlem ve Zlíně, tř. T. Bati 21, PSČ 761 90</w:t>
      </w:r>
    </w:p>
    <w:p w:rsidR="00A66487" w:rsidRPr="00A66487" w:rsidRDefault="00A66487" w:rsidP="00A66487">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zastupuje: Jiří Čunek, hejtman</w:t>
      </w:r>
      <w:r w:rsidRPr="00A66487">
        <w:rPr>
          <w:rFonts w:ascii="Arial" w:eastAsia="Times New Roman" w:hAnsi="Arial" w:cs="Arial"/>
          <w:sz w:val="20"/>
          <w:szCs w:val="20"/>
          <w:lang w:eastAsia="cs-CZ"/>
        </w:rPr>
        <w:tab/>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IČ: 70891320</w:t>
      </w:r>
    </w:p>
    <w:p w:rsidR="00A66487" w:rsidRPr="00A66487" w:rsidRDefault="00A66487" w:rsidP="00A66487">
      <w:pPr>
        <w:tabs>
          <w:tab w:val="left" w:pos="8928"/>
        </w:tabs>
        <w:spacing w:before="60" w:after="0"/>
        <w:ind w:left="2520"/>
        <w:rPr>
          <w:rFonts w:ascii="Arial" w:hAnsi="Arial" w:cs="Arial"/>
          <w:sz w:val="20"/>
          <w:szCs w:val="20"/>
        </w:rPr>
      </w:pPr>
      <w:r w:rsidRPr="00A66487">
        <w:rPr>
          <w:rFonts w:ascii="Arial" w:hAnsi="Arial" w:cs="Arial"/>
          <w:sz w:val="20"/>
          <w:szCs w:val="20"/>
        </w:rPr>
        <w:t xml:space="preserve"> bankovní spojení: Česká spořitelna, a.s.</w:t>
      </w:r>
    </w:p>
    <w:p w:rsidR="00A66487" w:rsidRPr="00A66487" w:rsidRDefault="00A66487" w:rsidP="00A66487">
      <w:pPr>
        <w:tabs>
          <w:tab w:val="left" w:pos="8928"/>
        </w:tabs>
        <w:spacing w:before="60" w:after="0"/>
        <w:ind w:left="2520"/>
        <w:rPr>
          <w:rFonts w:ascii="Arial" w:hAnsi="Arial" w:cs="Arial"/>
          <w:i/>
          <w:color w:val="0070C0"/>
          <w:sz w:val="16"/>
          <w:szCs w:val="16"/>
        </w:rPr>
      </w:pPr>
      <w:r w:rsidRPr="00A66487">
        <w:rPr>
          <w:rFonts w:ascii="Arial" w:hAnsi="Arial" w:cs="Arial"/>
          <w:sz w:val="20"/>
          <w:szCs w:val="20"/>
        </w:rPr>
        <w:t>č. ú. 1827552/0800</w:t>
      </w:r>
    </w:p>
    <w:p w:rsidR="00A66487" w:rsidRPr="00A66487" w:rsidRDefault="00A66487" w:rsidP="00A66487">
      <w:pPr>
        <w:tabs>
          <w:tab w:val="left" w:pos="8928"/>
        </w:tabs>
        <w:spacing w:before="60" w:after="0"/>
        <w:ind w:left="2552"/>
        <w:rPr>
          <w:rFonts w:ascii="Arial" w:hAnsi="Arial" w:cs="Arial"/>
          <w:sz w:val="20"/>
          <w:szCs w:val="24"/>
        </w:rPr>
      </w:pPr>
      <w:r w:rsidRPr="00A66487">
        <w:rPr>
          <w:rFonts w:ascii="Arial" w:hAnsi="Arial" w:cs="Arial"/>
          <w:sz w:val="20"/>
        </w:rPr>
        <w:t>(dále jen „</w:t>
      </w:r>
      <w:r w:rsidRPr="00A66487">
        <w:rPr>
          <w:rFonts w:ascii="Arial" w:hAnsi="Arial" w:cs="Arial"/>
          <w:b/>
          <w:sz w:val="20"/>
        </w:rPr>
        <w:t>poskytovatel“</w:t>
      </w:r>
      <w:r w:rsidRPr="00A66487">
        <w:rPr>
          <w:rFonts w:ascii="Arial" w:hAnsi="Arial" w:cs="Arial"/>
          <w:sz w:val="20"/>
        </w:rPr>
        <w:t>)</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a</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A66487" w:rsidRPr="00A66487" w:rsidRDefault="00A66487" w:rsidP="00A66487">
      <w:pPr>
        <w:tabs>
          <w:tab w:val="left" w:pos="8928"/>
        </w:tabs>
        <w:spacing w:after="0"/>
        <w:ind w:left="2552" w:hanging="2552"/>
        <w:rPr>
          <w:rFonts w:ascii="Arial" w:hAnsi="Arial" w:cs="Arial"/>
          <w:i/>
          <w:color w:val="0070C0"/>
          <w:sz w:val="16"/>
          <w:szCs w:val="16"/>
        </w:rPr>
      </w:pPr>
      <w:r w:rsidRPr="00A66487">
        <w:rPr>
          <w:rFonts w:ascii="Arial" w:hAnsi="Arial" w:cs="Arial"/>
          <w:sz w:val="20"/>
          <w:szCs w:val="20"/>
        </w:rPr>
        <w:t>Příjemce dotace:</w:t>
      </w:r>
      <w:r w:rsidRPr="00A66487">
        <w:rPr>
          <w:rFonts w:ascii="Arial" w:hAnsi="Arial" w:cs="Arial"/>
          <w:sz w:val="20"/>
          <w:szCs w:val="20"/>
        </w:rPr>
        <w:tab/>
      </w:r>
      <w:r w:rsidRPr="00A66487">
        <w:rPr>
          <w:rFonts w:ascii="Arial" w:hAnsi="Arial" w:cs="Arial"/>
          <w:b/>
          <w:noProof/>
          <w:sz w:val="20"/>
          <w:szCs w:val="20"/>
        </w:rPr>
        <w:t>Obec Vlachovice</w:t>
      </w:r>
    </w:p>
    <w:p w:rsidR="00A66487" w:rsidRPr="00A66487" w:rsidRDefault="00A66487" w:rsidP="00A66487">
      <w:pPr>
        <w:tabs>
          <w:tab w:val="left" w:pos="8928"/>
        </w:tabs>
        <w:spacing w:before="60" w:after="0"/>
        <w:ind w:left="2520"/>
        <w:rPr>
          <w:rFonts w:ascii="Arial" w:hAnsi="Arial" w:cs="Arial"/>
          <w:i/>
          <w:sz w:val="20"/>
          <w:szCs w:val="20"/>
        </w:rPr>
      </w:pPr>
      <w:r w:rsidRPr="00A66487">
        <w:rPr>
          <w:rFonts w:ascii="Arial" w:hAnsi="Arial" w:cs="Arial"/>
          <w:sz w:val="20"/>
          <w:szCs w:val="20"/>
        </w:rPr>
        <w:t xml:space="preserve">sídlo/ adresa bydliště: </w:t>
      </w:r>
      <w:r w:rsidRPr="00A66487">
        <w:rPr>
          <w:rFonts w:ascii="Arial" w:hAnsi="Arial" w:cs="Arial"/>
          <w:noProof/>
          <w:sz w:val="20"/>
          <w:szCs w:val="20"/>
        </w:rPr>
        <w:t>Vlachovice 50, 76324 Vlachovice</w:t>
      </w:r>
      <w:r w:rsidRPr="00A66487">
        <w:rPr>
          <w:rFonts w:ascii="Arial" w:hAnsi="Arial" w:cs="Arial"/>
          <w:sz w:val="20"/>
          <w:szCs w:val="20"/>
        </w:rPr>
        <w:t xml:space="preserve"> </w:t>
      </w:r>
    </w:p>
    <w:p w:rsidR="00A66487" w:rsidRPr="00A66487" w:rsidRDefault="00A66487" w:rsidP="00A66487">
      <w:pPr>
        <w:tabs>
          <w:tab w:val="left" w:pos="8928"/>
        </w:tabs>
        <w:spacing w:before="60" w:after="0"/>
        <w:ind w:left="2520"/>
        <w:rPr>
          <w:rFonts w:ascii="Arial" w:hAnsi="Arial" w:cs="Arial"/>
          <w:sz w:val="20"/>
          <w:szCs w:val="20"/>
        </w:rPr>
      </w:pPr>
      <w:r w:rsidRPr="00A66487">
        <w:rPr>
          <w:rFonts w:ascii="Arial" w:hAnsi="Arial" w:cs="Arial"/>
          <w:sz w:val="20"/>
          <w:szCs w:val="20"/>
        </w:rPr>
        <w:t xml:space="preserve">IČ: </w:t>
      </w:r>
      <w:r w:rsidRPr="00A66487">
        <w:rPr>
          <w:rFonts w:ascii="Arial" w:hAnsi="Arial" w:cs="Arial"/>
          <w:noProof/>
          <w:sz w:val="20"/>
          <w:szCs w:val="20"/>
        </w:rPr>
        <w:t>00284670</w:t>
      </w:r>
    </w:p>
    <w:p w:rsidR="00A66487" w:rsidRPr="00A66487" w:rsidRDefault="00A66487" w:rsidP="00A66487">
      <w:pPr>
        <w:tabs>
          <w:tab w:val="left" w:pos="8928"/>
        </w:tabs>
        <w:spacing w:before="60" w:after="0"/>
        <w:ind w:left="2520"/>
        <w:rPr>
          <w:rFonts w:ascii="Arial" w:hAnsi="Arial" w:cs="Arial"/>
          <w:i/>
          <w:color w:val="0070C0"/>
          <w:sz w:val="16"/>
          <w:szCs w:val="16"/>
        </w:rPr>
      </w:pPr>
      <w:r w:rsidRPr="00A66487">
        <w:rPr>
          <w:rFonts w:ascii="Arial" w:hAnsi="Arial" w:cs="Arial"/>
          <w:sz w:val="20"/>
          <w:szCs w:val="20"/>
        </w:rPr>
        <w:t xml:space="preserve">DIČ: </w:t>
      </w:r>
      <w:r w:rsidRPr="00A66487">
        <w:rPr>
          <w:rFonts w:ascii="Arial" w:hAnsi="Arial" w:cs="Arial"/>
          <w:noProof/>
          <w:sz w:val="20"/>
          <w:szCs w:val="20"/>
        </w:rPr>
        <w:t>CZ00284670</w:t>
      </w:r>
      <w:r w:rsidRPr="00A66487">
        <w:rPr>
          <w:rFonts w:ascii="Arial" w:hAnsi="Arial" w:cs="Arial"/>
          <w:sz w:val="20"/>
          <w:szCs w:val="20"/>
        </w:rPr>
        <w:t xml:space="preserve"> </w:t>
      </w:r>
    </w:p>
    <w:p w:rsidR="00A66487" w:rsidRPr="00A66487" w:rsidRDefault="00A66487" w:rsidP="00A66487">
      <w:pPr>
        <w:tabs>
          <w:tab w:val="left" w:pos="8928"/>
        </w:tabs>
        <w:spacing w:before="60" w:after="0"/>
        <w:ind w:left="2520"/>
        <w:jc w:val="both"/>
        <w:rPr>
          <w:rFonts w:ascii="Arial" w:hAnsi="Arial" w:cs="Arial"/>
          <w:i/>
          <w:color w:val="0070C0"/>
          <w:sz w:val="16"/>
          <w:szCs w:val="16"/>
        </w:rPr>
      </w:pPr>
      <w:r w:rsidRPr="00A66487">
        <w:rPr>
          <w:rFonts w:ascii="Arial" w:hAnsi="Arial" w:cs="Arial"/>
          <w:sz w:val="20"/>
          <w:szCs w:val="20"/>
        </w:rPr>
        <w:t xml:space="preserve">typ příjemce: </w:t>
      </w:r>
      <w:r w:rsidRPr="00A66487">
        <w:rPr>
          <w:rFonts w:ascii="Arial" w:hAnsi="Arial" w:cs="Arial"/>
          <w:noProof/>
          <w:sz w:val="20"/>
          <w:szCs w:val="20"/>
        </w:rPr>
        <w:t>Právnická osoba</w:t>
      </w:r>
      <w:r w:rsidRPr="00A66487">
        <w:rPr>
          <w:rFonts w:ascii="Arial" w:hAnsi="Arial" w:cs="Arial"/>
          <w:sz w:val="20"/>
          <w:szCs w:val="20"/>
        </w:rPr>
        <w:t xml:space="preserve"> - </w:t>
      </w:r>
      <w:r w:rsidRPr="00A66487">
        <w:rPr>
          <w:rFonts w:ascii="Arial" w:hAnsi="Arial" w:cs="Arial"/>
          <w:noProof/>
          <w:sz w:val="20"/>
          <w:szCs w:val="20"/>
        </w:rPr>
        <w:t>obec</w:t>
      </w:r>
      <w:r w:rsidRPr="00A66487">
        <w:rPr>
          <w:rFonts w:ascii="Arial" w:hAnsi="Arial" w:cs="Arial"/>
          <w:i/>
          <w:color w:val="0070C0"/>
          <w:sz w:val="16"/>
          <w:szCs w:val="16"/>
        </w:rPr>
        <w:t>(</w:t>
      </w:r>
    </w:p>
    <w:p w:rsidR="00A66487" w:rsidRPr="00A66487" w:rsidRDefault="00A66487" w:rsidP="00A66487">
      <w:pPr>
        <w:tabs>
          <w:tab w:val="left" w:pos="8928"/>
        </w:tabs>
        <w:spacing w:before="60" w:after="0"/>
        <w:ind w:left="2520"/>
        <w:jc w:val="both"/>
        <w:rPr>
          <w:rFonts w:ascii="Arial" w:hAnsi="Arial" w:cs="Arial"/>
          <w:i/>
          <w:color w:val="0070C0"/>
          <w:sz w:val="16"/>
          <w:szCs w:val="16"/>
        </w:rPr>
      </w:pPr>
      <w:r w:rsidRPr="00A66487">
        <w:rPr>
          <w:rFonts w:ascii="Arial" w:hAnsi="Arial" w:cs="Arial"/>
          <w:sz w:val="20"/>
          <w:szCs w:val="20"/>
        </w:rPr>
        <w:t xml:space="preserve">zastupuje: </w:t>
      </w:r>
      <w:r w:rsidRPr="00A66487">
        <w:rPr>
          <w:rFonts w:ascii="Arial" w:hAnsi="Arial" w:cs="Arial"/>
          <w:noProof/>
          <w:sz w:val="20"/>
          <w:szCs w:val="20"/>
        </w:rPr>
        <w:t>Zdeněk Hověžák</w:t>
      </w:r>
    </w:p>
    <w:p w:rsidR="00A66487" w:rsidRPr="00A66487" w:rsidRDefault="00A66487" w:rsidP="00A66487">
      <w:pPr>
        <w:tabs>
          <w:tab w:val="left" w:pos="8928"/>
        </w:tabs>
        <w:spacing w:before="60" w:after="0"/>
        <w:ind w:left="2520"/>
        <w:rPr>
          <w:rFonts w:ascii="Arial" w:hAnsi="Arial" w:cs="Arial"/>
          <w:i/>
          <w:color w:val="0070C0"/>
          <w:sz w:val="16"/>
          <w:szCs w:val="16"/>
        </w:rPr>
      </w:pPr>
      <w:r w:rsidRPr="00A66487">
        <w:rPr>
          <w:rFonts w:ascii="Arial" w:hAnsi="Arial" w:cs="Arial"/>
          <w:sz w:val="20"/>
          <w:szCs w:val="20"/>
        </w:rPr>
        <w:t>bankovní spojení</w:t>
      </w:r>
      <w:r w:rsidRPr="00A66487">
        <w:rPr>
          <w:rFonts w:ascii="Arial" w:hAnsi="Arial" w:cs="Arial"/>
          <w:i/>
          <w:sz w:val="20"/>
          <w:szCs w:val="20"/>
        </w:rPr>
        <w:t xml:space="preserve">: </w:t>
      </w:r>
      <w:r w:rsidRPr="00A66487">
        <w:rPr>
          <w:rFonts w:ascii="Arial" w:hAnsi="Arial" w:cs="Arial"/>
          <w:noProof/>
          <w:sz w:val="20"/>
          <w:szCs w:val="20"/>
        </w:rPr>
        <w:t>Komerční banka, a.s.</w:t>
      </w:r>
      <w:r w:rsidRPr="00A66487">
        <w:rPr>
          <w:rFonts w:ascii="Arial" w:hAnsi="Arial" w:cs="Arial"/>
          <w:sz w:val="20"/>
          <w:szCs w:val="20"/>
        </w:rPr>
        <w:t xml:space="preserve">, </w:t>
      </w:r>
      <w:r w:rsidRPr="00A66487">
        <w:rPr>
          <w:rFonts w:ascii="Arial" w:hAnsi="Arial" w:cs="Arial"/>
          <w:noProof/>
          <w:sz w:val="20"/>
          <w:szCs w:val="20"/>
        </w:rPr>
        <w:t>4129661/0100</w:t>
      </w:r>
    </w:p>
    <w:p w:rsidR="00A66487" w:rsidRPr="00A66487" w:rsidRDefault="00A66487" w:rsidP="00A66487">
      <w:pPr>
        <w:tabs>
          <w:tab w:val="left" w:pos="8928"/>
        </w:tabs>
        <w:spacing w:after="0"/>
        <w:jc w:val="both"/>
        <w:rPr>
          <w:rFonts w:ascii="Arial" w:hAnsi="Arial" w:cs="Arial"/>
          <w:sz w:val="20"/>
          <w:szCs w:val="20"/>
        </w:rPr>
      </w:pPr>
    </w:p>
    <w:p w:rsidR="00A66487" w:rsidRPr="00A66487" w:rsidRDefault="00A66487" w:rsidP="00A66487">
      <w:pPr>
        <w:keepNext/>
        <w:keepLines/>
        <w:tabs>
          <w:tab w:val="left" w:pos="8928"/>
        </w:tabs>
        <w:spacing w:after="0"/>
        <w:jc w:val="center"/>
        <w:outlineLvl w:val="0"/>
        <w:rPr>
          <w:rFonts w:ascii="Arial" w:hAnsi="Arial" w:cs="Arial"/>
          <w:b/>
          <w:snapToGrid w:val="0"/>
          <w:sz w:val="20"/>
          <w:szCs w:val="20"/>
        </w:rPr>
      </w:pPr>
      <w:r w:rsidRPr="00A66487">
        <w:rPr>
          <w:rFonts w:ascii="Arial" w:hAnsi="Arial" w:cs="Arial"/>
          <w:b/>
          <w:snapToGrid w:val="0"/>
          <w:sz w:val="20"/>
          <w:szCs w:val="20"/>
        </w:rPr>
        <w:t>I.</w:t>
      </w:r>
    </w:p>
    <w:p w:rsidR="00A66487" w:rsidRPr="00A66487" w:rsidRDefault="00A66487" w:rsidP="00A66487">
      <w:pPr>
        <w:keepNext/>
        <w:keepLines/>
        <w:tabs>
          <w:tab w:val="left" w:pos="8928"/>
        </w:tabs>
        <w:spacing w:before="60" w:after="60"/>
        <w:jc w:val="center"/>
        <w:outlineLvl w:val="0"/>
        <w:rPr>
          <w:rFonts w:ascii="Arial" w:hAnsi="Arial" w:cs="Arial"/>
          <w:b/>
          <w:snapToGrid w:val="0"/>
          <w:sz w:val="20"/>
          <w:szCs w:val="20"/>
        </w:rPr>
      </w:pPr>
      <w:r w:rsidRPr="00A66487">
        <w:rPr>
          <w:rFonts w:ascii="Arial" w:hAnsi="Arial" w:cs="Arial"/>
          <w:b/>
          <w:snapToGrid w:val="0"/>
          <w:sz w:val="20"/>
          <w:szCs w:val="20"/>
        </w:rPr>
        <w:t>Předmět smlouvy</w:t>
      </w:r>
    </w:p>
    <w:p w:rsidR="00A66487" w:rsidRPr="00A66487" w:rsidRDefault="00A66487" w:rsidP="00A6648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Poskytovatel se zavazuje poskytnout příjemci </w:t>
      </w:r>
      <w:r w:rsidRPr="00A66487">
        <w:rPr>
          <w:rFonts w:ascii="Arial" w:eastAsia="Times New Roman" w:hAnsi="Arial" w:cs="Arial"/>
          <w:b/>
          <w:snapToGrid w:val="0"/>
          <w:sz w:val="20"/>
          <w:szCs w:val="20"/>
          <w:lang w:eastAsia="cs-CZ"/>
        </w:rPr>
        <w:t>neinvestiční</w:t>
      </w:r>
      <w:r w:rsidRPr="00A66487">
        <w:rPr>
          <w:rFonts w:ascii="Arial" w:eastAsia="Times New Roman" w:hAnsi="Arial" w:cs="Arial"/>
          <w:b/>
          <w:sz w:val="20"/>
          <w:szCs w:val="20"/>
          <w:lang w:eastAsia="cs-CZ"/>
        </w:rPr>
        <w:t xml:space="preserve"> dotaci</w:t>
      </w:r>
      <w:r w:rsidRPr="00A66487">
        <w:rPr>
          <w:rFonts w:ascii="Arial" w:eastAsia="Times New Roman" w:hAnsi="Arial" w:cs="Arial"/>
          <w:sz w:val="20"/>
          <w:szCs w:val="20"/>
          <w:lang w:eastAsia="cs-CZ"/>
        </w:rPr>
        <w:t xml:space="preserve"> z Fondu Zlínského kraje (dále jen „dotace“) do výše </w:t>
      </w:r>
      <w:r w:rsidRPr="00A66487">
        <w:rPr>
          <w:rFonts w:ascii="Arial" w:eastAsia="Times New Roman" w:hAnsi="Arial" w:cs="Arial"/>
          <w:b/>
          <w:noProof/>
          <w:sz w:val="20"/>
          <w:szCs w:val="20"/>
          <w:lang w:eastAsia="cs-CZ"/>
        </w:rPr>
        <w:t>195000</w:t>
      </w:r>
      <w:r w:rsidRPr="00A66487">
        <w:rPr>
          <w:rFonts w:ascii="Arial" w:eastAsia="Times New Roman" w:hAnsi="Arial" w:cs="Arial"/>
          <w:b/>
          <w:sz w:val="20"/>
          <w:szCs w:val="20"/>
          <w:lang w:eastAsia="cs-CZ"/>
        </w:rPr>
        <w:t xml:space="preserve"> Kč</w:t>
      </w:r>
      <w:r w:rsidRPr="00A66487">
        <w:rPr>
          <w:rFonts w:ascii="Arial" w:eastAsia="Times New Roman" w:hAnsi="Arial" w:cs="Arial"/>
          <w:sz w:val="20"/>
          <w:szCs w:val="20"/>
          <w:lang w:eastAsia="cs-CZ"/>
        </w:rPr>
        <w:t>, (slovy:</w:t>
      </w:r>
      <w:r w:rsidRPr="00A66487">
        <w:rPr>
          <w:rFonts w:ascii="Arial" w:eastAsia="Times New Roman" w:hAnsi="Arial" w:cs="Arial"/>
          <w:noProof/>
          <w:sz w:val="20"/>
          <w:szCs w:val="20"/>
          <w:lang w:eastAsia="cs-CZ"/>
        </w:rPr>
        <w:t>jednostodevadesátpěttisíc</w:t>
      </w:r>
      <w:r w:rsidRPr="00A66487">
        <w:rPr>
          <w:rFonts w:ascii="Arial" w:eastAsia="Times New Roman" w:hAnsi="Arial" w:cs="Arial"/>
          <w:sz w:val="20"/>
          <w:szCs w:val="20"/>
          <w:lang w:eastAsia="cs-CZ"/>
        </w:rPr>
        <w:t xml:space="preserve"> korunčeských), současně však </w:t>
      </w:r>
      <w:r w:rsidRPr="00A66487">
        <w:rPr>
          <w:rFonts w:ascii="Arial" w:eastAsia="Times New Roman" w:hAnsi="Arial" w:cs="Arial"/>
          <w:b/>
          <w:sz w:val="20"/>
          <w:szCs w:val="20"/>
          <w:lang w:eastAsia="cs-CZ"/>
        </w:rPr>
        <w:t xml:space="preserve">maximálně </w:t>
      </w:r>
      <w:r w:rsidRPr="00A66487">
        <w:rPr>
          <w:rFonts w:ascii="Arial" w:eastAsia="Times New Roman" w:hAnsi="Arial" w:cs="Arial"/>
          <w:b/>
          <w:noProof/>
          <w:sz w:val="20"/>
          <w:szCs w:val="20"/>
          <w:lang w:eastAsia="cs-CZ"/>
        </w:rPr>
        <w:t>69,85</w:t>
      </w:r>
      <w:r w:rsidRPr="00A66487">
        <w:rPr>
          <w:rFonts w:ascii="Arial" w:eastAsia="Times New Roman" w:hAnsi="Arial" w:cs="Arial"/>
          <w:b/>
          <w:sz w:val="20"/>
          <w:szCs w:val="20"/>
          <w:lang w:eastAsia="cs-CZ"/>
        </w:rPr>
        <w:t>%</w:t>
      </w:r>
      <w:r w:rsidRPr="00A66487">
        <w:rPr>
          <w:rFonts w:ascii="Arial" w:eastAsia="Times New Roman" w:hAnsi="Arial" w:cs="Arial"/>
          <w:sz w:val="20"/>
          <w:szCs w:val="20"/>
          <w:lang w:eastAsia="cs-CZ"/>
        </w:rPr>
        <w:t xml:space="preserve"> </w:t>
      </w:r>
      <w:r w:rsidRPr="00A66487">
        <w:rPr>
          <w:rFonts w:ascii="Arial" w:eastAsia="Times New Roman" w:hAnsi="Arial" w:cs="Arial"/>
          <w:b/>
          <w:sz w:val="20"/>
          <w:szCs w:val="20"/>
          <w:lang w:eastAsia="cs-CZ"/>
        </w:rPr>
        <w:t xml:space="preserve">celkových způsobilých výdajů </w:t>
      </w:r>
      <w:r w:rsidRPr="00A66487">
        <w:rPr>
          <w:rFonts w:ascii="Arial" w:eastAsia="Times New Roman" w:hAnsi="Arial" w:cs="Arial"/>
          <w:sz w:val="20"/>
          <w:szCs w:val="20"/>
          <w:lang w:eastAsia="cs-CZ"/>
        </w:rPr>
        <w:t>projektu na realizaci projektu: „</w:t>
      </w:r>
      <w:r w:rsidRPr="00A66487">
        <w:rPr>
          <w:rFonts w:ascii="Arial" w:eastAsia="Times New Roman" w:hAnsi="Arial" w:cs="Arial"/>
          <w:noProof/>
          <w:sz w:val="20"/>
          <w:szCs w:val="20"/>
          <w:lang w:eastAsia="cs-CZ"/>
        </w:rPr>
        <w:t>OPRAVA LESNÍCH PŘIBLIŽOVACÍCH LINEK LOKALITA - MLADÝ HÁJ</w:t>
      </w:r>
      <w:r w:rsidRPr="00A66487">
        <w:rPr>
          <w:rFonts w:ascii="Arial" w:eastAsia="Times New Roman" w:hAnsi="Arial" w:cs="Arial"/>
          <w:sz w:val="20"/>
          <w:szCs w:val="20"/>
          <w:lang w:eastAsia="cs-CZ"/>
        </w:rPr>
        <w:t xml:space="preserve">“ (dále jen „projekt“), evidovaného pod registračním číslem žádosti o poskytnutí dotace </w:t>
      </w:r>
      <w:r w:rsidRPr="00A66487">
        <w:rPr>
          <w:rFonts w:ascii="Arial" w:eastAsia="Times New Roman" w:hAnsi="Arial" w:cs="Arial"/>
          <w:noProof/>
          <w:sz w:val="20"/>
          <w:szCs w:val="20"/>
          <w:lang w:eastAsia="cs-CZ"/>
        </w:rPr>
        <w:t>RP17-17DT2/039</w:t>
      </w:r>
      <w:r w:rsidRPr="00A66487">
        <w:rPr>
          <w:rFonts w:ascii="Arial" w:eastAsia="Times New Roman" w:hAnsi="Arial" w:cs="Arial"/>
          <w:sz w:val="20"/>
          <w:szCs w:val="20"/>
          <w:lang w:eastAsia="cs-CZ"/>
        </w:rPr>
        <w:t>, který je blíže popsán v žádosti o poskytnutí dotace.</w:t>
      </w:r>
    </w:p>
    <w:p w:rsidR="00A66487" w:rsidRPr="00A66487" w:rsidRDefault="00A66487" w:rsidP="00A6648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A66487" w:rsidRPr="00A66487" w:rsidRDefault="00A66487" w:rsidP="00A66487">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A66487" w:rsidRPr="00A66487" w:rsidRDefault="00A66487" w:rsidP="00A66487">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A66487" w:rsidRPr="00A66487" w:rsidRDefault="00A66487" w:rsidP="00A66487">
      <w:pPr>
        <w:keepNext/>
        <w:keepLines/>
        <w:tabs>
          <w:tab w:val="left" w:pos="8928"/>
        </w:tabs>
        <w:spacing w:before="120" w:after="0"/>
        <w:jc w:val="center"/>
        <w:outlineLvl w:val="0"/>
        <w:rPr>
          <w:rFonts w:ascii="Arial" w:hAnsi="Arial" w:cs="Arial"/>
          <w:b/>
          <w:snapToGrid w:val="0"/>
          <w:sz w:val="20"/>
          <w:szCs w:val="20"/>
        </w:rPr>
      </w:pPr>
    </w:p>
    <w:p w:rsidR="00A66487" w:rsidRPr="00A66487" w:rsidRDefault="00A66487" w:rsidP="00A66487">
      <w:pPr>
        <w:keepNext/>
        <w:keepLines/>
        <w:tabs>
          <w:tab w:val="left" w:pos="8928"/>
        </w:tabs>
        <w:spacing w:before="120" w:after="0"/>
        <w:jc w:val="center"/>
        <w:outlineLvl w:val="0"/>
        <w:rPr>
          <w:rFonts w:ascii="Arial" w:hAnsi="Arial" w:cs="Arial"/>
          <w:b/>
          <w:snapToGrid w:val="0"/>
          <w:sz w:val="20"/>
          <w:szCs w:val="20"/>
        </w:rPr>
      </w:pPr>
      <w:r w:rsidRPr="00A66487">
        <w:rPr>
          <w:rFonts w:ascii="Arial" w:hAnsi="Arial" w:cs="Arial"/>
          <w:b/>
          <w:snapToGrid w:val="0"/>
          <w:sz w:val="20"/>
          <w:szCs w:val="20"/>
        </w:rPr>
        <w:t>II.</w:t>
      </w:r>
    </w:p>
    <w:p w:rsidR="00A66487" w:rsidRPr="00A66487" w:rsidRDefault="00A66487" w:rsidP="00A66487">
      <w:pPr>
        <w:keepNext/>
        <w:keepLines/>
        <w:tabs>
          <w:tab w:val="left" w:pos="8928"/>
        </w:tabs>
        <w:spacing w:after="120"/>
        <w:jc w:val="center"/>
        <w:outlineLvl w:val="0"/>
        <w:rPr>
          <w:rFonts w:ascii="Arial" w:hAnsi="Arial" w:cs="Arial"/>
          <w:b/>
          <w:snapToGrid w:val="0"/>
          <w:sz w:val="20"/>
          <w:szCs w:val="20"/>
        </w:rPr>
      </w:pPr>
      <w:r w:rsidRPr="00A66487">
        <w:rPr>
          <w:rFonts w:ascii="Arial" w:hAnsi="Arial" w:cs="Arial"/>
          <w:b/>
          <w:snapToGrid w:val="0"/>
          <w:sz w:val="20"/>
          <w:szCs w:val="20"/>
        </w:rPr>
        <w:t>Doba realizace</w:t>
      </w:r>
    </w:p>
    <w:p w:rsidR="00A66487" w:rsidRPr="00A66487" w:rsidRDefault="00A66487" w:rsidP="00A6648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A66487">
        <w:rPr>
          <w:rFonts w:ascii="Arial" w:eastAsia="Times New Roman" w:hAnsi="Arial" w:cs="Arial"/>
          <w:sz w:val="20"/>
          <w:szCs w:val="20"/>
          <w:lang w:eastAsia="cs-CZ"/>
        </w:rPr>
        <w:t>Realizaci projektu lze zahájit nejdříve od 1.1.2017</w:t>
      </w:r>
    </w:p>
    <w:p w:rsidR="00A66487" w:rsidRPr="00A66487" w:rsidRDefault="00A66487" w:rsidP="00A6648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A66487">
        <w:rPr>
          <w:rFonts w:ascii="Arial" w:eastAsia="Times New Roman" w:hAnsi="Arial" w:cs="Arial"/>
          <w:sz w:val="20"/>
          <w:szCs w:val="20"/>
          <w:lang w:eastAsia="cs-CZ"/>
        </w:rPr>
        <w:t>Realizace projektu musí být ukončena nejpozději k datu 31.10 2017.</w:t>
      </w:r>
      <w:r w:rsidRPr="00A66487">
        <w:rPr>
          <w:rFonts w:ascii="Arial" w:eastAsia="Times New Roman" w:hAnsi="Arial" w:cs="Arial"/>
          <w:i/>
          <w:color w:val="0070C0"/>
          <w:sz w:val="16"/>
          <w:szCs w:val="16"/>
          <w:lang w:eastAsia="cs-CZ"/>
        </w:rPr>
        <w:t xml:space="preserve"> </w:t>
      </w:r>
    </w:p>
    <w:p w:rsidR="00A66487" w:rsidRPr="00A66487" w:rsidRDefault="00A66487" w:rsidP="00A66487">
      <w:pPr>
        <w:rPr>
          <w:rFonts w:ascii="Arial" w:eastAsia="Times New Roman" w:hAnsi="Arial" w:cs="Times New Roman"/>
          <w:sz w:val="20"/>
          <w:szCs w:val="20"/>
          <w:lang w:eastAsia="cs-CZ"/>
        </w:rPr>
      </w:pPr>
      <w:r w:rsidRPr="00A66487">
        <w:rPr>
          <w:rFonts w:ascii="Arial" w:hAnsi="Arial"/>
          <w:sz w:val="20"/>
        </w:rPr>
        <w:br w:type="page"/>
      </w:r>
    </w:p>
    <w:p w:rsidR="00A66487" w:rsidRPr="00A66487" w:rsidRDefault="00A66487" w:rsidP="00A66487">
      <w:pPr>
        <w:keepNext/>
        <w:tabs>
          <w:tab w:val="left" w:pos="2016"/>
          <w:tab w:val="left" w:pos="3168"/>
          <w:tab w:val="left" w:pos="4320"/>
          <w:tab w:val="left" w:pos="5472"/>
          <w:tab w:val="left" w:pos="6624"/>
          <w:tab w:val="left" w:pos="7776"/>
          <w:tab w:val="left" w:pos="8928"/>
        </w:tabs>
        <w:spacing w:beforeLines="60" w:before="144" w:after="120" w:line="240" w:lineRule="auto"/>
        <w:jc w:val="both"/>
        <w:rPr>
          <w:rFonts w:ascii="Arial" w:eastAsia="Times New Roman" w:hAnsi="Arial" w:cs="Times New Roman"/>
          <w:sz w:val="20"/>
          <w:szCs w:val="20"/>
          <w:lang w:eastAsia="cs-CZ"/>
        </w:rPr>
      </w:pPr>
    </w:p>
    <w:p w:rsidR="00A66487" w:rsidRPr="00A66487" w:rsidRDefault="00A66487" w:rsidP="00A66487">
      <w:pPr>
        <w:widowControl w:val="0"/>
        <w:tabs>
          <w:tab w:val="left" w:pos="708"/>
          <w:tab w:val="left" w:pos="8928"/>
        </w:tabs>
        <w:spacing w:after="0"/>
        <w:jc w:val="center"/>
        <w:rPr>
          <w:rFonts w:ascii="Arial" w:hAnsi="Arial" w:cs="Arial"/>
          <w:b/>
          <w:snapToGrid w:val="0"/>
          <w:sz w:val="20"/>
          <w:szCs w:val="20"/>
        </w:rPr>
      </w:pPr>
      <w:r w:rsidRPr="00A66487">
        <w:rPr>
          <w:rFonts w:ascii="Arial" w:hAnsi="Arial" w:cs="Arial"/>
          <w:b/>
          <w:snapToGrid w:val="0"/>
          <w:sz w:val="20"/>
          <w:szCs w:val="20"/>
        </w:rPr>
        <w:t>III.</w:t>
      </w:r>
    </w:p>
    <w:p w:rsidR="00A66487" w:rsidRPr="00A66487" w:rsidRDefault="00A66487" w:rsidP="00A66487">
      <w:pPr>
        <w:widowControl w:val="0"/>
        <w:tabs>
          <w:tab w:val="left" w:pos="708"/>
          <w:tab w:val="left" w:pos="8928"/>
        </w:tabs>
        <w:spacing w:after="120"/>
        <w:jc w:val="center"/>
        <w:rPr>
          <w:rFonts w:ascii="Arial" w:hAnsi="Arial" w:cs="Arial"/>
          <w:b/>
          <w:snapToGrid w:val="0"/>
          <w:sz w:val="20"/>
          <w:szCs w:val="20"/>
        </w:rPr>
      </w:pPr>
      <w:r w:rsidRPr="00A66487">
        <w:rPr>
          <w:rFonts w:ascii="Arial" w:hAnsi="Arial" w:cs="Arial"/>
          <w:b/>
          <w:snapToGrid w:val="0"/>
          <w:sz w:val="20"/>
          <w:szCs w:val="20"/>
        </w:rPr>
        <w:t xml:space="preserve">Monitorovací indikátory </w:t>
      </w:r>
    </w:p>
    <w:p w:rsidR="00A66487" w:rsidRPr="00A66487" w:rsidRDefault="00A66487" w:rsidP="00A66487">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 xml:space="preserve">Během realizace projektu se příjemce zavazuje dodržet </w:t>
      </w:r>
      <w:r w:rsidRPr="00A66487">
        <w:rPr>
          <w:rFonts w:ascii="Arial" w:eastAsia="Times New Roman" w:hAnsi="Arial" w:cs="Arial"/>
          <w:b/>
          <w:snapToGrid w:val="0"/>
          <w:sz w:val="20"/>
          <w:szCs w:val="20"/>
          <w:lang w:eastAsia="cs-CZ"/>
        </w:rPr>
        <w:t>monitorovací indikátory projektu</w:t>
      </w:r>
      <w:r w:rsidRPr="00A66487">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A66487" w:rsidRPr="00A66487" w:rsidRDefault="00A66487" w:rsidP="00A66487">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A66487" w:rsidRPr="00A66487" w:rsidTr="00FB64D8">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A66487" w:rsidRPr="00A66487" w:rsidRDefault="00A66487" w:rsidP="00A66487">
            <w:pPr>
              <w:widowControl w:val="0"/>
              <w:tabs>
                <w:tab w:val="left" w:pos="360"/>
                <w:tab w:val="left" w:pos="8928"/>
              </w:tabs>
              <w:spacing w:before="60" w:after="60"/>
              <w:jc w:val="center"/>
              <w:rPr>
                <w:rFonts w:ascii="Arial" w:hAnsi="Arial" w:cs="Arial"/>
                <w:b/>
                <w:snapToGrid w:val="0"/>
                <w:sz w:val="16"/>
                <w:szCs w:val="16"/>
              </w:rPr>
            </w:pPr>
            <w:r w:rsidRPr="00A66487">
              <w:rPr>
                <w:rFonts w:ascii="Arial" w:hAnsi="Arial" w:cs="Arial"/>
                <w:b/>
                <w:snapToGrid w:val="0"/>
                <w:sz w:val="16"/>
                <w:szCs w:val="16"/>
              </w:rPr>
              <w:t>MONITOROVACÍ INDIKÁTORY - VÝSTUPY PROJEKTU</w:t>
            </w:r>
          </w:p>
        </w:tc>
      </w:tr>
      <w:tr w:rsidR="00A66487" w:rsidRPr="00A66487" w:rsidTr="00FB64D8">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A66487" w:rsidRPr="00A66487" w:rsidRDefault="00A66487" w:rsidP="00A66487">
            <w:pPr>
              <w:widowControl w:val="0"/>
              <w:tabs>
                <w:tab w:val="left" w:pos="360"/>
                <w:tab w:val="left" w:pos="8928"/>
              </w:tabs>
              <w:jc w:val="center"/>
              <w:rPr>
                <w:rFonts w:ascii="Arial" w:hAnsi="Arial" w:cs="Arial"/>
                <w:snapToGrid w:val="0"/>
                <w:sz w:val="16"/>
                <w:szCs w:val="16"/>
              </w:rPr>
            </w:pPr>
            <w:r w:rsidRPr="00A66487">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A66487" w:rsidRPr="00A66487" w:rsidRDefault="00A66487" w:rsidP="00A66487">
            <w:pPr>
              <w:widowControl w:val="0"/>
              <w:tabs>
                <w:tab w:val="left" w:pos="360"/>
                <w:tab w:val="left" w:pos="8928"/>
              </w:tabs>
              <w:jc w:val="center"/>
              <w:rPr>
                <w:rFonts w:ascii="Arial" w:hAnsi="Arial" w:cs="Arial"/>
                <w:snapToGrid w:val="0"/>
                <w:sz w:val="16"/>
                <w:szCs w:val="16"/>
              </w:rPr>
            </w:pPr>
            <w:r w:rsidRPr="00A66487">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A66487" w:rsidRPr="00A66487" w:rsidRDefault="00A66487" w:rsidP="00A66487">
            <w:pPr>
              <w:widowControl w:val="0"/>
              <w:tabs>
                <w:tab w:val="left" w:pos="360"/>
                <w:tab w:val="left" w:pos="8928"/>
              </w:tabs>
              <w:jc w:val="center"/>
              <w:rPr>
                <w:rFonts w:ascii="Arial" w:hAnsi="Arial" w:cs="Arial"/>
                <w:snapToGrid w:val="0"/>
                <w:sz w:val="16"/>
                <w:szCs w:val="16"/>
              </w:rPr>
            </w:pPr>
            <w:r w:rsidRPr="00A66487">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A66487" w:rsidRPr="00A66487" w:rsidRDefault="00A66487" w:rsidP="00A66487">
            <w:pPr>
              <w:widowControl w:val="0"/>
              <w:tabs>
                <w:tab w:val="left" w:pos="360"/>
                <w:tab w:val="left" w:pos="8928"/>
              </w:tabs>
              <w:jc w:val="center"/>
              <w:rPr>
                <w:rFonts w:ascii="Arial" w:hAnsi="Arial" w:cs="Arial"/>
                <w:snapToGrid w:val="0"/>
                <w:sz w:val="16"/>
                <w:szCs w:val="16"/>
              </w:rPr>
            </w:pPr>
            <w:r w:rsidRPr="00A66487">
              <w:rPr>
                <w:rFonts w:ascii="Arial" w:hAnsi="Arial" w:cs="Arial"/>
                <w:snapToGrid w:val="0"/>
                <w:sz w:val="16"/>
                <w:szCs w:val="16"/>
              </w:rPr>
              <w:t>Minimální závazná hodnota</w:t>
            </w:r>
          </w:p>
        </w:tc>
      </w:tr>
      <w:tr w:rsidR="00A66487" w:rsidRPr="00A66487" w:rsidTr="00FB64D8">
        <w:trPr>
          <w:trHeight w:hRule="exact" w:val="694"/>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rsidR="00A66487" w:rsidRPr="00A66487" w:rsidRDefault="00A66487" w:rsidP="00A66487">
            <w:pPr>
              <w:widowControl w:val="0"/>
              <w:tabs>
                <w:tab w:val="left" w:pos="360"/>
                <w:tab w:val="left" w:pos="8928"/>
              </w:tabs>
              <w:jc w:val="both"/>
              <w:rPr>
                <w:rFonts w:ascii="Arial" w:hAnsi="Arial" w:cs="Arial"/>
                <w:snapToGrid w:val="0"/>
                <w:sz w:val="18"/>
                <w:szCs w:val="18"/>
              </w:rPr>
            </w:pPr>
            <w:r w:rsidRPr="00A66487">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rsidR="00A66487" w:rsidRPr="00A66487" w:rsidRDefault="00A66487" w:rsidP="00A66487">
            <w:pPr>
              <w:widowControl w:val="0"/>
              <w:tabs>
                <w:tab w:val="left" w:pos="360"/>
                <w:tab w:val="left" w:pos="8928"/>
              </w:tabs>
              <w:jc w:val="both"/>
              <w:rPr>
                <w:rFonts w:ascii="Arial" w:hAnsi="Arial" w:cs="Arial"/>
                <w:snapToGrid w:val="0"/>
                <w:sz w:val="18"/>
                <w:szCs w:val="18"/>
              </w:rPr>
            </w:pPr>
            <w:r w:rsidRPr="00A66487">
              <w:rPr>
                <w:rFonts w:ascii="Arial" w:hAnsi="Arial" w:cs="Arial"/>
                <w:noProof/>
                <w:snapToGrid w:val="0"/>
                <w:sz w:val="18"/>
                <w:szCs w:val="18"/>
              </w:rPr>
              <w:t>Počet rekonstruovaných a doplněných objektů – drenáž, trativod, propustek, pramenná jímka, vsakovací objekt, protipožární nádržka</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A66487" w:rsidRPr="00A66487" w:rsidRDefault="00A66487" w:rsidP="00A66487">
            <w:pPr>
              <w:widowControl w:val="0"/>
              <w:tabs>
                <w:tab w:val="left" w:pos="360"/>
                <w:tab w:val="left" w:pos="8928"/>
              </w:tabs>
              <w:jc w:val="center"/>
              <w:rPr>
                <w:rFonts w:ascii="Arial" w:hAnsi="Arial" w:cs="Arial"/>
                <w:snapToGrid w:val="0"/>
                <w:sz w:val="18"/>
                <w:szCs w:val="18"/>
              </w:rPr>
            </w:pPr>
            <w:r w:rsidRPr="00A66487">
              <w:rPr>
                <w:rFonts w:ascii="Arial" w:hAnsi="Arial" w:cs="Arial"/>
                <w:noProof/>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A66487" w:rsidRPr="00A66487" w:rsidRDefault="00A66487" w:rsidP="00A66487">
            <w:pPr>
              <w:widowControl w:val="0"/>
              <w:tabs>
                <w:tab w:val="left" w:pos="360"/>
                <w:tab w:val="left" w:pos="8928"/>
              </w:tabs>
              <w:jc w:val="center"/>
              <w:rPr>
                <w:rFonts w:ascii="Arial" w:hAnsi="Arial" w:cs="Arial"/>
                <w:snapToGrid w:val="0"/>
                <w:sz w:val="18"/>
                <w:szCs w:val="18"/>
              </w:rPr>
            </w:pPr>
            <w:r w:rsidRPr="00A66487">
              <w:rPr>
                <w:rFonts w:ascii="Arial" w:hAnsi="Arial" w:cs="Arial"/>
                <w:noProof/>
                <w:snapToGrid w:val="0"/>
                <w:sz w:val="18"/>
                <w:szCs w:val="18"/>
              </w:rPr>
              <w:t>2</w:t>
            </w:r>
          </w:p>
        </w:tc>
      </w:tr>
      <w:tr w:rsidR="00A66487" w:rsidRPr="00A66487" w:rsidTr="00FB64D8">
        <w:trPr>
          <w:trHeight w:hRule="exact" w:val="704"/>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rsidR="00A66487" w:rsidRPr="00A66487" w:rsidRDefault="00A66487" w:rsidP="00A66487">
            <w:pPr>
              <w:widowControl w:val="0"/>
              <w:tabs>
                <w:tab w:val="left" w:pos="360"/>
                <w:tab w:val="left" w:pos="8928"/>
              </w:tabs>
              <w:jc w:val="both"/>
              <w:rPr>
                <w:rFonts w:ascii="Arial" w:hAnsi="Arial" w:cs="Arial"/>
                <w:snapToGrid w:val="0"/>
                <w:sz w:val="18"/>
                <w:szCs w:val="18"/>
              </w:rPr>
            </w:pPr>
            <w:r w:rsidRPr="00A66487">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rsidR="00A66487" w:rsidRPr="00A66487" w:rsidRDefault="00A66487" w:rsidP="00A66487">
            <w:pPr>
              <w:widowControl w:val="0"/>
              <w:tabs>
                <w:tab w:val="left" w:pos="360"/>
                <w:tab w:val="left" w:pos="8928"/>
              </w:tabs>
              <w:jc w:val="both"/>
              <w:rPr>
                <w:rFonts w:ascii="Arial" w:hAnsi="Arial" w:cs="Arial"/>
                <w:snapToGrid w:val="0"/>
                <w:sz w:val="18"/>
                <w:szCs w:val="18"/>
              </w:rPr>
            </w:pPr>
            <w:r w:rsidRPr="00A66487">
              <w:rPr>
                <w:rFonts w:ascii="Arial" w:hAnsi="Arial" w:cs="Arial"/>
                <w:noProof/>
                <w:snapToGrid w:val="0"/>
                <w:sz w:val="18"/>
                <w:szCs w:val="18"/>
              </w:rPr>
              <w:t>Počet nově zřízených ostatních částí stavby – rigol, drenáž, zához, rovnanina, opěrná a zárubní zeď, úpravy zářezových i násypových svahů včetně jejich protierozní ochrany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66487" w:rsidRPr="00A66487" w:rsidRDefault="00A66487" w:rsidP="00A66487">
            <w:pPr>
              <w:widowControl w:val="0"/>
              <w:tabs>
                <w:tab w:val="left" w:pos="360"/>
                <w:tab w:val="left" w:pos="8928"/>
              </w:tabs>
              <w:jc w:val="center"/>
              <w:rPr>
                <w:rFonts w:ascii="Arial" w:hAnsi="Arial" w:cs="Arial"/>
                <w:snapToGrid w:val="0"/>
                <w:sz w:val="18"/>
                <w:szCs w:val="18"/>
              </w:rPr>
            </w:pPr>
            <w:r w:rsidRPr="00A66487">
              <w:rPr>
                <w:rFonts w:ascii="Arial" w:hAnsi="Arial" w:cs="Arial"/>
                <w:noProof/>
                <w:snapToGrid w:val="0"/>
                <w:sz w:val="18"/>
                <w:szCs w:val="18"/>
              </w:rPr>
              <w:t>ks</w:t>
            </w:r>
          </w:p>
        </w:tc>
        <w:tc>
          <w:tcPr>
            <w:tcW w:w="825"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rsidR="00A66487" w:rsidRPr="00A66487" w:rsidRDefault="00A66487" w:rsidP="00A66487">
            <w:pPr>
              <w:widowControl w:val="0"/>
              <w:tabs>
                <w:tab w:val="left" w:pos="360"/>
                <w:tab w:val="left" w:pos="8928"/>
              </w:tabs>
              <w:jc w:val="center"/>
              <w:rPr>
                <w:rFonts w:ascii="Arial" w:hAnsi="Arial" w:cs="Arial"/>
                <w:snapToGrid w:val="0"/>
                <w:sz w:val="18"/>
                <w:szCs w:val="18"/>
              </w:rPr>
            </w:pPr>
            <w:r w:rsidRPr="00A66487">
              <w:rPr>
                <w:rFonts w:ascii="Arial" w:hAnsi="Arial" w:cs="Arial"/>
                <w:noProof/>
                <w:snapToGrid w:val="0"/>
                <w:sz w:val="18"/>
                <w:szCs w:val="18"/>
              </w:rPr>
              <w:t>23</w:t>
            </w:r>
          </w:p>
        </w:tc>
      </w:tr>
    </w:tbl>
    <w:p w:rsidR="00A66487" w:rsidRPr="00A66487" w:rsidRDefault="00A66487" w:rsidP="00A66487">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A66487" w:rsidRPr="00A66487" w:rsidRDefault="00A66487" w:rsidP="00A66487">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A66487">
        <w:rPr>
          <w:rFonts w:ascii="Arial" w:eastAsia="Times New Roman" w:hAnsi="Arial" w:cs="Arial"/>
          <w:b/>
          <w:snapToGrid w:val="0"/>
          <w:sz w:val="20"/>
          <w:szCs w:val="20"/>
          <w:lang w:eastAsia="cs-CZ"/>
        </w:rPr>
        <w:t>o 5%</w:t>
      </w:r>
      <w:r w:rsidRPr="00A66487">
        <w:rPr>
          <w:rFonts w:ascii="Arial" w:eastAsia="Times New Roman" w:hAnsi="Arial" w:cs="Arial"/>
          <w:snapToGrid w:val="0"/>
          <w:sz w:val="20"/>
          <w:szCs w:val="20"/>
          <w:lang w:eastAsia="cs-CZ"/>
        </w:rPr>
        <w:t>,</w:t>
      </w:r>
      <w:r w:rsidRPr="00A66487">
        <w:rPr>
          <w:rFonts w:ascii="Arial" w:eastAsia="Times New Roman" w:hAnsi="Arial" w:cs="Arial"/>
          <w:snapToGrid w:val="0"/>
          <w:color w:val="7030A0"/>
          <w:sz w:val="20"/>
          <w:szCs w:val="20"/>
          <w:lang w:eastAsia="cs-CZ"/>
        </w:rPr>
        <w:t xml:space="preserve"> </w:t>
      </w:r>
      <w:r w:rsidRPr="00A66487">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A66487" w:rsidRPr="00A66487" w:rsidRDefault="00A66487" w:rsidP="00A66487">
      <w:pPr>
        <w:widowControl w:val="0"/>
        <w:tabs>
          <w:tab w:val="left" w:pos="8928"/>
        </w:tabs>
        <w:spacing w:after="0" w:line="240" w:lineRule="auto"/>
        <w:ind w:left="360"/>
        <w:contextualSpacing/>
        <w:jc w:val="both"/>
        <w:rPr>
          <w:rFonts w:ascii="Arial" w:eastAsia="Times New Roman" w:hAnsi="Arial" w:cs="Arial"/>
          <w:snapToGrid w:val="0"/>
          <w:sz w:val="8"/>
          <w:szCs w:val="8"/>
          <w:lang w:eastAsia="cs-CZ"/>
        </w:rPr>
      </w:pPr>
    </w:p>
    <w:p w:rsidR="00A66487" w:rsidRPr="00A66487" w:rsidRDefault="00A66487" w:rsidP="00A66487">
      <w:pPr>
        <w:widowControl w:val="0"/>
        <w:tabs>
          <w:tab w:val="left" w:pos="708"/>
          <w:tab w:val="left" w:pos="8928"/>
        </w:tabs>
        <w:spacing w:after="60"/>
        <w:jc w:val="center"/>
        <w:rPr>
          <w:rFonts w:ascii="Arial" w:hAnsi="Arial" w:cs="Arial"/>
          <w:b/>
          <w:snapToGrid w:val="0"/>
          <w:sz w:val="20"/>
          <w:szCs w:val="20"/>
        </w:rPr>
      </w:pPr>
      <w:r w:rsidRPr="00A66487">
        <w:rPr>
          <w:rFonts w:ascii="Arial" w:hAnsi="Arial" w:cs="Arial"/>
          <w:b/>
          <w:snapToGrid w:val="0"/>
          <w:sz w:val="20"/>
          <w:szCs w:val="20"/>
        </w:rPr>
        <w:t>IV.</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A66487">
        <w:rPr>
          <w:rFonts w:ascii="Arial" w:eastAsia="Times New Roman" w:hAnsi="Arial" w:cs="Arial"/>
          <w:b/>
          <w:snapToGrid w:val="0"/>
          <w:sz w:val="20"/>
          <w:szCs w:val="20"/>
          <w:lang w:eastAsia="cs-CZ"/>
        </w:rPr>
        <w:t>Financování projektu</w:t>
      </w:r>
    </w:p>
    <w:p w:rsidR="00A66487" w:rsidRPr="00A66487" w:rsidRDefault="00A66487" w:rsidP="00A66487">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A66487">
        <w:rPr>
          <w:rFonts w:ascii="Arial" w:eastAsia="Times New Roman" w:hAnsi="Arial" w:cs="Arial"/>
          <w:sz w:val="20"/>
          <w:szCs w:val="20"/>
          <w:lang w:eastAsia="cs-CZ"/>
        </w:rPr>
        <w:t xml:space="preserve">Dotace bude příjemci poskytnuta na účet uvedený v záhlaví této smlouvy následujícím způsobem: </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A66487">
        <w:rPr>
          <w:rFonts w:ascii="Arial" w:eastAsia="Times New Roman" w:hAnsi="Arial" w:cs="Arial"/>
          <w:b/>
          <w:sz w:val="20"/>
          <w:szCs w:val="20"/>
          <w:lang w:eastAsia="cs-CZ"/>
        </w:rPr>
        <w:t xml:space="preserve">do 30 pracovních dnů po schválení Závěrečné zprávy s vyúčtováním dotace </w:t>
      </w:r>
      <w:r w:rsidRPr="00A66487">
        <w:rPr>
          <w:rFonts w:ascii="Arial" w:eastAsia="Times New Roman" w:hAnsi="Arial" w:cs="Arial"/>
          <w:sz w:val="20"/>
          <w:szCs w:val="20"/>
          <w:lang w:eastAsia="cs-CZ"/>
        </w:rPr>
        <w:t>předložené příjemcem dle odst. 4.3 tohoto článku.</w:t>
      </w:r>
    </w:p>
    <w:p w:rsidR="00A66487" w:rsidRPr="00A66487" w:rsidRDefault="00A66487" w:rsidP="00A66487">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A66487">
        <w:rPr>
          <w:rFonts w:ascii="Arial" w:eastAsia="Times New Roman" w:hAnsi="Arial" w:cs="Arial"/>
          <w:b/>
          <w:sz w:val="20"/>
          <w:szCs w:val="20"/>
          <w:lang w:eastAsia="cs-CZ"/>
        </w:rPr>
        <w:t>Předpokládané celkové způsobilé výdaje</w:t>
      </w:r>
      <w:r w:rsidRPr="00A66487">
        <w:rPr>
          <w:rFonts w:ascii="Arial" w:eastAsia="Times New Roman" w:hAnsi="Arial" w:cs="Arial"/>
          <w:sz w:val="20"/>
          <w:szCs w:val="20"/>
          <w:lang w:eastAsia="cs-CZ"/>
        </w:rPr>
        <w:t xml:space="preserve"> projektu činí </w:t>
      </w:r>
      <w:r w:rsidRPr="00A66487">
        <w:rPr>
          <w:rFonts w:ascii="Arial" w:eastAsia="Times New Roman" w:hAnsi="Arial" w:cs="Arial"/>
          <w:noProof/>
          <w:sz w:val="20"/>
          <w:szCs w:val="20"/>
          <w:lang w:eastAsia="cs-CZ"/>
        </w:rPr>
        <w:t>279174</w:t>
      </w:r>
      <w:r w:rsidRPr="00A66487">
        <w:rPr>
          <w:rFonts w:ascii="Arial" w:eastAsia="Times New Roman" w:hAnsi="Arial" w:cs="Arial"/>
          <w:sz w:val="20"/>
          <w:szCs w:val="20"/>
          <w:lang w:eastAsia="cs-CZ"/>
        </w:rPr>
        <w:t xml:space="preserve"> Kč. Pokud </w:t>
      </w:r>
      <w:r w:rsidRPr="00A66487">
        <w:rPr>
          <w:rFonts w:ascii="Arial" w:eastAsia="Times New Roman" w:hAnsi="Arial" w:cs="Arial"/>
          <w:b/>
          <w:sz w:val="20"/>
          <w:szCs w:val="20"/>
          <w:lang w:eastAsia="cs-CZ"/>
        </w:rPr>
        <w:t>skutečné celkové způsobilé výdaje</w:t>
      </w:r>
      <w:r w:rsidRPr="00A66487">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A66487" w:rsidRPr="00A66487" w:rsidRDefault="00A66487" w:rsidP="00A66487">
      <w:pPr>
        <w:spacing w:before="120" w:after="0" w:line="240" w:lineRule="auto"/>
        <w:ind w:left="360"/>
        <w:contextualSpacing/>
        <w:jc w:val="both"/>
        <w:rPr>
          <w:rFonts w:ascii="Arial" w:eastAsia="Times New Roman" w:hAnsi="Arial" w:cs="Arial"/>
          <w:sz w:val="6"/>
          <w:szCs w:val="20"/>
          <w:lang w:eastAsia="cs-CZ"/>
        </w:rPr>
      </w:pPr>
    </w:p>
    <w:p w:rsidR="00A66487" w:rsidRPr="00A66487" w:rsidRDefault="00A66487" w:rsidP="00A66487">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A66487">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A66487">
        <w:rPr>
          <w:rFonts w:ascii="Arial" w:eastAsia="Times New Roman" w:hAnsi="Arial" w:cs="Arial"/>
          <w:b/>
          <w:sz w:val="20"/>
          <w:szCs w:val="24"/>
          <w:lang w:eastAsia="cs-CZ"/>
        </w:rPr>
        <w:t xml:space="preserve"> Závěrečnou zprávu s vyúčtováním dotace</w:t>
      </w:r>
      <w:r w:rsidRPr="00A66487">
        <w:rPr>
          <w:rFonts w:ascii="Arial" w:eastAsia="Times New Roman" w:hAnsi="Arial" w:cs="Arial"/>
          <w:sz w:val="20"/>
          <w:szCs w:val="20"/>
          <w:lang w:eastAsia="cs-CZ"/>
        </w:rPr>
        <w:t xml:space="preserve">, a to nejpozději </w:t>
      </w:r>
      <w:r w:rsidRPr="00A66487">
        <w:rPr>
          <w:rFonts w:ascii="Arial" w:eastAsia="Times New Roman" w:hAnsi="Arial" w:cs="Arial"/>
          <w:b/>
          <w:sz w:val="20"/>
          <w:szCs w:val="20"/>
          <w:lang w:eastAsia="cs-CZ"/>
        </w:rPr>
        <w:t xml:space="preserve">do 1.11.2017 </w:t>
      </w:r>
      <w:r w:rsidRPr="00A66487">
        <w:rPr>
          <w:rFonts w:ascii="Arial" w:eastAsia="Times New Roman" w:hAnsi="Arial" w:cs="Arial"/>
          <w:i/>
          <w:color w:val="0070C0"/>
          <w:sz w:val="16"/>
          <w:szCs w:val="16"/>
          <w:lang w:eastAsia="cs-CZ"/>
        </w:rPr>
        <w:t>.</w:t>
      </w:r>
    </w:p>
    <w:p w:rsidR="00A66487" w:rsidRPr="00A66487" w:rsidRDefault="00A66487" w:rsidP="00A66487">
      <w:pPr>
        <w:spacing w:before="120" w:after="120" w:line="240" w:lineRule="auto"/>
        <w:ind w:left="360"/>
        <w:contextualSpacing/>
        <w:jc w:val="both"/>
        <w:rPr>
          <w:rFonts w:ascii="Arial" w:eastAsia="Times New Roman" w:hAnsi="Arial" w:cs="Arial"/>
          <w:i/>
          <w:color w:val="00B050"/>
          <w:sz w:val="10"/>
          <w:szCs w:val="10"/>
          <w:lang w:eastAsia="cs-CZ"/>
        </w:rPr>
      </w:pPr>
    </w:p>
    <w:p w:rsidR="00A66487" w:rsidRPr="00A66487" w:rsidRDefault="00A66487" w:rsidP="00A66487">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A66487">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A66487">
        <w:rPr>
          <w:rFonts w:ascii="Arial" w:eastAsia="Times New Roman" w:hAnsi="Arial" w:cs="Arial"/>
          <w:sz w:val="20"/>
          <w:szCs w:val="24"/>
          <w:u w:val="single"/>
          <w:lang w:eastAsia="cs-CZ"/>
        </w:rPr>
        <w:t>předložení účetních dokladů</w:t>
      </w:r>
      <w:r w:rsidRPr="00A66487">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A66487">
        <w:rPr>
          <w:rFonts w:ascii="Arial" w:eastAsia="Times New Roman" w:hAnsi="Arial" w:cs="Arial"/>
          <w:sz w:val="20"/>
          <w:szCs w:val="24"/>
          <w:u w:val="single"/>
          <w:lang w:eastAsia="cs-CZ"/>
        </w:rPr>
        <w:t>ve výši celkových způsobilých výdajů projektu</w:t>
      </w:r>
      <w:r w:rsidRPr="00A66487">
        <w:rPr>
          <w:rFonts w:ascii="Arial" w:eastAsia="Times New Roman" w:hAnsi="Arial" w:cs="Arial"/>
          <w:sz w:val="20"/>
          <w:szCs w:val="24"/>
          <w:lang w:eastAsia="cs-CZ"/>
        </w:rPr>
        <w:t xml:space="preserve"> a </w:t>
      </w:r>
      <w:r w:rsidRPr="00A66487">
        <w:rPr>
          <w:rFonts w:ascii="Arial" w:eastAsia="Times New Roman" w:hAnsi="Arial" w:cs="Arial"/>
          <w:sz w:val="20"/>
          <w:szCs w:val="24"/>
          <w:u w:val="single"/>
          <w:lang w:eastAsia="cs-CZ"/>
        </w:rPr>
        <w:t>dokladů prokazujících jejich úhradu</w:t>
      </w:r>
      <w:r w:rsidRPr="00A66487">
        <w:rPr>
          <w:rFonts w:ascii="Arial" w:eastAsia="Times New Roman" w:hAnsi="Arial" w:cs="Arial"/>
          <w:sz w:val="20"/>
          <w:szCs w:val="24"/>
          <w:lang w:eastAsia="cs-CZ"/>
        </w:rPr>
        <w:t xml:space="preserve"> (tj. výpisy z bankovního účtu, výdajové a příjmové pokladní doklady).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U dotačního titulu D1:</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fotodokumentaci předmětných aktivit, </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before="60" w:after="0" w:line="240" w:lineRule="auto"/>
        <w:ind w:firstLine="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U dotačního titulu D2: </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fotodokumentaci předmětných aktivit.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before="60" w:after="0" w:line="240" w:lineRule="auto"/>
        <w:ind w:left="1261" w:hanging="835"/>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U dotačního titulu D3:</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fotodokumentaci předmětných aktivit, </w:t>
      </w:r>
    </w:p>
    <w:p w:rsidR="00A66487" w:rsidRPr="00A66487" w:rsidRDefault="00A66487" w:rsidP="00A66487">
      <w:pPr>
        <w:widowControl w:val="0"/>
        <w:numPr>
          <w:ilvl w:val="0"/>
          <w:numId w:val="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color w:val="0070C0"/>
          <w:sz w:val="16"/>
          <w:szCs w:val="16"/>
          <w:lang w:eastAsia="cs-CZ"/>
        </w:rPr>
      </w:pPr>
      <w:r w:rsidRPr="00A66487">
        <w:rPr>
          <w:rFonts w:ascii="Arial" w:eastAsia="Times New Roman" w:hAnsi="Arial" w:cs="Arial"/>
          <w:sz w:val="20"/>
          <w:szCs w:val="20"/>
          <w:lang w:eastAsia="cs-CZ"/>
        </w:rPr>
        <w:t xml:space="preserve">u podporované aktivity vnášení plodonosných a vzácnějších druhů stanovištně vhodných </w:t>
      </w:r>
      <w:r w:rsidRPr="00A66487">
        <w:rPr>
          <w:rFonts w:ascii="Arial" w:eastAsia="Times New Roman" w:hAnsi="Arial" w:cs="Arial"/>
          <w:sz w:val="20"/>
          <w:szCs w:val="20"/>
          <w:lang w:eastAsia="cs-CZ"/>
        </w:rPr>
        <w:lastRenderedPageBreak/>
        <w:t>dřevin kopii průvodního listu sadebního materiálu.</w:t>
      </w:r>
    </w:p>
    <w:p w:rsidR="00A66487" w:rsidRPr="00A66487" w:rsidRDefault="00A66487" w:rsidP="00A66487">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A66487" w:rsidRPr="00A66487" w:rsidRDefault="00A66487" w:rsidP="00A66487">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A66487" w:rsidRPr="00A66487" w:rsidRDefault="00A66487" w:rsidP="00A6648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A66487" w:rsidRPr="00A66487" w:rsidRDefault="00A66487" w:rsidP="00A66487">
      <w:pPr>
        <w:keepNext/>
        <w:widowControl w:val="0"/>
        <w:tabs>
          <w:tab w:val="left" w:pos="708"/>
          <w:tab w:val="left" w:pos="8928"/>
        </w:tabs>
        <w:spacing w:before="60" w:after="0"/>
        <w:jc w:val="center"/>
        <w:rPr>
          <w:rFonts w:ascii="Arial" w:hAnsi="Arial" w:cs="Arial"/>
          <w:b/>
          <w:snapToGrid w:val="0"/>
          <w:sz w:val="20"/>
          <w:szCs w:val="20"/>
        </w:rPr>
      </w:pPr>
    </w:p>
    <w:p w:rsidR="00A66487" w:rsidRPr="00A66487" w:rsidRDefault="00A66487" w:rsidP="00A66487">
      <w:pPr>
        <w:keepNext/>
        <w:widowControl w:val="0"/>
        <w:tabs>
          <w:tab w:val="left" w:pos="708"/>
          <w:tab w:val="left" w:pos="8928"/>
        </w:tabs>
        <w:spacing w:before="60" w:after="0"/>
        <w:jc w:val="center"/>
        <w:rPr>
          <w:rFonts w:ascii="Arial" w:hAnsi="Arial" w:cs="Arial"/>
          <w:b/>
          <w:snapToGrid w:val="0"/>
          <w:sz w:val="20"/>
          <w:szCs w:val="20"/>
        </w:rPr>
      </w:pPr>
      <w:r w:rsidRPr="00A66487">
        <w:rPr>
          <w:rFonts w:ascii="Arial" w:hAnsi="Arial" w:cs="Arial"/>
          <w:b/>
          <w:snapToGrid w:val="0"/>
          <w:sz w:val="20"/>
          <w:szCs w:val="20"/>
        </w:rPr>
        <w:t>V.</w:t>
      </w:r>
    </w:p>
    <w:p w:rsidR="00A66487" w:rsidRPr="00A66487" w:rsidRDefault="00A66487" w:rsidP="00A66487">
      <w:pPr>
        <w:tabs>
          <w:tab w:val="left" w:pos="8928"/>
        </w:tabs>
        <w:spacing w:after="60" w:line="240" w:lineRule="auto"/>
        <w:contextualSpacing/>
        <w:jc w:val="center"/>
        <w:rPr>
          <w:rFonts w:ascii="Arial" w:eastAsia="Times New Roman" w:hAnsi="Arial" w:cs="Arial"/>
          <w:b/>
          <w:sz w:val="20"/>
          <w:szCs w:val="20"/>
          <w:lang w:eastAsia="cs-CZ"/>
        </w:rPr>
      </w:pPr>
      <w:r w:rsidRPr="00A66487">
        <w:rPr>
          <w:rFonts w:ascii="Arial" w:eastAsia="Times New Roman" w:hAnsi="Arial" w:cs="Arial"/>
          <w:b/>
          <w:sz w:val="20"/>
          <w:szCs w:val="20"/>
          <w:lang w:eastAsia="cs-CZ"/>
        </w:rPr>
        <w:t>Podmínky použití dotace</w:t>
      </w:r>
    </w:p>
    <w:p w:rsidR="00A66487" w:rsidRPr="00A66487" w:rsidRDefault="00A66487" w:rsidP="00A66487">
      <w:pPr>
        <w:tabs>
          <w:tab w:val="left" w:pos="8928"/>
        </w:tabs>
        <w:spacing w:after="0" w:line="240" w:lineRule="auto"/>
        <w:ind w:left="420"/>
        <w:contextualSpacing/>
        <w:jc w:val="both"/>
        <w:rPr>
          <w:rFonts w:ascii="Arial" w:eastAsia="Times New Roman" w:hAnsi="Arial" w:cs="Arial"/>
          <w:sz w:val="6"/>
          <w:szCs w:val="6"/>
          <w:lang w:eastAsia="cs-CZ"/>
        </w:rPr>
      </w:pPr>
    </w:p>
    <w:p w:rsidR="00A66487" w:rsidRPr="00A66487" w:rsidRDefault="00A66487" w:rsidP="00A66487">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je oprávněn použít dotaci pouze k účelu uvedenému v článku I. této smlouvy.</w:t>
      </w:r>
    </w:p>
    <w:p w:rsidR="00A66487" w:rsidRPr="00A66487" w:rsidRDefault="00A66487" w:rsidP="00A66487">
      <w:pPr>
        <w:tabs>
          <w:tab w:val="left" w:pos="8928"/>
        </w:tabs>
        <w:spacing w:before="120" w:after="240" w:line="240" w:lineRule="auto"/>
        <w:contextualSpacing/>
        <w:jc w:val="both"/>
        <w:rPr>
          <w:rFonts w:ascii="Arial" w:eastAsia="Times New Roman" w:hAnsi="Arial" w:cs="Arial"/>
          <w:sz w:val="6"/>
          <w:szCs w:val="6"/>
          <w:lang w:eastAsia="cs-CZ"/>
        </w:rPr>
      </w:pPr>
    </w:p>
    <w:p w:rsidR="00A66487" w:rsidRPr="00A66487" w:rsidRDefault="00A66487" w:rsidP="00A66487">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A66487">
        <w:rPr>
          <w:rFonts w:ascii="Arial" w:eastAsia="Times New Roman" w:hAnsi="Arial" w:cs="Arial"/>
          <w:b/>
          <w:sz w:val="20"/>
          <w:szCs w:val="20"/>
          <w:lang w:eastAsia="cs-CZ"/>
        </w:rPr>
        <w:t>Způsobilými výdaji</w:t>
      </w:r>
      <w:r w:rsidRPr="00A66487">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A66487">
        <w:rPr>
          <w:rFonts w:ascii="Arial" w:eastAsia="Times New Roman" w:hAnsi="Arial" w:cs="Arial"/>
          <w:sz w:val="20"/>
          <w:szCs w:val="24"/>
          <w:lang w:eastAsia="cs-CZ"/>
        </w:rPr>
        <w:t xml:space="preserve"> v době realizace projektu uvedené v článku II. této smlouvy</w:t>
      </w:r>
      <w:r w:rsidRPr="00A66487">
        <w:rPr>
          <w:rFonts w:ascii="Arial" w:eastAsia="Times New Roman" w:hAnsi="Arial" w:cs="Arial"/>
          <w:sz w:val="20"/>
          <w:szCs w:val="20"/>
          <w:lang w:eastAsia="cs-CZ"/>
        </w:rPr>
        <w:t>.</w:t>
      </w:r>
      <w:r w:rsidRPr="00A66487">
        <w:rPr>
          <w:rFonts w:ascii="Arial" w:eastAsia="Times New Roman" w:hAnsi="Arial" w:cs="Arial"/>
          <w:sz w:val="20"/>
          <w:szCs w:val="24"/>
          <w:lang w:eastAsia="cs-CZ"/>
        </w:rPr>
        <w:t xml:space="preserve"> </w:t>
      </w:r>
    </w:p>
    <w:p w:rsidR="00A66487" w:rsidRPr="00A66487" w:rsidRDefault="00A66487" w:rsidP="00A66487">
      <w:pPr>
        <w:spacing w:after="0" w:line="240" w:lineRule="auto"/>
        <w:ind w:left="720"/>
        <w:contextualSpacing/>
        <w:rPr>
          <w:rFonts w:ascii="Arial" w:eastAsia="Times New Roman" w:hAnsi="Arial" w:cs="Arial"/>
          <w:sz w:val="8"/>
          <w:szCs w:val="24"/>
          <w:lang w:eastAsia="cs-CZ"/>
        </w:rPr>
      </w:pPr>
    </w:p>
    <w:p w:rsidR="00A66487" w:rsidRPr="00A66487" w:rsidRDefault="00A66487" w:rsidP="00A66487">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A66487">
        <w:rPr>
          <w:rFonts w:ascii="Arial" w:eastAsia="Times New Roman" w:hAnsi="Arial" w:cs="Arial"/>
          <w:b/>
          <w:sz w:val="20"/>
          <w:szCs w:val="24"/>
          <w:lang w:eastAsia="cs-CZ"/>
        </w:rPr>
        <w:t>Způsobilými výdaji</w:t>
      </w:r>
      <w:r w:rsidRPr="00A66487">
        <w:rPr>
          <w:rFonts w:ascii="Arial" w:eastAsia="Times New Roman" w:hAnsi="Arial" w:cs="Arial"/>
          <w:sz w:val="20"/>
          <w:szCs w:val="24"/>
          <w:lang w:eastAsia="cs-CZ"/>
        </w:rPr>
        <w:t xml:space="preserve"> jsou:</w:t>
      </w:r>
    </w:p>
    <w:p w:rsidR="00A66487" w:rsidRPr="00A66487" w:rsidRDefault="00A66487" w:rsidP="00A66487">
      <w:pPr>
        <w:numPr>
          <w:ilvl w:val="0"/>
          <w:numId w:val="5"/>
        </w:numPr>
        <w:spacing w:after="0" w:line="240" w:lineRule="auto"/>
        <w:contextualSpacing/>
        <w:rPr>
          <w:rFonts w:ascii="Arial" w:eastAsia="Times New Roman" w:hAnsi="Arial" w:cs="Arial"/>
          <w:sz w:val="20"/>
          <w:szCs w:val="24"/>
          <w:lang w:eastAsia="cs-CZ"/>
        </w:rPr>
      </w:pPr>
      <w:r w:rsidRPr="00A66487">
        <w:rPr>
          <w:rFonts w:ascii="Arial" w:eastAsia="Times New Roman" w:hAnsi="Arial" w:cs="Arial"/>
          <w:sz w:val="20"/>
          <w:szCs w:val="24"/>
          <w:lang w:eastAsia="cs-CZ"/>
        </w:rPr>
        <w:t>V dotačním titulu 2:</w:t>
      </w:r>
    </w:p>
    <w:p w:rsidR="00A66487" w:rsidRPr="00A66487" w:rsidRDefault="00A66487" w:rsidP="00A66487">
      <w:pPr>
        <w:numPr>
          <w:ilvl w:val="1"/>
          <w:numId w:val="5"/>
        </w:numPr>
        <w:spacing w:after="0" w:line="240" w:lineRule="auto"/>
        <w:contextualSpacing/>
        <w:rPr>
          <w:rFonts w:ascii="Arial" w:eastAsia="Times New Roman" w:hAnsi="Arial" w:cs="Arial"/>
          <w:sz w:val="20"/>
          <w:szCs w:val="24"/>
          <w:lang w:eastAsia="cs-CZ"/>
        </w:rPr>
      </w:pPr>
      <w:r w:rsidRPr="00A66487">
        <w:rPr>
          <w:rFonts w:ascii="Arial" w:eastAsia="Times New Roman" w:hAnsi="Arial" w:cs="Arial"/>
          <w:sz w:val="20"/>
          <w:szCs w:val="24"/>
          <w:lang w:eastAsia="cs-CZ"/>
        </w:rPr>
        <w:t>Nákup stavebních prací a služeb souvisejících s rekonstrukcí a doplněním objektů podélného a příčného odvodnění cesty nebo se zřízením ostatních částí stavby nutných pro zajištění stability tělesa cesty uvedených v projektu</w:t>
      </w:r>
    </w:p>
    <w:p w:rsidR="00A66487" w:rsidRPr="00A66487" w:rsidRDefault="00A66487" w:rsidP="00A66487">
      <w:pPr>
        <w:numPr>
          <w:ilvl w:val="1"/>
          <w:numId w:val="5"/>
        </w:numPr>
        <w:spacing w:after="0" w:line="240" w:lineRule="auto"/>
        <w:contextualSpacing/>
        <w:rPr>
          <w:rFonts w:ascii="Arial" w:eastAsia="Times New Roman" w:hAnsi="Arial" w:cs="Arial"/>
          <w:sz w:val="20"/>
          <w:szCs w:val="24"/>
          <w:lang w:eastAsia="cs-CZ"/>
        </w:rPr>
      </w:pPr>
      <w:r w:rsidRPr="00A66487">
        <w:rPr>
          <w:rFonts w:ascii="Arial" w:eastAsia="Times New Roman" w:hAnsi="Arial" w:cs="Arial"/>
          <w:sz w:val="20"/>
          <w:szCs w:val="24"/>
          <w:lang w:eastAsia="cs-CZ"/>
        </w:rPr>
        <w:t>Nákup materiálu pro rekonstrukce a doplnění objektů podélného a příčného odvodnění cesty nebo na zřízení ostatních částí stavby nutných pro zajištění stability tělesa cesty uvedených v projektu</w:t>
      </w:r>
    </w:p>
    <w:p w:rsidR="00A66487" w:rsidRPr="00A66487" w:rsidRDefault="00A66487" w:rsidP="00A66487">
      <w:pPr>
        <w:numPr>
          <w:ilvl w:val="1"/>
          <w:numId w:val="5"/>
        </w:numPr>
        <w:spacing w:after="0" w:line="240" w:lineRule="auto"/>
        <w:contextualSpacing/>
        <w:rPr>
          <w:rFonts w:ascii="Arial" w:eastAsia="Times New Roman" w:hAnsi="Arial" w:cs="Arial"/>
          <w:sz w:val="20"/>
          <w:szCs w:val="24"/>
          <w:lang w:eastAsia="cs-CZ"/>
        </w:rPr>
      </w:pPr>
      <w:r w:rsidRPr="00A66487">
        <w:rPr>
          <w:rFonts w:ascii="Arial" w:eastAsia="Times New Roman" w:hAnsi="Arial" w:cs="Arial"/>
          <w:sz w:val="20"/>
          <w:szCs w:val="24"/>
          <w:lang w:eastAsia="cs-CZ"/>
        </w:rPr>
        <w:t>Mzdové náklady pracovníků přímo se podílejících na stavebních pracích (rekonstrukce, doplnění objektů, zřízení ostatních částí stavby), podložené výrobně technickými doklady</w:t>
      </w:r>
    </w:p>
    <w:p w:rsidR="00A66487" w:rsidRPr="00A66487" w:rsidRDefault="00A66487" w:rsidP="00A66487">
      <w:pPr>
        <w:spacing w:after="0" w:line="240" w:lineRule="auto"/>
        <w:ind w:left="1495"/>
        <w:contextualSpacing/>
        <w:rPr>
          <w:rFonts w:ascii="Arial" w:eastAsia="Times New Roman" w:hAnsi="Arial" w:cs="Arial"/>
          <w:sz w:val="8"/>
          <w:szCs w:val="24"/>
          <w:lang w:eastAsia="cs-CZ"/>
        </w:rPr>
      </w:pPr>
    </w:p>
    <w:p w:rsidR="00A66487" w:rsidRPr="00A66487" w:rsidRDefault="00A66487" w:rsidP="00A66487">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A66487">
        <w:rPr>
          <w:rFonts w:ascii="Arial" w:eastAsia="Times New Roman" w:hAnsi="Arial" w:cs="Arial"/>
          <w:b/>
          <w:sz w:val="20"/>
          <w:szCs w:val="20"/>
          <w:lang w:eastAsia="cs-CZ"/>
        </w:rPr>
        <w:t xml:space="preserve">Nezpůsobilými výdaji </w:t>
      </w:r>
      <w:r w:rsidRPr="00A66487">
        <w:rPr>
          <w:rFonts w:ascii="Arial" w:eastAsia="Times New Roman" w:hAnsi="Arial" w:cs="Arial"/>
          <w:sz w:val="20"/>
          <w:szCs w:val="20"/>
          <w:lang w:eastAsia="cs-CZ"/>
        </w:rPr>
        <w:t xml:space="preserve">jsou zejména: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16"/>
          <w:lang w:eastAsia="cs-CZ"/>
        </w:rPr>
      </w:pPr>
      <w:r w:rsidRPr="00A66487">
        <w:rPr>
          <w:rFonts w:ascii="Arial" w:eastAsia="Times New Roman" w:hAnsi="Arial" w:cs="Arial"/>
          <w:sz w:val="20"/>
          <w:szCs w:val="16"/>
          <w:lang w:eastAsia="cs-CZ"/>
        </w:rPr>
        <w:t>výdaje neuvedené v bodě 5.3</w:t>
      </w:r>
    </w:p>
    <w:p w:rsidR="00A66487" w:rsidRPr="00A66487" w:rsidRDefault="00A66487" w:rsidP="00A66487">
      <w:pPr>
        <w:numPr>
          <w:ilvl w:val="0"/>
          <w:numId w:val="7"/>
        </w:numPr>
        <w:spacing w:after="0" w:line="240" w:lineRule="auto"/>
        <w:contextualSpacing/>
        <w:jc w:val="both"/>
        <w:rPr>
          <w:rFonts w:ascii="Arial" w:eastAsia="Times New Roman" w:hAnsi="Arial" w:cs="Arial"/>
          <w:i/>
          <w:color w:val="00B050"/>
          <w:sz w:val="16"/>
          <w:szCs w:val="16"/>
          <w:lang w:eastAsia="cs-CZ"/>
        </w:rPr>
      </w:pPr>
      <w:r w:rsidRPr="00A66487">
        <w:rPr>
          <w:rFonts w:ascii="Arial" w:eastAsia="Times New Roman" w:hAnsi="Arial" w:cs="Arial"/>
          <w:sz w:val="20"/>
          <w:szCs w:val="20"/>
          <w:lang w:eastAsia="cs-CZ"/>
        </w:rPr>
        <w:t xml:space="preserve">v čase a místě neobvyklé mzdové či platové výdaje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odměny z dohod konaných mimo pracovní poměr dle zákona č. 262/2006 Sb., zákoník práce, ve znění pozdějších předpisů</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ostatní osobní výdaje a odvody na sociální a zdravotní pojištění zaměstnanců příjemce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odstupné ve smyslu zákoníku práce</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výdaje na pořádání workshopů, teambuildingů, výjezdních zasedání, apod.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výdaje na školení a kurzy, které nesouvisí s účelem, na který je dotace poskytována</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odměny členů statutárních či kontrolních orgánů u příjemce, který je právnickou osobou</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dlužný úrok, pokuty a finanční sankce</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výdaje na přípravné studie nebo jiné přípravné činnosti vč. zpracování žádosti o poskytnutí dotace</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nákupy pozemků nebo budov</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lastRenderedPageBreak/>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oprava majetku</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výdaje na publicitu Zlínského kraje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výdaje na propagaci a marketing příjemce </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účetně nedoložitelné výdaje</w:t>
      </w:r>
    </w:p>
    <w:p w:rsidR="00A66487" w:rsidRPr="00A66487" w:rsidRDefault="00A66487" w:rsidP="00A66487">
      <w:pPr>
        <w:numPr>
          <w:ilvl w:val="0"/>
          <w:numId w:val="7"/>
        </w:numPr>
        <w:spacing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daň silniční, daň z nemovitých věcí, daň z nabytí nemovitých věcí, poplatek za znečištění ovzduší, televizní a rozhlasový poplatek, atp.</w:t>
      </w:r>
    </w:p>
    <w:p w:rsidR="00A66487" w:rsidRPr="00A66487" w:rsidRDefault="00A66487" w:rsidP="00A66487">
      <w:pPr>
        <w:numPr>
          <w:ilvl w:val="0"/>
          <w:numId w:val="7"/>
        </w:numPr>
        <w:spacing w:after="0" w:line="240" w:lineRule="auto"/>
        <w:contextualSpacing/>
        <w:jc w:val="both"/>
        <w:rPr>
          <w:rFonts w:ascii="Arial" w:eastAsia="Times New Roman" w:hAnsi="Arial" w:cs="Arial"/>
          <w:i/>
          <w:color w:val="00B050"/>
          <w:sz w:val="16"/>
          <w:szCs w:val="16"/>
          <w:lang w:eastAsia="cs-CZ"/>
        </w:rPr>
      </w:pPr>
      <w:r w:rsidRPr="00A66487">
        <w:rPr>
          <w:rFonts w:ascii="Arial" w:eastAsia="Times New Roman" w:hAnsi="Arial" w:cs="Arial"/>
          <w:sz w:val="20"/>
          <w:szCs w:val="20"/>
          <w:lang w:eastAsia="cs-CZ"/>
        </w:rPr>
        <w:t>výdaje na pohoštění</w:t>
      </w:r>
    </w:p>
    <w:p w:rsidR="00A66487" w:rsidRPr="00A66487" w:rsidRDefault="00A66487" w:rsidP="00A66487">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A66487" w:rsidRPr="00A66487" w:rsidRDefault="00A66487" w:rsidP="00A66487">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Ustanovení o dani z přidané hodnoty dle zákona č. 235/2004 Sb., o dani z přidané hodnoty, v platném znění:</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 xml:space="preserve">DPH je pro příjemce způsobilým výdajem, pokud příjemce není plátcem DPH nebo příjemci nevzniká nárok na odpočet DPH.  </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 xml:space="preserve">V případě, že výdaje projektu jsou způsobilými výdaji pouze z části, pak je DPH způsobilým výdajem ze stejné části. </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 xml:space="preserve">Pokud má příjemce nárok na odpočet v poměrné části nebo dle koeficientu, bude způsobilým výdajem část oprávněně neuplatněné DPH. </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 xml:space="preserve">V případě, že před předložením Závěrečné zprávy </w:t>
      </w:r>
      <w:r w:rsidRPr="00A66487">
        <w:rPr>
          <w:rFonts w:ascii="Arial" w:hAnsi="Arial" w:cs="Arial"/>
          <w:sz w:val="20"/>
        </w:rPr>
        <w:t xml:space="preserve">s vyúčtováním dotace </w:t>
      </w:r>
      <w:r w:rsidRPr="00A66487">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 xml:space="preserve">Pokud příjemce není plátcem DPH, ale stane se jím po předložení Závěrečné zprávy </w:t>
      </w:r>
      <w:r w:rsidRPr="00A66487">
        <w:rPr>
          <w:rFonts w:ascii="Arial" w:hAnsi="Arial" w:cs="Arial"/>
          <w:sz w:val="20"/>
        </w:rPr>
        <w:t xml:space="preserve">s vyúčtováním dotace, </w:t>
      </w:r>
      <w:r w:rsidRPr="00A66487">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Jestliže se příjemce stane plátcem DPH v průběhu realizace projektu, je povinen tuto skutečnost neprodleně oznámit poskytovateli.</w:t>
      </w:r>
    </w:p>
    <w:p w:rsidR="00A66487" w:rsidRPr="00A66487" w:rsidRDefault="00A66487" w:rsidP="00A66487">
      <w:pPr>
        <w:numPr>
          <w:ilvl w:val="0"/>
          <w:numId w:val="1"/>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 vnitřním účetním dokladem s vyčíslením částky DPH, </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daňovým přiznáním k DPH,</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 kontrolním hlášení, </w:t>
      </w:r>
    </w:p>
    <w:p w:rsidR="00A66487" w:rsidRPr="00A66487" w:rsidRDefault="00A66487" w:rsidP="00A6648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bankovním výpisem.</w:t>
      </w:r>
    </w:p>
    <w:p w:rsidR="00A66487" w:rsidRPr="00A66487" w:rsidRDefault="00A66487" w:rsidP="00A6648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A66487" w:rsidRPr="00A66487" w:rsidRDefault="00A66487" w:rsidP="00A6648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w:t>
      </w:r>
      <w:r w:rsidRPr="00A66487">
        <w:rPr>
          <w:rFonts w:ascii="Arial" w:eastAsia="Times New Roman" w:hAnsi="Arial" w:cs="Arial"/>
          <w:sz w:val="20"/>
          <w:szCs w:val="20"/>
          <w:lang w:eastAsia="cs-CZ"/>
        </w:rPr>
        <w:lastRenderedPageBreak/>
        <w:t xml:space="preserve">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A66487" w:rsidRPr="00A66487" w:rsidRDefault="00A66487" w:rsidP="00A66487">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je dále povinen:</w:t>
      </w:r>
    </w:p>
    <w:p w:rsidR="00A66487" w:rsidRPr="00A66487" w:rsidRDefault="00A66487" w:rsidP="00A66487">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zajistit, aby všechny údaje, které uvádí poskytovateli, byly vždy úplné a pravdivé,</w:t>
      </w:r>
    </w:p>
    <w:p w:rsidR="00A66487" w:rsidRPr="00A66487" w:rsidRDefault="00A66487" w:rsidP="00A66487">
      <w:pPr>
        <w:numPr>
          <w:ilvl w:val="0"/>
          <w:numId w:val="19"/>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zabezpečit archivaci veškeré dokumentace k projektu, včetně účetnictví o projektu po dobu 10 let ode dne skončení realizace programu,</w:t>
      </w:r>
    </w:p>
    <w:p w:rsidR="00A66487" w:rsidRPr="00A66487" w:rsidRDefault="00A66487" w:rsidP="00A66487">
      <w:pPr>
        <w:numPr>
          <w:ilvl w:val="0"/>
          <w:numId w:val="19"/>
        </w:numPr>
        <w:tabs>
          <w:tab w:val="left" w:pos="8928"/>
        </w:tabs>
        <w:spacing w:before="60" w:after="0" w:line="240" w:lineRule="auto"/>
        <w:ind w:left="714" w:hanging="357"/>
        <w:jc w:val="both"/>
        <w:rPr>
          <w:rFonts w:ascii="Arial" w:hAnsi="Arial" w:cs="Arial"/>
          <w:sz w:val="20"/>
          <w:szCs w:val="20"/>
        </w:rPr>
      </w:pPr>
      <w:r w:rsidRPr="00A66487">
        <w:rPr>
          <w:rFonts w:ascii="Arial" w:hAnsi="Arial" w:cs="Arial"/>
          <w:sz w:val="20"/>
          <w:szCs w:val="20"/>
        </w:rPr>
        <w:t>dohodnout s dodavateli v rámci projektu fakturační podmínky tak, aby byla doložena účelovost faktur, včetně specifikace jednotlivých způsobilých výdajů,</w:t>
      </w:r>
    </w:p>
    <w:p w:rsidR="00A66487" w:rsidRPr="00A66487" w:rsidRDefault="00A66487" w:rsidP="00A66487">
      <w:pPr>
        <w:numPr>
          <w:ilvl w:val="0"/>
          <w:numId w:val="19"/>
        </w:numPr>
        <w:tabs>
          <w:tab w:val="left" w:pos="8928"/>
        </w:tabs>
        <w:spacing w:beforeLines="30" w:before="72" w:after="0" w:line="240" w:lineRule="auto"/>
        <w:contextualSpacing/>
        <w:jc w:val="both"/>
        <w:rPr>
          <w:rFonts w:ascii="Arial" w:hAnsi="Arial" w:cs="Arial"/>
          <w:i/>
          <w:color w:val="0070C0"/>
          <w:sz w:val="16"/>
          <w:szCs w:val="16"/>
        </w:rPr>
      </w:pPr>
      <w:r w:rsidRPr="00A66487">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A66487" w:rsidRPr="00A66487" w:rsidRDefault="00A66487" w:rsidP="00A66487">
      <w:pPr>
        <w:tabs>
          <w:tab w:val="left" w:pos="8928"/>
        </w:tabs>
        <w:spacing w:after="0" w:line="240" w:lineRule="auto"/>
        <w:ind w:left="717"/>
        <w:contextualSpacing/>
        <w:jc w:val="both"/>
        <w:rPr>
          <w:rFonts w:ascii="Arial" w:hAnsi="Arial" w:cs="Arial"/>
          <w:i/>
          <w:color w:val="0070C0"/>
          <w:sz w:val="10"/>
          <w:szCs w:val="10"/>
        </w:rPr>
      </w:pPr>
    </w:p>
    <w:p w:rsidR="00A66487" w:rsidRPr="00A66487" w:rsidRDefault="00A66487" w:rsidP="00A66487">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A66487">
        <w:rPr>
          <w:rFonts w:ascii="Arial" w:eastAsia="Times New Roman" w:hAnsi="Arial" w:cs="Arial"/>
          <w:sz w:val="20"/>
          <w:szCs w:val="20"/>
          <w:lang w:eastAsia="cs-CZ"/>
        </w:rPr>
        <w:t xml:space="preserve">Příjemce bere na vědomí, že dotace poskytnutá dle této smlouvy je: </w:t>
      </w:r>
    </w:p>
    <w:p w:rsidR="00A66487" w:rsidRPr="00A66487" w:rsidRDefault="00A66487" w:rsidP="00A66487">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A66487">
        <w:rPr>
          <w:rFonts w:ascii="Arial" w:eastAsia="Times New Roman" w:hAnsi="Arial" w:cs="Arial"/>
          <w:b/>
          <w:sz w:val="20"/>
          <w:szCs w:val="20"/>
          <w:lang w:eastAsia="cs-CZ"/>
        </w:rPr>
        <w:t>podporou de minimis</w:t>
      </w:r>
      <w:r w:rsidRPr="00A66487">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A66487" w:rsidRPr="00A66487" w:rsidRDefault="00A66487" w:rsidP="00A66487">
      <w:pPr>
        <w:tabs>
          <w:tab w:val="left" w:pos="8928"/>
        </w:tabs>
        <w:spacing w:after="120" w:line="240" w:lineRule="auto"/>
        <w:ind w:left="907"/>
        <w:contextualSpacing/>
        <w:jc w:val="both"/>
        <w:rPr>
          <w:rFonts w:ascii="Arial" w:eastAsia="Times New Roman" w:hAnsi="Arial" w:cs="Arial"/>
          <w:sz w:val="6"/>
          <w:szCs w:val="6"/>
          <w:lang w:eastAsia="cs-CZ"/>
        </w:rPr>
      </w:pPr>
      <w:r w:rsidRPr="00A66487">
        <w:rPr>
          <w:rFonts w:ascii="Arial" w:eastAsia="Times New Roman" w:hAnsi="Arial" w:cs="Arial"/>
          <w:sz w:val="20"/>
          <w:szCs w:val="20"/>
          <w:lang w:eastAsia="cs-CZ"/>
        </w:rPr>
        <w:t xml:space="preserve"> </w:t>
      </w:r>
    </w:p>
    <w:p w:rsidR="00A66487" w:rsidRPr="00A66487" w:rsidRDefault="00A66487" w:rsidP="00A66487">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prohlašuje, že on ani subjekty s ním propojené</w:t>
      </w:r>
      <w:r w:rsidRPr="00A66487">
        <w:rPr>
          <w:rFonts w:ascii="Arial" w:eastAsia="Times New Roman" w:hAnsi="Arial" w:cs="Arial"/>
          <w:sz w:val="20"/>
          <w:szCs w:val="20"/>
          <w:vertAlign w:val="superscript"/>
          <w:lang w:eastAsia="cs-CZ"/>
        </w:rPr>
        <w:footnoteReference w:id="1"/>
      </w:r>
      <w:r w:rsidRPr="00A66487">
        <w:rPr>
          <w:rFonts w:ascii="Arial" w:eastAsia="Times New Roman" w:hAnsi="Arial" w:cs="Arial"/>
          <w:sz w:val="20"/>
          <w:szCs w:val="20"/>
          <w:lang w:eastAsia="cs-CZ"/>
        </w:rPr>
        <w:t xml:space="preserve"> nejsou tzv. podnikem v obtížích</w:t>
      </w:r>
      <w:r w:rsidRPr="00A66487">
        <w:rPr>
          <w:rFonts w:ascii="Arial" w:eastAsia="Times New Roman" w:hAnsi="Arial" w:cs="Arial"/>
          <w:sz w:val="20"/>
          <w:szCs w:val="20"/>
          <w:vertAlign w:val="superscript"/>
          <w:lang w:eastAsia="cs-CZ"/>
        </w:rPr>
        <w:footnoteReference w:id="2"/>
      </w:r>
      <w:r w:rsidRPr="00A66487">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A66487" w:rsidRPr="00A66487" w:rsidRDefault="00A66487" w:rsidP="00A66487">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A66487" w:rsidRPr="00A66487" w:rsidRDefault="00A66487" w:rsidP="00A66487">
      <w:pPr>
        <w:widowControl w:val="0"/>
        <w:tabs>
          <w:tab w:val="num" w:pos="360"/>
          <w:tab w:val="left" w:pos="8928"/>
        </w:tabs>
        <w:spacing w:before="120" w:after="60"/>
        <w:ind w:left="360" w:hanging="360"/>
        <w:jc w:val="center"/>
        <w:rPr>
          <w:rFonts w:ascii="Arial" w:hAnsi="Arial" w:cs="Arial"/>
          <w:b/>
          <w:snapToGrid w:val="0"/>
          <w:sz w:val="20"/>
          <w:szCs w:val="20"/>
        </w:rPr>
      </w:pPr>
    </w:p>
    <w:p w:rsidR="00A66487" w:rsidRPr="00A66487" w:rsidRDefault="00A66487" w:rsidP="00A66487">
      <w:pPr>
        <w:widowControl w:val="0"/>
        <w:tabs>
          <w:tab w:val="num" w:pos="360"/>
          <w:tab w:val="left" w:pos="8928"/>
        </w:tabs>
        <w:spacing w:after="60"/>
        <w:ind w:left="360" w:hanging="360"/>
        <w:jc w:val="center"/>
        <w:rPr>
          <w:rFonts w:ascii="Arial" w:hAnsi="Arial" w:cs="Arial"/>
          <w:b/>
          <w:snapToGrid w:val="0"/>
          <w:sz w:val="20"/>
          <w:szCs w:val="20"/>
        </w:rPr>
      </w:pPr>
      <w:r w:rsidRPr="00A66487">
        <w:rPr>
          <w:rFonts w:ascii="Arial" w:hAnsi="Arial" w:cs="Arial"/>
          <w:b/>
          <w:snapToGrid w:val="0"/>
          <w:sz w:val="20"/>
          <w:szCs w:val="20"/>
        </w:rPr>
        <w:t>VI.</w:t>
      </w:r>
    </w:p>
    <w:p w:rsidR="00A66487" w:rsidRPr="00A66487" w:rsidRDefault="00A66487" w:rsidP="00A66487">
      <w:pPr>
        <w:widowControl w:val="0"/>
        <w:tabs>
          <w:tab w:val="left" w:pos="708"/>
          <w:tab w:val="left" w:pos="8928"/>
        </w:tabs>
        <w:spacing w:after="60"/>
        <w:jc w:val="center"/>
        <w:rPr>
          <w:rFonts w:ascii="Arial" w:hAnsi="Arial" w:cs="Arial"/>
          <w:b/>
          <w:snapToGrid w:val="0"/>
          <w:sz w:val="20"/>
          <w:szCs w:val="20"/>
        </w:rPr>
      </w:pPr>
      <w:r w:rsidRPr="00A66487">
        <w:rPr>
          <w:rFonts w:ascii="Arial" w:hAnsi="Arial" w:cs="Arial"/>
          <w:b/>
          <w:snapToGrid w:val="0"/>
          <w:sz w:val="20"/>
          <w:szCs w:val="20"/>
        </w:rPr>
        <w:t>Povinnosti příjemce při zajišťování publicity poskytovatele</w:t>
      </w:r>
    </w:p>
    <w:p w:rsidR="00A66487" w:rsidRPr="00A66487" w:rsidRDefault="00A66487" w:rsidP="00A66487">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A66487" w:rsidRPr="00A66487" w:rsidRDefault="00A66487" w:rsidP="00A6648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A66487" w:rsidRPr="00A66487" w:rsidRDefault="00A66487" w:rsidP="00A6648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A66487">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7" w:history="1">
        <w:r w:rsidRPr="00A66487">
          <w:rPr>
            <w:rFonts w:ascii="Arial" w:eastAsiaTheme="majorEastAsia" w:hAnsi="Arial" w:cs="Arial"/>
            <w:color w:val="0000FF"/>
            <w:sz w:val="20"/>
            <w:szCs w:val="20"/>
            <w:lang w:eastAsia="cs-CZ"/>
          </w:rPr>
          <w:t>www.kr-zlinsky.cz</w:t>
        </w:r>
      </w:hyperlink>
      <w:r w:rsidRPr="00A66487">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A66487" w:rsidRPr="00A66487" w:rsidRDefault="00A66487" w:rsidP="00A6648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Konkrétní povinnosti příjemce: </w:t>
      </w:r>
    </w:p>
    <w:p w:rsidR="00A66487" w:rsidRPr="00A66487" w:rsidRDefault="00A66487" w:rsidP="00A6648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logo Zlínského kraje lze nahradit či doplnit formulací: </w:t>
      </w:r>
      <w:r w:rsidRPr="00A66487">
        <w:rPr>
          <w:rFonts w:ascii="Arial" w:eastAsia="Times New Roman" w:hAnsi="Arial" w:cs="Arial"/>
          <w:i/>
          <w:sz w:val="20"/>
          <w:szCs w:val="20"/>
          <w:lang w:eastAsia="cs-CZ"/>
        </w:rPr>
        <w:t>„Název akce“ je financována/spolufinancována Zlínským krajem</w:t>
      </w:r>
      <w:r w:rsidRPr="00A66487">
        <w:rPr>
          <w:rFonts w:ascii="Arial" w:eastAsia="Times New Roman" w:hAnsi="Arial" w:cs="Arial"/>
          <w:sz w:val="20"/>
          <w:szCs w:val="20"/>
          <w:lang w:eastAsia="cs-CZ"/>
        </w:rPr>
        <w:t xml:space="preserve">; </w:t>
      </w:r>
    </w:p>
    <w:p w:rsidR="00A66487" w:rsidRPr="00A66487" w:rsidRDefault="00A66487" w:rsidP="00A6648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A66487">
        <w:rPr>
          <w:rFonts w:ascii="Arial" w:eastAsia="Times New Roman" w:hAnsi="Arial" w:cs="Arial"/>
          <w:sz w:val="20"/>
          <w:szCs w:val="20"/>
          <w:lang w:eastAsia="cs-CZ"/>
        </w:rPr>
        <w:t xml:space="preserve">obecní zpravodaj </w:t>
      </w:r>
      <w:r w:rsidRPr="00A66487">
        <w:rPr>
          <w:rFonts w:ascii="Arial" w:eastAsia="Times New Roman" w:hAnsi="Arial" w:cs="Arial"/>
          <w:color w:val="000000"/>
          <w:sz w:val="20"/>
          <w:szCs w:val="20"/>
          <w:lang w:eastAsia="cs-CZ"/>
        </w:rPr>
        <w:t>(doloží se originálem nebo kopií příslušného článku a informací, kdy byl publikován)</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úřední deska </w:t>
      </w:r>
      <w:r w:rsidRPr="00A66487">
        <w:rPr>
          <w:rFonts w:ascii="Arial" w:eastAsia="Times New Roman" w:hAnsi="Arial" w:cs="Arial"/>
          <w:color w:val="000000"/>
          <w:sz w:val="20"/>
          <w:szCs w:val="20"/>
          <w:lang w:eastAsia="cs-CZ"/>
        </w:rPr>
        <w:t>(doloží se kopií informace, která byla uveřejněna, s uvedením doby uveřejnění)</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A66487">
        <w:rPr>
          <w:rFonts w:ascii="Arial" w:eastAsia="Times New Roman" w:hAnsi="Arial" w:cs="Arial"/>
          <w:sz w:val="20"/>
          <w:szCs w:val="20"/>
          <w:lang w:eastAsia="cs-CZ"/>
        </w:rPr>
        <w:lastRenderedPageBreak/>
        <w:t xml:space="preserve">televizní informační kanál </w:t>
      </w:r>
      <w:r w:rsidRPr="00A66487">
        <w:rPr>
          <w:rFonts w:ascii="Arial" w:eastAsia="Times New Roman" w:hAnsi="Arial" w:cs="Arial"/>
          <w:color w:val="000000"/>
          <w:sz w:val="20"/>
          <w:szCs w:val="20"/>
          <w:lang w:eastAsia="cs-CZ"/>
        </w:rPr>
        <w:t>(doloží se písemnou informací o datu a čase, kdy byla informace v médiu uvedena a text této informace)</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webové stránky </w:t>
      </w:r>
      <w:r w:rsidRPr="00A66487">
        <w:rPr>
          <w:rFonts w:ascii="Arial" w:eastAsia="Times New Roman" w:hAnsi="Arial" w:cs="Arial"/>
          <w:color w:val="000000"/>
          <w:sz w:val="20"/>
          <w:szCs w:val="20"/>
          <w:lang w:eastAsia="cs-CZ"/>
        </w:rPr>
        <w:t>(doloží se odkazem na příslušné stránky s uvedením, kdy byla informace uveřejněna)</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A66487">
        <w:rPr>
          <w:rFonts w:ascii="Arial" w:eastAsia="Times New Roman" w:hAnsi="Arial" w:cs="Arial"/>
          <w:sz w:val="20"/>
          <w:szCs w:val="20"/>
          <w:lang w:eastAsia="cs-CZ"/>
        </w:rPr>
        <w:t xml:space="preserve">regionální tisk </w:t>
      </w:r>
      <w:r w:rsidRPr="00A66487">
        <w:rPr>
          <w:rFonts w:ascii="Arial" w:eastAsia="Times New Roman" w:hAnsi="Arial" w:cs="Arial"/>
          <w:color w:val="000000"/>
          <w:sz w:val="20"/>
          <w:szCs w:val="20"/>
          <w:lang w:eastAsia="cs-CZ"/>
        </w:rPr>
        <w:t>(doloží se originálem či kopií příslušného článku a informací, kdy byl publikován)</w:t>
      </w:r>
    </w:p>
    <w:p w:rsidR="00A66487" w:rsidRPr="00A66487" w:rsidRDefault="00A66487" w:rsidP="00A6648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A66487">
        <w:rPr>
          <w:rFonts w:ascii="Arial" w:eastAsia="Times New Roman" w:hAnsi="Arial" w:cs="Arial"/>
          <w:sz w:val="20"/>
          <w:szCs w:val="20"/>
          <w:lang w:eastAsia="cs-CZ"/>
        </w:rPr>
        <w:t xml:space="preserve">billboard </w:t>
      </w:r>
      <w:r w:rsidRPr="00A66487">
        <w:rPr>
          <w:rFonts w:ascii="Arial" w:eastAsia="Times New Roman" w:hAnsi="Arial" w:cs="Arial"/>
          <w:color w:val="000000"/>
          <w:sz w:val="20"/>
          <w:szCs w:val="20"/>
          <w:lang w:eastAsia="cs-CZ"/>
        </w:rPr>
        <w:t>(doloží se fotografií a informací o období vyvěšení)</w:t>
      </w:r>
    </w:p>
    <w:p w:rsidR="00A66487" w:rsidRPr="00A66487" w:rsidRDefault="00A66487" w:rsidP="00A66487">
      <w:pPr>
        <w:numPr>
          <w:ilvl w:val="0"/>
          <w:numId w:val="20"/>
        </w:numPr>
        <w:spacing w:after="0" w:line="240" w:lineRule="auto"/>
        <w:contextualSpacing/>
        <w:jc w:val="both"/>
        <w:rPr>
          <w:rFonts w:ascii="Arial" w:eastAsia="Times New Roman" w:hAnsi="Arial" w:cs="Arial"/>
          <w:color w:val="000000"/>
          <w:sz w:val="20"/>
          <w:szCs w:val="20"/>
          <w:lang w:eastAsia="cs-CZ"/>
        </w:rPr>
      </w:pPr>
      <w:r w:rsidRPr="00A66487">
        <w:rPr>
          <w:rFonts w:ascii="Arial" w:eastAsia="Times New Roman" w:hAnsi="Arial" w:cs="Arial"/>
          <w:sz w:val="20"/>
          <w:szCs w:val="24"/>
          <w:lang w:eastAsia="cs-CZ"/>
        </w:rPr>
        <w:t xml:space="preserve">rozhlas – obecní či regionální/celoplošné vysílání </w:t>
      </w:r>
      <w:r w:rsidRPr="00A66487">
        <w:rPr>
          <w:rFonts w:ascii="Arial" w:eastAsia="Times New Roman" w:hAnsi="Arial" w:cs="Arial"/>
          <w:color w:val="000000"/>
          <w:sz w:val="20"/>
          <w:szCs w:val="20"/>
          <w:lang w:eastAsia="cs-CZ"/>
        </w:rPr>
        <w:t>(doloží se přepisem hlášeného textu a informací o datu, kdy byla informace hlášena)</w:t>
      </w:r>
    </w:p>
    <w:p w:rsidR="00A66487" w:rsidRPr="00A66487" w:rsidRDefault="00A66487" w:rsidP="00A66487">
      <w:pPr>
        <w:numPr>
          <w:ilvl w:val="0"/>
          <w:numId w:val="20"/>
        </w:numPr>
        <w:spacing w:after="0" w:line="240" w:lineRule="auto"/>
        <w:contextualSpacing/>
        <w:jc w:val="both"/>
        <w:rPr>
          <w:rFonts w:ascii="Arial" w:eastAsia="Times New Roman" w:hAnsi="Arial" w:cs="Arial"/>
          <w:color w:val="000000"/>
          <w:sz w:val="20"/>
          <w:szCs w:val="20"/>
          <w:lang w:eastAsia="cs-CZ"/>
        </w:rPr>
      </w:pPr>
      <w:r w:rsidRPr="00A66487">
        <w:rPr>
          <w:rFonts w:ascii="Arial" w:eastAsia="Times New Roman" w:hAnsi="Arial" w:cs="Arial"/>
          <w:sz w:val="20"/>
          <w:szCs w:val="24"/>
          <w:lang w:eastAsia="cs-CZ"/>
        </w:rPr>
        <w:t xml:space="preserve">výroční zpráva </w:t>
      </w:r>
      <w:r w:rsidRPr="00A66487">
        <w:rPr>
          <w:rFonts w:ascii="Arial" w:eastAsia="Times New Roman" w:hAnsi="Arial" w:cs="Arial"/>
          <w:color w:val="000000"/>
          <w:sz w:val="20"/>
          <w:szCs w:val="20"/>
          <w:lang w:eastAsia="cs-CZ"/>
        </w:rPr>
        <w:t>(doloží se originálem nebo kopií této zprávy či její části obsahující prezentaci poskytovatele)</w:t>
      </w:r>
    </w:p>
    <w:p w:rsidR="00A66487" w:rsidRPr="00A66487" w:rsidRDefault="00A66487" w:rsidP="00A66487">
      <w:pPr>
        <w:numPr>
          <w:ilvl w:val="0"/>
          <w:numId w:val="20"/>
        </w:numPr>
        <w:spacing w:after="0" w:line="240" w:lineRule="auto"/>
        <w:contextualSpacing/>
        <w:jc w:val="both"/>
        <w:rPr>
          <w:rFonts w:ascii="Arial" w:eastAsia="Times New Roman" w:hAnsi="Arial" w:cs="Arial"/>
          <w:color w:val="000000"/>
          <w:sz w:val="20"/>
          <w:szCs w:val="20"/>
          <w:lang w:eastAsia="cs-CZ"/>
        </w:rPr>
      </w:pPr>
      <w:r w:rsidRPr="00A66487">
        <w:rPr>
          <w:rFonts w:ascii="Arial" w:eastAsia="Times New Roman" w:hAnsi="Arial" w:cs="Arial"/>
          <w:sz w:val="20"/>
          <w:szCs w:val="24"/>
          <w:lang w:eastAsia="cs-CZ"/>
        </w:rPr>
        <w:t xml:space="preserve">pamětní deska </w:t>
      </w:r>
      <w:r w:rsidRPr="00A66487">
        <w:rPr>
          <w:rFonts w:ascii="Arial" w:eastAsia="Times New Roman" w:hAnsi="Arial" w:cs="Arial"/>
          <w:color w:val="000000"/>
          <w:sz w:val="20"/>
          <w:szCs w:val="20"/>
          <w:lang w:eastAsia="cs-CZ"/>
        </w:rPr>
        <w:t>(doloží se fotografií a informací o datu umístění této desky)</w:t>
      </w:r>
    </w:p>
    <w:p w:rsidR="00A66487" w:rsidRPr="00A66487" w:rsidRDefault="00A66487" w:rsidP="00A66487">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propagační předměty </w:t>
      </w:r>
      <w:r w:rsidRPr="00A66487">
        <w:rPr>
          <w:rFonts w:ascii="Arial" w:eastAsia="Times New Roman" w:hAnsi="Arial" w:cs="Arial"/>
          <w:color w:val="000000"/>
          <w:sz w:val="20"/>
          <w:szCs w:val="20"/>
          <w:lang w:eastAsia="cs-CZ"/>
        </w:rPr>
        <w:t>(doloží se předložením propagačního předmětu)</w:t>
      </w:r>
    </w:p>
    <w:p w:rsidR="00A66487" w:rsidRPr="00A66487" w:rsidRDefault="00A66487" w:rsidP="00A66487">
      <w:pPr>
        <w:numPr>
          <w:ilvl w:val="0"/>
          <w:numId w:val="20"/>
        </w:numPr>
        <w:spacing w:after="0" w:line="240" w:lineRule="auto"/>
        <w:contextualSpacing/>
        <w:jc w:val="both"/>
        <w:rPr>
          <w:rFonts w:ascii="Arial" w:eastAsia="Times New Roman" w:hAnsi="Arial" w:cs="Arial"/>
          <w:color w:val="000000"/>
          <w:sz w:val="20"/>
          <w:szCs w:val="20"/>
          <w:lang w:eastAsia="cs-CZ"/>
        </w:rPr>
      </w:pPr>
      <w:r w:rsidRPr="00A66487">
        <w:rPr>
          <w:rFonts w:ascii="Arial" w:eastAsia="Times New Roman" w:hAnsi="Arial" w:cs="Arial"/>
          <w:sz w:val="20"/>
          <w:szCs w:val="24"/>
          <w:lang w:eastAsia="cs-CZ"/>
        </w:rPr>
        <w:t xml:space="preserve">periodikum vydávané ve smyslu zákona č. 46/2000 Sb., tiskový zákon, ve znění pozdějších předpisů </w:t>
      </w:r>
      <w:r w:rsidRPr="00A66487">
        <w:rPr>
          <w:rFonts w:ascii="Arial" w:eastAsia="Times New Roman" w:hAnsi="Arial" w:cs="Arial"/>
          <w:color w:val="000000"/>
          <w:sz w:val="20"/>
          <w:szCs w:val="20"/>
          <w:lang w:eastAsia="cs-CZ"/>
        </w:rPr>
        <w:t>(doloží se originálem nebo kopií příslušného článku a informací, kdy byl publikován)</w:t>
      </w:r>
    </w:p>
    <w:p w:rsidR="00A66487" w:rsidRPr="00A66487" w:rsidRDefault="00A66487" w:rsidP="00A66487">
      <w:pPr>
        <w:numPr>
          <w:ilvl w:val="0"/>
          <w:numId w:val="20"/>
        </w:numPr>
        <w:spacing w:after="0" w:line="240" w:lineRule="auto"/>
        <w:contextualSpacing/>
        <w:jc w:val="both"/>
        <w:rPr>
          <w:rFonts w:ascii="Arial" w:eastAsia="Times New Roman" w:hAnsi="Arial" w:cs="Arial"/>
          <w:color w:val="000000"/>
          <w:sz w:val="20"/>
          <w:szCs w:val="20"/>
          <w:lang w:eastAsia="cs-CZ"/>
        </w:rPr>
      </w:pPr>
      <w:r w:rsidRPr="00A66487">
        <w:rPr>
          <w:rFonts w:ascii="Arial" w:eastAsia="Times New Roman" w:hAnsi="Arial" w:cs="Arial"/>
          <w:sz w:val="20"/>
          <w:szCs w:val="24"/>
          <w:lang w:eastAsia="cs-CZ"/>
        </w:rPr>
        <w:t xml:space="preserve">informační tabule (nástěnky, apod.), </w:t>
      </w:r>
      <w:r w:rsidRPr="00A66487">
        <w:rPr>
          <w:rFonts w:ascii="Arial" w:eastAsia="Times New Roman" w:hAnsi="Arial" w:cs="Arial"/>
          <w:color w:val="000000"/>
          <w:sz w:val="20"/>
          <w:szCs w:val="20"/>
          <w:lang w:eastAsia="cs-CZ"/>
        </w:rPr>
        <w:t>(doloží se kopií informace, která byla uveřejněna s uvedením doby uveřejnění)</w:t>
      </w:r>
    </w:p>
    <w:p w:rsidR="00A66487" w:rsidRPr="00A66487" w:rsidRDefault="00A66487" w:rsidP="00A66487">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A66487">
        <w:rPr>
          <w:rFonts w:ascii="Arial" w:eastAsia="Times New Roman" w:hAnsi="Arial" w:cs="Arial"/>
          <w:sz w:val="20"/>
          <w:szCs w:val="24"/>
          <w:lang w:eastAsia="cs-CZ"/>
        </w:rPr>
        <w:t>vlastní návrh příjemce odsouhlasený poskytovatelem.</w:t>
      </w:r>
    </w:p>
    <w:p w:rsidR="00A66487" w:rsidRPr="00A66487" w:rsidRDefault="00A66487" w:rsidP="00A66487">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A66487" w:rsidRPr="00A66487" w:rsidRDefault="00A66487" w:rsidP="00A66487">
      <w:pPr>
        <w:keepNext/>
        <w:widowControl w:val="0"/>
        <w:tabs>
          <w:tab w:val="left" w:pos="708"/>
          <w:tab w:val="left" w:pos="8928"/>
        </w:tabs>
        <w:spacing w:before="60" w:after="0"/>
        <w:jc w:val="center"/>
        <w:rPr>
          <w:rFonts w:ascii="Arial" w:hAnsi="Arial" w:cs="Arial"/>
          <w:b/>
          <w:snapToGrid w:val="0"/>
          <w:sz w:val="20"/>
          <w:szCs w:val="20"/>
        </w:rPr>
      </w:pPr>
      <w:r w:rsidRPr="00A66487">
        <w:rPr>
          <w:rFonts w:ascii="Arial" w:hAnsi="Arial" w:cs="Arial"/>
          <w:b/>
          <w:snapToGrid w:val="0"/>
          <w:sz w:val="20"/>
          <w:szCs w:val="20"/>
        </w:rPr>
        <w:t>VII.</w:t>
      </w:r>
    </w:p>
    <w:p w:rsidR="00A66487" w:rsidRPr="00A66487" w:rsidRDefault="00A66487" w:rsidP="00A66487">
      <w:pPr>
        <w:widowControl w:val="0"/>
        <w:tabs>
          <w:tab w:val="left" w:pos="708"/>
          <w:tab w:val="left" w:pos="8928"/>
        </w:tabs>
        <w:spacing w:before="60" w:after="60"/>
        <w:jc w:val="center"/>
        <w:rPr>
          <w:rFonts w:ascii="Arial" w:hAnsi="Arial" w:cs="Arial"/>
          <w:b/>
          <w:snapToGrid w:val="0"/>
          <w:sz w:val="20"/>
          <w:szCs w:val="20"/>
        </w:rPr>
      </w:pPr>
      <w:r w:rsidRPr="00A66487">
        <w:rPr>
          <w:rFonts w:ascii="Arial" w:hAnsi="Arial" w:cs="Arial"/>
          <w:b/>
          <w:snapToGrid w:val="0"/>
          <w:sz w:val="20"/>
          <w:szCs w:val="20"/>
        </w:rPr>
        <w:t>Sankce</w:t>
      </w:r>
    </w:p>
    <w:p w:rsidR="00A66487" w:rsidRPr="00A66487" w:rsidRDefault="00A66487" w:rsidP="00A66487">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A66487" w:rsidRPr="00A66487" w:rsidRDefault="00A66487" w:rsidP="00A66487">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A66487">
        <w:rPr>
          <w:rFonts w:ascii="Arial" w:eastAsia="Times New Roman" w:hAnsi="Arial" w:cs="Arial"/>
          <w:sz w:val="20"/>
          <w:szCs w:val="20"/>
          <w:lang w:eastAsia="cs-CZ"/>
        </w:rPr>
        <w:t xml:space="preserve">Porušení povinností uvedených v článku VI. 6.4 je považováno za </w:t>
      </w:r>
      <w:r w:rsidRPr="00A66487">
        <w:rPr>
          <w:rFonts w:ascii="Arial" w:eastAsia="Times New Roman" w:hAnsi="Arial" w:cs="Arial"/>
          <w:b/>
          <w:sz w:val="20"/>
          <w:szCs w:val="20"/>
          <w:lang w:eastAsia="cs-CZ"/>
        </w:rPr>
        <w:t>méně závažné porušení</w:t>
      </w:r>
      <w:r w:rsidRPr="00A66487">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A66487">
        <w:rPr>
          <w:rFonts w:ascii="Arial" w:eastAsia="Times New Roman" w:hAnsi="Arial" w:cs="Arial"/>
          <w:b/>
          <w:sz w:val="20"/>
          <w:szCs w:val="20"/>
          <w:lang w:eastAsia="cs-CZ"/>
        </w:rPr>
        <w:t>odvod</w:t>
      </w:r>
      <w:r w:rsidRPr="00A66487">
        <w:rPr>
          <w:rFonts w:ascii="Arial" w:eastAsia="Times New Roman" w:hAnsi="Arial" w:cs="Arial"/>
          <w:sz w:val="20"/>
          <w:szCs w:val="20"/>
          <w:lang w:eastAsia="cs-CZ"/>
        </w:rPr>
        <w:t xml:space="preserve"> za porušení rozpočtové kázně </w:t>
      </w:r>
      <w:r w:rsidRPr="00A66487">
        <w:rPr>
          <w:rFonts w:ascii="Arial" w:eastAsia="Times New Roman" w:hAnsi="Arial" w:cs="Arial"/>
          <w:b/>
          <w:sz w:val="20"/>
          <w:szCs w:val="20"/>
          <w:lang w:eastAsia="cs-CZ"/>
        </w:rPr>
        <w:t>ve výši</w:t>
      </w:r>
      <w:r w:rsidRPr="00A66487">
        <w:rPr>
          <w:rFonts w:ascii="Arial" w:eastAsia="Times New Roman" w:hAnsi="Arial" w:cs="Arial"/>
          <w:b/>
          <w:sz w:val="16"/>
          <w:szCs w:val="16"/>
          <w:lang w:eastAsia="cs-CZ"/>
        </w:rPr>
        <w:t xml:space="preserve"> </w:t>
      </w:r>
      <w:r w:rsidRPr="00A66487">
        <w:rPr>
          <w:rFonts w:ascii="Arial" w:eastAsia="Times New Roman" w:hAnsi="Arial" w:cs="Arial"/>
          <w:b/>
          <w:sz w:val="20"/>
          <w:szCs w:val="20"/>
          <w:lang w:eastAsia="cs-CZ"/>
        </w:rPr>
        <w:t>5% z poskytnuté dotace</w:t>
      </w:r>
      <w:r w:rsidRPr="00A66487">
        <w:rPr>
          <w:rFonts w:ascii="Arial" w:eastAsia="Times New Roman" w:hAnsi="Arial" w:cs="Arial"/>
          <w:b/>
          <w:sz w:val="16"/>
          <w:szCs w:val="16"/>
          <w:lang w:eastAsia="cs-CZ"/>
        </w:rPr>
        <w:t>.</w:t>
      </w:r>
      <w:r w:rsidRPr="00A66487">
        <w:rPr>
          <w:rFonts w:ascii="Arial" w:eastAsia="Times New Roman" w:hAnsi="Arial" w:cs="Arial"/>
          <w:sz w:val="16"/>
          <w:szCs w:val="16"/>
          <w:lang w:eastAsia="cs-CZ"/>
        </w:rPr>
        <w:t xml:space="preserve"> </w:t>
      </w: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A66487">
        <w:rPr>
          <w:rFonts w:ascii="Arial" w:eastAsia="Times New Roman" w:hAnsi="Arial" w:cs="Arial"/>
          <w:b/>
          <w:sz w:val="20"/>
          <w:szCs w:val="20"/>
          <w:lang w:eastAsia="cs-CZ"/>
        </w:rPr>
        <w:t>VIII.</w:t>
      </w: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A66487">
        <w:rPr>
          <w:rFonts w:ascii="Arial" w:eastAsia="Times New Roman" w:hAnsi="Arial" w:cs="Arial"/>
          <w:b/>
          <w:sz w:val="20"/>
          <w:szCs w:val="20"/>
          <w:lang w:eastAsia="cs-CZ"/>
        </w:rPr>
        <w:t>Změny podmínek smlouvy</w:t>
      </w:r>
    </w:p>
    <w:p w:rsidR="00A66487" w:rsidRPr="00A66487" w:rsidRDefault="00A66487" w:rsidP="00A66487">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 xml:space="preserve">změna banky/bankovního účtu, </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 xml:space="preserve">změna adresy/sídla příjemce/zřizovatele,  </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 xml:space="preserve">změna statutárního orgánu/kontaktní osoby, </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 xml:space="preserve">změna názvu příjemce/zřizovatele, </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změna zdrojů nebo výše podílů těchto zdrojů na financování projektu (s výjimkou dotace od Zlínského kraje),</w:t>
      </w:r>
    </w:p>
    <w:p w:rsidR="00A66487" w:rsidRPr="00A66487" w:rsidRDefault="00A66487" w:rsidP="00A6648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A66487">
        <w:rPr>
          <w:rFonts w:ascii="Arial" w:hAnsi="Arial" w:cs="Arial"/>
          <w:snapToGrid w:val="0"/>
          <w:sz w:val="20"/>
          <w:szCs w:val="20"/>
        </w:rPr>
        <w:t>změna formy publicity, pokud je v souladu s programem,</w:t>
      </w:r>
    </w:p>
    <w:p w:rsidR="00A66487" w:rsidRPr="00A66487" w:rsidRDefault="00A66487" w:rsidP="00A66487">
      <w:pPr>
        <w:widowControl w:val="0"/>
        <w:tabs>
          <w:tab w:val="left" w:pos="8928"/>
        </w:tabs>
        <w:spacing w:before="60" w:after="0"/>
        <w:ind w:left="397"/>
        <w:jc w:val="both"/>
        <w:rPr>
          <w:rFonts w:ascii="Arial" w:hAnsi="Arial"/>
          <w:sz w:val="20"/>
        </w:rPr>
      </w:pPr>
      <w:r w:rsidRPr="00A66487">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A66487">
        <w:rPr>
          <w:rFonts w:ascii="Arial" w:hAnsi="Arial"/>
          <w:sz w:val="20"/>
          <w:szCs w:val="24"/>
        </w:rPr>
        <w:t>kromě případů specifikovaných v čl. V. odst. 5.7</w:t>
      </w:r>
      <w:r w:rsidRPr="00A66487">
        <w:rPr>
          <w:rFonts w:ascii="Arial" w:hAnsi="Arial"/>
          <w:sz w:val="20"/>
        </w:rPr>
        <w:t xml:space="preserve">). </w:t>
      </w:r>
    </w:p>
    <w:p w:rsidR="00A66487" w:rsidRPr="00A66487" w:rsidRDefault="00A66487" w:rsidP="00A66487">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A66487">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A66487">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A66487">
        <w:rPr>
          <w:rFonts w:ascii="Arial" w:eastAsia="Times New Roman" w:hAnsi="Arial" w:cs="Arial"/>
          <w:b/>
          <w:sz w:val="20"/>
          <w:szCs w:val="20"/>
          <w:lang w:eastAsia="cs-CZ"/>
        </w:rPr>
        <w:t>IX.</w:t>
      </w:r>
    </w:p>
    <w:p w:rsidR="00A66487" w:rsidRPr="00A66487" w:rsidRDefault="00A66487" w:rsidP="00A66487">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A66487">
        <w:rPr>
          <w:rFonts w:ascii="Arial" w:eastAsia="Times New Roman" w:hAnsi="Arial" w:cs="Arial"/>
          <w:b/>
          <w:sz w:val="20"/>
          <w:szCs w:val="20"/>
          <w:lang w:eastAsia="cs-CZ"/>
        </w:rPr>
        <w:t>Ukončení smlouvy</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Smlouvu lze ukončit na základě písemné dohody obou smluvních stran nebo písemnou výpovědí </w:t>
      </w:r>
      <w:r w:rsidRPr="00A66487">
        <w:rPr>
          <w:rFonts w:ascii="Arial" w:eastAsia="Times New Roman" w:hAnsi="Arial" w:cs="Arial"/>
          <w:sz w:val="20"/>
          <w:szCs w:val="20"/>
          <w:lang w:eastAsia="cs-CZ"/>
        </w:rPr>
        <w:lastRenderedPageBreak/>
        <w:t xml:space="preserve">smlouvy, a to za podmínek dále stanovených. </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A66487">
        <w:rPr>
          <w:rFonts w:ascii="Arial" w:eastAsia="Times New Roman" w:hAnsi="Arial" w:cs="Arial"/>
          <w:sz w:val="20"/>
          <w:szCs w:val="20"/>
          <w:lang w:eastAsia="cs-CZ"/>
        </w:rPr>
        <w:t>Poskytovatel může smlouvu vypovědět jak před proplacením, tak i po proplacení dotace.</w:t>
      </w:r>
    </w:p>
    <w:p w:rsidR="00A66487" w:rsidRPr="00A66487" w:rsidRDefault="00A66487" w:rsidP="00A66487">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A66487">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A66487" w:rsidRPr="00A66487" w:rsidRDefault="00A66487" w:rsidP="00A66487">
      <w:pPr>
        <w:numPr>
          <w:ilvl w:val="0"/>
          <w:numId w:val="4"/>
        </w:numPr>
        <w:tabs>
          <w:tab w:val="left" w:pos="8928"/>
        </w:tabs>
        <w:spacing w:after="0" w:line="240" w:lineRule="auto"/>
        <w:jc w:val="both"/>
        <w:rPr>
          <w:rFonts w:ascii="Arial" w:hAnsi="Arial" w:cs="Arial"/>
          <w:sz w:val="20"/>
          <w:szCs w:val="20"/>
        </w:rPr>
      </w:pPr>
      <w:r w:rsidRPr="00A66487">
        <w:rPr>
          <w:rFonts w:ascii="Arial" w:hAnsi="Arial" w:cs="Arial"/>
          <w:sz w:val="20"/>
          <w:szCs w:val="20"/>
        </w:rPr>
        <w:t xml:space="preserve">svým jednáním poruší rozpočtovou kázeň dle zákona č. 250/2000 Sb. </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poruší pravidla veřejné podpory,</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 xml:space="preserve">bylo zahájeno insolvenční řízení podle zákona č. 182/2006 Sb., o úpadku a způsobech jeho řešení, ve znění pozdějších předpisů,  </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příjemce uvedl nepravdivé, neúplné nebo zkreslené údaje, na které se váže uzavření této smlouvy,</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 xml:space="preserve">je v likvidaci, </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 xml:space="preserve">změní právní formu a stane se tak nezpůsobilým příjemcem pro danou oblast podpory, </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opakovaně neplní povinnosti stanovené smlouvou, i když byl k jejich nápravě vyzván poskytovatelem,</w:t>
      </w:r>
    </w:p>
    <w:p w:rsidR="00A66487" w:rsidRPr="00A66487" w:rsidRDefault="00A66487" w:rsidP="00A66487">
      <w:pPr>
        <w:numPr>
          <w:ilvl w:val="0"/>
          <w:numId w:val="4"/>
        </w:numPr>
        <w:tabs>
          <w:tab w:val="left" w:pos="8928"/>
        </w:tabs>
        <w:spacing w:after="0" w:line="240" w:lineRule="auto"/>
        <w:ind w:left="714" w:hanging="357"/>
        <w:jc w:val="both"/>
        <w:rPr>
          <w:rFonts w:ascii="Arial" w:hAnsi="Arial" w:cs="Arial"/>
          <w:sz w:val="20"/>
          <w:szCs w:val="20"/>
        </w:rPr>
      </w:pPr>
      <w:r w:rsidRPr="00A66487">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A66487">
        <w:rPr>
          <w:rFonts w:ascii="Arial" w:eastAsia="Times New Roman" w:hAnsi="Arial" w:cs="Arial"/>
          <w:sz w:val="20"/>
          <w:szCs w:val="20"/>
          <w:lang w:eastAsia="cs-CZ"/>
        </w:rPr>
        <w:t>Výpověď smlouvy musí být učiněna písemně a musí v ní být uvedeny důvody jejího udělení.</w:t>
      </w:r>
      <w:r w:rsidRPr="00A66487">
        <w:rPr>
          <w:rFonts w:ascii="Arial" w:eastAsia="Times New Roman" w:hAnsi="Arial" w:cs="Arial"/>
          <w:b/>
          <w:sz w:val="20"/>
          <w:szCs w:val="20"/>
          <w:lang w:eastAsia="cs-CZ"/>
        </w:rPr>
        <w:t xml:space="preserve"> </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A66487" w:rsidRPr="00A66487" w:rsidRDefault="00A66487" w:rsidP="00A6648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A66487" w:rsidRPr="00A66487" w:rsidRDefault="00A66487" w:rsidP="00A6648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A66487" w:rsidRPr="00A66487" w:rsidRDefault="00A66487" w:rsidP="00A6648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A66487" w:rsidRPr="00A66487" w:rsidRDefault="00A66487" w:rsidP="00A6648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A66487" w:rsidRPr="00A66487" w:rsidRDefault="00A66487" w:rsidP="00A6648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A66487" w:rsidRPr="00A66487" w:rsidRDefault="00A66487" w:rsidP="00A6648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A66487" w:rsidRPr="00A66487" w:rsidRDefault="00A66487" w:rsidP="00A66487">
      <w:pPr>
        <w:widowControl w:val="0"/>
        <w:tabs>
          <w:tab w:val="left" w:pos="708"/>
          <w:tab w:val="left" w:pos="8928"/>
        </w:tabs>
        <w:spacing w:before="60" w:after="120"/>
        <w:jc w:val="both"/>
        <w:rPr>
          <w:rFonts w:ascii="Arial" w:hAnsi="Arial" w:cs="Arial"/>
          <w:b/>
          <w:snapToGrid w:val="0"/>
          <w:sz w:val="20"/>
          <w:szCs w:val="20"/>
        </w:rPr>
      </w:pPr>
    </w:p>
    <w:p w:rsidR="00A66487" w:rsidRPr="00A66487" w:rsidRDefault="00A66487" w:rsidP="00A66487">
      <w:pPr>
        <w:widowControl w:val="0"/>
        <w:tabs>
          <w:tab w:val="left" w:pos="708"/>
          <w:tab w:val="left" w:pos="8928"/>
        </w:tabs>
        <w:spacing w:after="0"/>
        <w:jc w:val="center"/>
        <w:rPr>
          <w:rFonts w:ascii="Arial" w:hAnsi="Arial" w:cs="Arial"/>
          <w:b/>
          <w:snapToGrid w:val="0"/>
          <w:sz w:val="20"/>
          <w:szCs w:val="20"/>
        </w:rPr>
      </w:pPr>
      <w:r w:rsidRPr="00A66487">
        <w:rPr>
          <w:rFonts w:ascii="Arial" w:hAnsi="Arial" w:cs="Arial"/>
          <w:b/>
          <w:snapToGrid w:val="0"/>
          <w:sz w:val="20"/>
          <w:szCs w:val="20"/>
        </w:rPr>
        <w:t>X.</w:t>
      </w:r>
    </w:p>
    <w:p w:rsidR="00A66487" w:rsidRPr="00A66487" w:rsidRDefault="00A66487" w:rsidP="00A66487">
      <w:pPr>
        <w:widowControl w:val="0"/>
        <w:tabs>
          <w:tab w:val="left" w:pos="708"/>
          <w:tab w:val="left" w:pos="8928"/>
        </w:tabs>
        <w:spacing w:before="60" w:after="120"/>
        <w:jc w:val="center"/>
        <w:rPr>
          <w:rFonts w:ascii="Arial" w:hAnsi="Arial" w:cs="Arial"/>
          <w:b/>
          <w:snapToGrid w:val="0"/>
          <w:sz w:val="20"/>
          <w:szCs w:val="20"/>
        </w:rPr>
      </w:pPr>
      <w:r w:rsidRPr="00A66487">
        <w:rPr>
          <w:rFonts w:ascii="Arial" w:hAnsi="Arial" w:cs="Arial"/>
          <w:b/>
          <w:snapToGrid w:val="0"/>
          <w:sz w:val="20"/>
          <w:szCs w:val="20"/>
        </w:rPr>
        <w:t>Závěrečná ustanovení</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z w:val="20"/>
          <w:szCs w:val="20"/>
          <w:lang w:eastAsia="cs-CZ"/>
        </w:rPr>
        <w:lastRenderedPageBreak/>
        <w:t xml:space="preserve">Jako kontaktní místo poskytovatele se pro účely této smlouvy stanovuje: Krajský úřad Zlínského kraje, odbor životního prostředí a zemědělství, Ing. Marcela Strakošová, tel.: 577 043 369, e-mail: marcela.strakosova@kr-zlinsky.cz. </w:t>
      </w:r>
      <w:r w:rsidRPr="00A66487">
        <w:rPr>
          <w:rFonts w:ascii="Arial" w:eastAsia="Times New Roman" w:hAnsi="Arial" w:cs="Arial"/>
          <w:b/>
          <w:sz w:val="20"/>
          <w:szCs w:val="20"/>
          <w:lang w:eastAsia="cs-CZ"/>
        </w:rPr>
        <w:br/>
      </w:r>
      <w:r w:rsidRPr="00A66487">
        <w:rPr>
          <w:rFonts w:ascii="Arial" w:eastAsia="Times New Roman" w:hAnsi="Arial" w:cs="Arial"/>
          <w:sz w:val="20"/>
          <w:szCs w:val="20"/>
          <w:lang w:eastAsia="cs-CZ"/>
        </w:rPr>
        <w:t xml:space="preserve">Jako kontaktní místo příjemce se pro účely této smlouvy stanovuje: </w:t>
      </w:r>
      <w:r w:rsidRPr="00A66487">
        <w:rPr>
          <w:rFonts w:ascii="Arial" w:eastAsia="Times New Roman" w:hAnsi="Arial" w:cs="Arial"/>
          <w:b/>
          <w:noProof/>
          <w:sz w:val="20"/>
          <w:szCs w:val="20"/>
          <w:lang w:eastAsia="cs-CZ"/>
        </w:rPr>
        <w:t>Ing. Radek Fryzelka</w:t>
      </w:r>
      <w:r w:rsidRPr="00A66487">
        <w:rPr>
          <w:rFonts w:ascii="Arial" w:eastAsia="Times New Roman" w:hAnsi="Arial" w:cs="Arial"/>
          <w:sz w:val="20"/>
          <w:szCs w:val="20"/>
          <w:lang w:eastAsia="cs-CZ"/>
        </w:rPr>
        <w:t xml:space="preserve">, </w:t>
      </w:r>
      <w:r w:rsidRPr="00A66487">
        <w:rPr>
          <w:rFonts w:ascii="Arial" w:eastAsia="Times New Roman" w:hAnsi="Arial" w:cs="Arial"/>
          <w:b/>
          <w:noProof/>
          <w:sz w:val="20"/>
          <w:szCs w:val="20"/>
          <w:lang w:eastAsia="cs-CZ"/>
        </w:rPr>
        <w:t>Vlachovice 50, 76324 Vlachovice</w:t>
      </w:r>
      <w:r w:rsidRPr="00A66487">
        <w:rPr>
          <w:rFonts w:ascii="Arial" w:eastAsia="Times New Roman" w:hAnsi="Arial" w:cs="Arial"/>
          <w:sz w:val="20"/>
          <w:szCs w:val="20"/>
          <w:lang w:eastAsia="cs-CZ"/>
        </w:rPr>
        <w:t xml:space="preserve">, tel.: </w:t>
      </w:r>
      <w:r w:rsidRPr="00A66487">
        <w:rPr>
          <w:rFonts w:ascii="Arial" w:eastAsia="Times New Roman" w:hAnsi="Arial" w:cs="Arial"/>
          <w:b/>
          <w:noProof/>
          <w:sz w:val="20"/>
          <w:szCs w:val="20"/>
          <w:lang w:eastAsia="cs-CZ"/>
        </w:rPr>
        <w:t>775345646</w:t>
      </w:r>
      <w:r w:rsidRPr="00A66487">
        <w:rPr>
          <w:rFonts w:ascii="Arial" w:eastAsia="Times New Roman" w:hAnsi="Arial" w:cs="Arial"/>
          <w:sz w:val="20"/>
          <w:szCs w:val="20"/>
          <w:lang w:eastAsia="cs-CZ"/>
        </w:rPr>
        <w:t xml:space="preserve">, email: </w:t>
      </w:r>
      <w:r w:rsidRPr="00A66487">
        <w:rPr>
          <w:rFonts w:ascii="Arial" w:eastAsia="Times New Roman" w:hAnsi="Arial" w:cs="Arial"/>
          <w:b/>
          <w:noProof/>
          <w:sz w:val="20"/>
          <w:szCs w:val="20"/>
          <w:lang w:eastAsia="cs-CZ"/>
        </w:rPr>
        <w:t>zastupce@vlachovice.cz</w:t>
      </w:r>
      <w:r w:rsidRPr="00A66487">
        <w:rPr>
          <w:rFonts w:ascii="Arial" w:eastAsia="Times New Roman" w:hAnsi="Arial" w:cs="Arial"/>
          <w:sz w:val="20"/>
          <w:szCs w:val="20"/>
          <w:lang w:eastAsia="cs-CZ"/>
        </w:rPr>
        <w:t>.</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z w:val="20"/>
          <w:szCs w:val="20"/>
          <w:lang w:eastAsia="cs-CZ"/>
        </w:rPr>
        <w:t>V případě rozporu mezi skutečnostmi uvedenými v programu a ustanoveními této smlouvy, se přednostně aplikují ustanovení této smlouvy.</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 xml:space="preserve">Smlouva je vyhotovena ve </w:t>
      </w:r>
      <w:r w:rsidRPr="00A66487">
        <w:rPr>
          <w:rFonts w:ascii="Arial" w:eastAsia="Times New Roman" w:hAnsi="Arial" w:cs="Arial"/>
          <w:sz w:val="20"/>
          <w:szCs w:val="20"/>
          <w:lang w:eastAsia="cs-CZ"/>
        </w:rPr>
        <w:t xml:space="preserve">třech </w:t>
      </w:r>
      <w:r w:rsidRPr="00A66487">
        <w:rPr>
          <w:rFonts w:ascii="Arial" w:eastAsia="Times New Roman" w:hAnsi="Arial" w:cs="Arial"/>
          <w:snapToGrid w:val="0"/>
          <w:sz w:val="20"/>
          <w:szCs w:val="20"/>
          <w:lang w:eastAsia="cs-CZ"/>
        </w:rPr>
        <w:t xml:space="preserve">stejnopisech, z nichž každý má platnost originálu. </w:t>
      </w:r>
      <w:r w:rsidRPr="00A66487">
        <w:rPr>
          <w:rFonts w:ascii="Arial" w:eastAsia="Times New Roman" w:hAnsi="Arial" w:cs="Arial"/>
          <w:sz w:val="20"/>
          <w:szCs w:val="20"/>
          <w:lang w:eastAsia="cs-CZ"/>
        </w:rPr>
        <w:t xml:space="preserve">Dvě </w:t>
      </w:r>
      <w:r w:rsidRPr="00A66487">
        <w:rPr>
          <w:rFonts w:ascii="Arial" w:eastAsia="Times New Roman" w:hAnsi="Arial" w:cs="Arial"/>
          <w:snapToGrid w:val="0"/>
          <w:sz w:val="20"/>
          <w:szCs w:val="20"/>
          <w:lang w:eastAsia="cs-CZ"/>
        </w:rPr>
        <w:t xml:space="preserve">vyhotovení obdrží poskytovatel a </w:t>
      </w:r>
      <w:r w:rsidRPr="00A66487">
        <w:rPr>
          <w:rFonts w:ascii="Arial" w:eastAsia="Times New Roman" w:hAnsi="Arial" w:cs="Arial"/>
          <w:sz w:val="20"/>
          <w:szCs w:val="20"/>
          <w:lang w:eastAsia="cs-CZ"/>
        </w:rPr>
        <w:t>jeden</w:t>
      </w:r>
      <w:r w:rsidRPr="00A66487">
        <w:rPr>
          <w:rFonts w:ascii="Arial" w:eastAsia="Times New Roman" w:hAnsi="Arial" w:cs="Arial"/>
          <w:snapToGrid w:val="0"/>
          <w:sz w:val="20"/>
          <w:szCs w:val="20"/>
          <w:lang w:eastAsia="cs-CZ"/>
        </w:rPr>
        <w:t xml:space="preserve"> vyhotovení obdrží příjemce.</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A66487">
        <w:rPr>
          <w:rFonts w:ascii="Arial" w:eastAsia="Times New Roman" w:hAnsi="Arial" w:cs="Arial"/>
          <w:snapToGrid w:val="0"/>
          <w:sz w:val="20"/>
          <w:szCs w:val="20"/>
          <w:lang w:eastAsia="cs-CZ"/>
        </w:rPr>
        <w:t>Tato smlouva nabývá účinnosti dnem podpisu oběma smluvními stranami.</w:t>
      </w:r>
    </w:p>
    <w:p w:rsidR="00A66487" w:rsidRPr="00A66487" w:rsidRDefault="00A66487" w:rsidP="00A6648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b/>
          <w:snapToGrid w:val="0"/>
          <w:sz w:val="20"/>
          <w:szCs w:val="20"/>
          <w:lang w:eastAsia="cs-CZ"/>
        </w:rPr>
      </w:pPr>
      <w:r w:rsidRPr="00A66487">
        <w:rPr>
          <w:rFonts w:ascii="Arial" w:eastAsia="Times New Roman" w:hAnsi="Arial" w:cs="Arial"/>
          <w:snapToGrid w:val="0"/>
          <w:sz w:val="20"/>
          <w:szCs w:val="20"/>
          <w:lang w:eastAsia="cs-CZ"/>
        </w:rPr>
        <w:t xml:space="preserve">Smlouva podléhá zveřejnění v souladu s ustanovením § 10d zákona č. 250/2000 Sb. // Smlouva podléhá zveřejnění v Registru smluv v souladu se zákonem č. 340/2015 Sb., o zvláštních podmínkách účinnosti některých smluv, uveřejňování těchto smluv a o registru smluv (zákon o registru smluv). </w:t>
      </w:r>
    </w:p>
    <w:p w:rsidR="00A66487" w:rsidRPr="00A66487" w:rsidRDefault="00A66487" w:rsidP="00A66487">
      <w:pPr>
        <w:widowControl w:val="0"/>
        <w:tabs>
          <w:tab w:val="left" w:pos="42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napToGrid w:val="0"/>
          <w:sz w:val="20"/>
          <w:szCs w:val="20"/>
          <w:lang w:eastAsia="cs-CZ"/>
        </w:rPr>
      </w:pP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A66487">
        <w:rPr>
          <w:rFonts w:ascii="Arial" w:hAnsi="Arial" w:cs="Arial"/>
          <w:b/>
          <w:sz w:val="20"/>
          <w:szCs w:val="20"/>
        </w:rPr>
        <w:t>Doložka dle § 23 zákona č. 129/2000 Sb., o krajích, ve znění pozdějších předpisů</w:t>
      </w: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66487">
        <w:rPr>
          <w:rFonts w:ascii="Arial" w:hAnsi="Arial" w:cs="Arial"/>
          <w:sz w:val="20"/>
          <w:szCs w:val="20"/>
        </w:rPr>
        <w:t>Schváleno orgánem kraje: Zastupitelstvo Zlínského kraje</w:t>
      </w: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66487">
        <w:rPr>
          <w:rFonts w:ascii="Arial" w:hAnsi="Arial" w:cs="Arial"/>
          <w:sz w:val="20"/>
          <w:szCs w:val="20"/>
        </w:rPr>
        <w:t>Datum jednání a číslo usnesení: 15. 05. 2017</w:t>
      </w:r>
      <w:ins w:id="0" w:author="Pavlíčková Diana" w:date="2017-05-26T09:39:00Z">
        <w:r w:rsidRPr="00A66487">
          <w:rPr>
            <w:rFonts w:ascii="Arial" w:hAnsi="Arial" w:cs="Arial"/>
            <w:sz w:val="20"/>
            <w:szCs w:val="20"/>
          </w:rPr>
          <w:t>,</w:t>
        </w:r>
      </w:ins>
      <w:r w:rsidRPr="00A66487">
        <w:rPr>
          <w:rFonts w:ascii="Arial" w:hAnsi="Arial" w:cs="Arial"/>
          <w:sz w:val="20"/>
          <w:szCs w:val="20"/>
        </w:rPr>
        <w:t xml:space="preserve"> ZZK 0106/Z05/17</w:t>
      </w:r>
    </w:p>
    <w:p w:rsidR="00A66487" w:rsidRPr="00A66487" w:rsidRDefault="00A66487" w:rsidP="00A66487">
      <w:pPr>
        <w:widowControl w:val="0"/>
        <w:tabs>
          <w:tab w:val="left" w:pos="708"/>
          <w:tab w:val="left" w:pos="8928"/>
        </w:tabs>
        <w:spacing w:after="0"/>
        <w:jc w:val="both"/>
        <w:rPr>
          <w:rFonts w:ascii="Arial" w:hAnsi="Arial" w:cs="Arial"/>
          <w:snapToGrid w:val="0"/>
          <w:sz w:val="20"/>
          <w:szCs w:val="20"/>
        </w:rPr>
      </w:pP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A66487">
        <w:rPr>
          <w:rFonts w:ascii="Arial" w:hAnsi="Arial" w:cs="Arial"/>
          <w:b/>
          <w:sz w:val="20"/>
          <w:szCs w:val="20"/>
        </w:rPr>
        <w:t xml:space="preserve">Doložka dle § </w:t>
      </w:r>
      <w:r w:rsidRPr="00A66487">
        <w:rPr>
          <w:rFonts w:ascii="Arial" w:hAnsi="Arial" w:cs="Arial"/>
          <w:b/>
          <w:bCs/>
          <w:sz w:val="20"/>
          <w:szCs w:val="20"/>
        </w:rPr>
        <w:t>41 zákona č. 128/2000 Sb., o obcích</w:t>
      </w:r>
      <w:r w:rsidRPr="00A66487">
        <w:rPr>
          <w:rFonts w:ascii="Arial" w:hAnsi="Arial" w:cs="Arial"/>
          <w:b/>
          <w:sz w:val="20"/>
          <w:szCs w:val="20"/>
        </w:rPr>
        <w:t>, ve znění pozdějších předpisů</w:t>
      </w: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66487">
        <w:rPr>
          <w:rFonts w:ascii="Arial" w:hAnsi="Arial" w:cs="Arial"/>
          <w:sz w:val="20"/>
          <w:szCs w:val="20"/>
        </w:rPr>
        <w:t xml:space="preserve">Schváleno orgánem obce: </w:t>
      </w:r>
      <w:r w:rsidR="00505F4B">
        <w:rPr>
          <w:rFonts w:ascii="Arial" w:hAnsi="Arial" w:cs="Arial"/>
          <w:sz w:val="20"/>
          <w:szCs w:val="20"/>
        </w:rPr>
        <w:t>Zastupitelstvo obce Vlachovice</w:t>
      </w:r>
    </w:p>
    <w:p w:rsidR="00A66487" w:rsidRPr="00A66487" w:rsidRDefault="00A66487" w:rsidP="00A6648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A66487">
        <w:rPr>
          <w:rFonts w:ascii="Arial" w:hAnsi="Arial" w:cs="Arial"/>
          <w:sz w:val="20"/>
          <w:szCs w:val="20"/>
        </w:rPr>
        <w:t xml:space="preserve">Datum jednání a číslo usnesení: </w:t>
      </w:r>
      <w:r w:rsidR="00505F4B">
        <w:rPr>
          <w:rFonts w:ascii="Arial" w:hAnsi="Arial" w:cs="Arial"/>
          <w:sz w:val="20"/>
          <w:szCs w:val="20"/>
        </w:rPr>
        <w:t>10.07.2017, 2b/20/2017-1</w:t>
      </w:r>
    </w:p>
    <w:p w:rsidR="00A66487" w:rsidRPr="00A66487" w:rsidRDefault="00A66487" w:rsidP="00A66487">
      <w:pPr>
        <w:tabs>
          <w:tab w:val="left" w:pos="5670"/>
        </w:tabs>
        <w:spacing w:beforeLines="150" w:before="360" w:after="0" w:line="240" w:lineRule="auto"/>
        <w:jc w:val="both"/>
        <w:rPr>
          <w:rFonts w:ascii="Arial" w:eastAsia="Times New Roman" w:hAnsi="Arial" w:cs="Arial"/>
          <w:sz w:val="20"/>
          <w:szCs w:val="20"/>
          <w:lang w:eastAsia="cs-CZ"/>
        </w:rPr>
      </w:pPr>
    </w:p>
    <w:p w:rsidR="00A66487" w:rsidRPr="00A66487" w:rsidRDefault="00A66487" w:rsidP="00A66487">
      <w:pPr>
        <w:tabs>
          <w:tab w:val="left" w:pos="5670"/>
        </w:tabs>
        <w:spacing w:beforeLines="150" w:before="360" w:after="0" w:line="240" w:lineRule="auto"/>
        <w:jc w:val="both"/>
        <w:rPr>
          <w:rFonts w:ascii="Arial" w:eastAsia="Times New Roman" w:hAnsi="Arial" w:cs="Arial"/>
          <w:sz w:val="20"/>
          <w:szCs w:val="20"/>
          <w:lang w:eastAsia="cs-CZ"/>
        </w:rPr>
      </w:pPr>
      <w:r w:rsidRPr="00A66487">
        <w:rPr>
          <w:rFonts w:ascii="Arial" w:eastAsia="Times New Roman" w:hAnsi="Arial" w:cs="Arial"/>
          <w:sz w:val="20"/>
          <w:szCs w:val="20"/>
          <w:lang w:eastAsia="cs-CZ"/>
        </w:rPr>
        <w:t>Zlín, dne</w:t>
      </w:r>
      <w:r w:rsidR="00AF7E7F">
        <w:rPr>
          <w:rFonts w:ascii="Arial" w:eastAsia="Times New Roman" w:hAnsi="Arial" w:cs="Arial"/>
          <w:sz w:val="20"/>
          <w:szCs w:val="20"/>
          <w:lang w:eastAsia="cs-CZ"/>
        </w:rPr>
        <w:t xml:space="preserve"> 26.7.2017</w:t>
      </w:r>
      <w:r w:rsidRPr="00A66487">
        <w:rPr>
          <w:rFonts w:ascii="Arial" w:eastAsia="Times New Roman" w:hAnsi="Arial" w:cs="Arial"/>
          <w:sz w:val="20"/>
          <w:szCs w:val="20"/>
          <w:lang w:eastAsia="cs-CZ"/>
        </w:rPr>
        <w:tab/>
      </w:r>
      <w:r w:rsidRPr="00A66487">
        <w:rPr>
          <w:rFonts w:ascii="Arial" w:eastAsia="Times New Roman" w:hAnsi="Arial" w:cs="Arial"/>
          <w:noProof/>
          <w:sz w:val="20"/>
          <w:szCs w:val="20"/>
          <w:lang w:eastAsia="cs-CZ"/>
        </w:rPr>
        <w:t>Vlachovice</w:t>
      </w:r>
      <w:r w:rsidRPr="00A66487">
        <w:rPr>
          <w:rFonts w:ascii="Arial" w:eastAsia="Times New Roman" w:hAnsi="Arial" w:cs="Arial"/>
          <w:sz w:val="20"/>
          <w:szCs w:val="20"/>
          <w:lang w:eastAsia="cs-CZ"/>
        </w:rPr>
        <w:t xml:space="preserve">, dne </w:t>
      </w:r>
      <w:r w:rsidR="00505F4B">
        <w:rPr>
          <w:rFonts w:ascii="Arial" w:eastAsia="Times New Roman" w:hAnsi="Arial" w:cs="Arial"/>
          <w:sz w:val="20"/>
          <w:szCs w:val="20"/>
          <w:lang w:eastAsia="cs-CZ"/>
        </w:rPr>
        <w:t>17.7.2017</w:t>
      </w:r>
    </w:p>
    <w:p w:rsidR="00A66487" w:rsidRPr="00A66487" w:rsidRDefault="00A66487" w:rsidP="00A66487">
      <w:pPr>
        <w:tabs>
          <w:tab w:val="left" w:pos="5670"/>
        </w:tabs>
        <w:spacing w:after="0" w:line="240" w:lineRule="auto"/>
        <w:rPr>
          <w:rFonts w:ascii="Arial" w:eastAsia="Times New Roman" w:hAnsi="Arial" w:cs="Arial"/>
          <w:sz w:val="20"/>
          <w:szCs w:val="20"/>
          <w:lang w:eastAsia="cs-CZ"/>
        </w:rPr>
      </w:pPr>
    </w:p>
    <w:p w:rsidR="00A66487" w:rsidRPr="00A66487" w:rsidRDefault="00A66487" w:rsidP="00A66487">
      <w:pPr>
        <w:tabs>
          <w:tab w:val="left" w:pos="5670"/>
        </w:tabs>
        <w:spacing w:beforeLines="60" w:before="144" w:after="0" w:line="240" w:lineRule="auto"/>
        <w:rPr>
          <w:rFonts w:ascii="Arial" w:eastAsia="Times New Roman" w:hAnsi="Arial" w:cs="Arial"/>
          <w:sz w:val="20"/>
          <w:szCs w:val="20"/>
          <w:lang w:eastAsia="cs-CZ"/>
        </w:rPr>
      </w:pPr>
      <w:r w:rsidRPr="00A66487">
        <w:rPr>
          <w:rFonts w:ascii="Arial" w:eastAsia="Times New Roman" w:hAnsi="Arial" w:cs="Arial"/>
          <w:sz w:val="20"/>
          <w:szCs w:val="20"/>
          <w:lang w:eastAsia="cs-CZ"/>
        </w:rPr>
        <w:t>za poskytovatele</w:t>
      </w:r>
      <w:r w:rsidRPr="00A66487">
        <w:rPr>
          <w:rFonts w:ascii="Arial" w:eastAsia="Times New Roman" w:hAnsi="Arial" w:cs="Arial"/>
          <w:sz w:val="20"/>
          <w:szCs w:val="20"/>
          <w:lang w:eastAsia="cs-CZ"/>
        </w:rPr>
        <w:tab/>
        <w:t>za příjemce</w:t>
      </w:r>
    </w:p>
    <w:p w:rsidR="00A66487" w:rsidRPr="00A66487" w:rsidRDefault="00A66487" w:rsidP="00A66487">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A66487" w:rsidRPr="00A66487" w:rsidRDefault="00A66487" w:rsidP="00A66487">
      <w:pPr>
        <w:tabs>
          <w:tab w:val="left" w:pos="5670"/>
        </w:tabs>
        <w:spacing w:after="0" w:line="240" w:lineRule="auto"/>
        <w:ind w:left="360" w:hanging="360"/>
        <w:rPr>
          <w:rFonts w:ascii="Arial" w:eastAsia="Times New Roman" w:hAnsi="Arial" w:cs="Arial"/>
          <w:sz w:val="20"/>
          <w:szCs w:val="20"/>
          <w:lang w:eastAsia="cs-CZ"/>
        </w:rPr>
      </w:pPr>
    </w:p>
    <w:p w:rsidR="00A66487" w:rsidRPr="00A66487" w:rsidRDefault="00AF7E7F" w:rsidP="00AF7E7F">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xxxxxxxxxxxxxxxxxxxx</w:t>
      </w:r>
      <w:r>
        <w:rPr>
          <w:rFonts w:ascii="Arial" w:eastAsia="Times New Roman" w:hAnsi="Arial" w:cs="Arial"/>
          <w:sz w:val="20"/>
          <w:szCs w:val="20"/>
          <w:lang w:eastAsia="cs-CZ"/>
        </w:rPr>
        <w:tab/>
        <w:t>xxxxxxxxxxxxxxxxxxxxx</w:t>
      </w:r>
      <w:bookmarkStart w:id="1" w:name="_GoBack"/>
      <w:bookmarkEnd w:id="1"/>
    </w:p>
    <w:p w:rsidR="00A66487" w:rsidRPr="00A66487" w:rsidRDefault="00A66487" w:rsidP="00A66487">
      <w:pPr>
        <w:tabs>
          <w:tab w:val="left" w:pos="5670"/>
        </w:tabs>
        <w:spacing w:after="60"/>
        <w:rPr>
          <w:rFonts w:ascii="Arial" w:hAnsi="Arial" w:cs="Arial"/>
          <w:sz w:val="20"/>
          <w:szCs w:val="20"/>
        </w:rPr>
      </w:pPr>
      <w:r w:rsidRPr="00A66487">
        <w:rPr>
          <w:rFonts w:ascii="Arial" w:hAnsi="Arial" w:cs="Arial"/>
          <w:sz w:val="20"/>
          <w:szCs w:val="20"/>
        </w:rPr>
        <w:t>......................................</w:t>
      </w:r>
      <w:r w:rsidRPr="00A66487">
        <w:rPr>
          <w:rFonts w:ascii="Arial" w:hAnsi="Arial" w:cs="Arial"/>
          <w:sz w:val="20"/>
          <w:szCs w:val="20"/>
        </w:rPr>
        <w:tab/>
        <w:t>........................................</w:t>
      </w:r>
    </w:p>
    <w:p w:rsidR="00A66487" w:rsidRPr="00A66487" w:rsidRDefault="00A66487" w:rsidP="00A66487">
      <w:pPr>
        <w:tabs>
          <w:tab w:val="left" w:pos="5670"/>
        </w:tabs>
        <w:spacing w:after="0"/>
        <w:rPr>
          <w:rFonts w:ascii="Arial" w:hAnsi="Arial" w:cs="Arial"/>
          <w:sz w:val="20"/>
        </w:rPr>
      </w:pPr>
      <w:r w:rsidRPr="00A66487">
        <w:rPr>
          <w:rFonts w:ascii="Arial" w:hAnsi="Arial" w:cs="Arial"/>
          <w:sz w:val="20"/>
        </w:rPr>
        <w:t>Jiří Čunek</w:t>
      </w:r>
      <w:r w:rsidRPr="00A66487">
        <w:rPr>
          <w:rFonts w:ascii="Arial" w:hAnsi="Arial" w:cs="Arial"/>
          <w:sz w:val="20"/>
        </w:rPr>
        <w:tab/>
      </w:r>
      <w:r w:rsidRPr="00A66487">
        <w:rPr>
          <w:rFonts w:ascii="Arial" w:hAnsi="Arial" w:cs="Arial"/>
          <w:noProof/>
          <w:sz w:val="20"/>
        </w:rPr>
        <w:t>Zdeněk Hověžák</w:t>
      </w:r>
    </w:p>
    <w:p w:rsidR="00A66487" w:rsidRPr="00A66487" w:rsidRDefault="00A66487" w:rsidP="00A66487">
      <w:pPr>
        <w:tabs>
          <w:tab w:val="left" w:pos="5670"/>
        </w:tabs>
        <w:spacing w:after="0"/>
        <w:rPr>
          <w:rFonts w:ascii="Arial" w:hAnsi="Arial" w:cs="Arial"/>
          <w:sz w:val="20"/>
        </w:rPr>
      </w:pPr>
      <w:r w:rsidRPr="00A66487">
        <w:rPr>
          <w:rFonts w:ascii="Arial" w:hAnsi="Arial" w:cs="Arial"/>
          <w:sz w:val="20"/>
        </w:rPr>
        <w:t>hejtman Zlínského kraje</w:t>
      </w:r>
      <w:r w:rsidRPr="00A66487">
        <w:rPr>
          <w:rFonts w:ascii="Arial" w:hAnsi="Arial" w:cs="Arial"/>
          <w:i/>
          <w:color w:val="0070C0"/>
          <w:sz w:val="20"/>
        </w:rPr>
        <w:tab/>
      </w:r>
      <w:r w:rsidRPr="00A66487">
        <w:rPr>
          <w:rFonts w:ascii="Arial" w:hAnsi="Arial" w:cs="Arial"/>
          <w:noProof/>
          <w:sz w:val="20"/>
        </w:rPr>
        <w:t>starosta</w:t>
      </w:r>
    </w:p>
    <w:p w:rsidR="00FE583B" w:rsidRDefault="00FE583B"/>
    <w:sectPr w:rsidR="00FE58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657" w:rsidRDefault="00474657" w:rsidP="00A66487">
      <w:pPr>
        <w:spacing w:after="0" w:line="240" w:lineRule="auto"/>
      </w:pPr>
      <w:r>
        <w:separator/>
      </w:r>
    </w:p>
  </w:endnote>
  <w:endnote w:type="continuationSeparator" w:id="0">
    <w:p w:rsidR="00474657" w:rsidRDefault="00474657" w:rsidP="00A6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849230"/>
      <w:docPartObj>
        <w:docPartGallery w:val="Page Numbers (Bottom of Page)"/>
        <w:docPartUnique/>
      </w:docPartObj>
    </w:sdtPr>
    <w:sdtEndPr/>
    <w:sdtContent>
      <w:p w:rsidR="00A66487" w:rsidRDefault="00A66487">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AF7E7F">
          <w:rPr>
            <w:noProof/>
            <w:sz w:val="20"/>
            <w:szCs w:val="20"/>
          </w:rPr>
          <w:t>7</w:t>
        </w:r>
        <w:r w:rsidRPr="001F4C49">
          <w:rPr>
            <w:sz w:val="20"/>
            <w:szCs w:val="20"/>
          </w:rPr>
          <w:fldChar w:fldCharType="end"/>
        </w:r>
      </w:p>
    </w:sdtContent>
  </w:sdt>
  <w:p w:rsidR="00A66487" w:rsidRDefault="00A664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657" w:rsidRDefault="00474657" w:rsidP="00A66487">
      <w:pPr>
        <w:spacing w:after="0" w:line="240" w:lineRule="auto"/>
      </w:pPr>
      <w:r>
        <w:separator/>
      </w:r>
    </w:p>
  </w:footnote>
  <w:footnote w:type="continuationSeparator" w:id="0">
    <w:p w:rsidR="00474657" w:rsidRDefault="00474657" w:rsidP="00A66487">
      <w:pPr>
        <w:spacing w:after="0" w:line="240" w:lineRule="auto"/>
      </w:pPr>
      <w:r>
        <w:continuationSeparator/>
      </w:r>
    </w:p>
  </w:footnote>
  <w:footnote w:id="1">
    <w:p w:rsidR="00A66487" w:rsidRPr="004707D4" w:rsidRDefault="00A66487" w:rsidP="00A66487">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A66487" w:rsidRPr="001A13BB" w:rsidRDefault="00A66487" w:rsidP="00A66487">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8" w15:restartNumberingAfterBreak="1">
    <w:nsid w:val="3EF20537"/>
    <w:multiLevelType w:val="hybridMultilevel"/>
    <w:tmpl w:val="96A02282"/>
    <w:lvl w:ilvl="0" w:tplc="216C8454">
      <w:start w:val="1"/>
      <w:numFmt w:val="decimal"/>
      <w:lvlText w:val="%1."/>
      <w:lvlJc w:val="left"/>
      <w:pPr>
        <w:tabs>
          <w:tab w:val="num" w:pos="360"/>
        </w:tabs>
        <w:ind w:left="360" w:hanging="360"/>
      </w:pPr>
      <w:rPr>
        <w:i w:val="0"/>
        <w:color w:val="auto"/>
        <w:sz w:val="20"/>
        <w:szCs w:val="20"/>
      </w:rPr>
    </w:lvl>
    <w:lvl w:ilvl="1" w:tplc="60A4CE74">
      <w:start w:val="1"/>
      <w:numFmt w:val="lowerLetter"/>
      <w:lvlText w:val="%2)"/>
      <w:lvlJc w:val="left"/>
      <w:pPr>
        <w:tabs>
          <w:tab w:val="num" w:pos="1440"/>
        </w:tabs>
        <w:ind w:left="1440" w:hanging="360"/>
      </w:pPr>
      <w:rPr>
        <w:b w:val="0"/>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1">
    <w:nsid w:val="45F7591D"/>
    <w:multiLevelType w:val="hybridMultilevel"/>
    <w:tmpl w:val="E9B2F07A"/>
    <w:lvl w:ilvl="0" w:tplc="04050017">
      <w:start w:val="1"/>
      <w:numFmt w:val="lowerLetter"/>
      <w:lvlText w:val="%1)"/>
      <w:lvlJc w:val="left"/>
      <w:pPr>
        <w:ind w:left="1212" w:hanging="360"/>
      </w:pPr>
      <w:rPr>
        <w:rFonts w:hint="default"/>
      </w:rPr>
    </w:lvl>
    <w:lvl w:ilvl="1" w:tplc="04050003">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2"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12"/>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5"/>
  </w:num>
  <w:num w:numId="19">
    <w:abstractNumId w:val="6"/>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íčková Diana">
    <w15:presenceInfo w15:providerId="AD" w15:userId="S-1-5-21-240127028-979645192-923749875-4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87"/>
    <w:rsid w:val="00474657"/>
    <w:rsid w:val="00505F4B"/>
    <w:rsid w:val="00A66487"/>
    <w:rsid w:val="00AF7E7F"/>
    <w:rsid w:val="00FE5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10AA-E82A-461A-95A9-F8C6A7DB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A6648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A6648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A66487"/>
    <w:rPr>
      <w:vertAlign w:val="superscript"/>
    </w:rPr>
  </w:style>
  <w:style w:type="paragraph" w:styleId="Zpat">
    <w:name w:val="footer"/>
    <w:basedOn w:val="Normln"/>
    <w:link w:val="ZpatChar"/>
    <w:uiPriority w:val="99"/>
    <w:unhideWhenUsed/>
    <w:rsid w:val="00A66487"/>
    <w:pPr>
      <w:tabs>
        <w:tab w:val="center" w:pos="4536"/>
        <w:tab w:val="right" w:pos="9072"/>
      </w:tabs>
      <w:spacing w:after="0" w:line="240" w:lineRule="auto"/>
    </w:pPr>
  </w:style>
  <w:style w:type="character" w:customStyle="1" w:styleId="ZpatChar">
    <w:name w:val="Zápatí Char"/>
    <w:basedOn w:val="Standardnpsmoodstavce"/>
    <w:link w:val="Zpat"/>
    <w:uiPriority w:val="99"/>
    <w:rsid w:val="00A6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3659</Words>
  <Characters>21590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2</cp:revision>
  <dcterms:created xsi:type="dcterms:W3CDTF">2017-06-14T07:20:00Z</dcterms:created>
  <dcterms:modified xsi:type="dcterms:W3CDTF">2017-08-21T11:47:00Z</dcterms:modified>
</cp:coreProperties>
</file>