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692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NMS s.r.o.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Hviezdoslavova 13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821 06 Bratislava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Slovenská republika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SK2020254588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35764848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2929754046/1100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13. 10. 2017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Jan Matějíček, VTP hala F2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17D0005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Morseova 1244/4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85800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301 00 Plzeň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 č. Q19513-2 ze dne 7.9.2017: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software PolyWorks (viz příloha) 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17 740,00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17 740,00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EUR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17 740,00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Jan MATĚJÍČEK, telefon: 378371922,email: jan.matejicek@cvrez.cz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17NO01847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