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JUDr. Milošem Izákem,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573060" w:rsidRPr="008F227D" w:rsidRDefault="003D264D" w:rsidP="00573060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Město Jaroměř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</w:t>
      </w:r>
      <w:r w:rsidR="003D264D">
        <w:rPr>
          <w:rFonts w:ascii="Arial" w:hAnsi="Arial"/>
          <w:sz w:val="22"/>
        </w:rPr>
        <w:t>nám. Československé armády 16, 551 01  Jaroměř</w:t>
      </w:r>
      <w:r w:rsidR="001B3291">
        <w:rPr>
          <w:rFonts w:ascii="Arial" w:hAnsi="Arial"/>
          <w:sz w:val="22"/>
        </w:rPr>
        <w:t xml:space="preserve"> </w:t>
      </w:r>
    </w:p>
    <w:p w:rsidR="00573060" w:rsidRPr="004F74B1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8F227D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3D264D">
        <w:rPr>
          <w:rFonts w:ascii="Arial" w:hAnsi="Arial"/>
          <w:sz w:val="22"/>
        </w:rPr>
        <w:t>00272728</w:t>
      </w:r>
    </w:p>
    <w:p w:rsidR="00573060" w:rsidRDefault="00504C09" w:rsidP="00573060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 w:rsidR="008F227D">
        <w:rPr>
          <w:rFonts w:ascii="Arial" w:hAnsi="Arial"/>
          <w:sz w:val="22"/>
        </w:rPr>
        <w:t xml:space="preserve">: </w:t>
      </w:r>
      <w:r w:rsidR="006D4A8B">
        <w:rPr>
          <w:rFonts w:ascii="Arial" w:hAnsi="Arial"/>
          <w:sz w:val="22"/>
        </w:rPr>
        <w:t>CZ</w:t>
      </w:r>
      <w:r w:rsidR="003D264D">
        <w:rPr>
          <w:rFonts w:ascii="Arial" w:hAnsi="Arial"/>
          <w:sz w:val="22"/>
        </w:rPr>
        <w:t>00272728</w:t>
      </w:r>
    </w:p>
    <w:p w:rsidR="00F5406A" w:rsidRPr="004F74B1" w:rsidRDefault="00F5406A" w:rsidP="0057306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Bankovní spojení: </w:t>
      </w:r>
      <w:r w:rsidR="00842AE1">
        <w:rPr>
          <w:rFonts w:ascii="Arial" w:hAnsi="Arial"/>
          <w:sz w:val="22"/>
        </w:rPr>
        <w:t xml:space="preserve">Komerční banka, a.s., č. účtu: </w:t>
      </w:r>
      <w:r w:rsidR="003D264D">
        <w:rPr>
          <w:rFonts w:ascii="Arial" w:hAnsi="Arial"/>
          <w:sz w:val="22"/>
        </w:rPr>
        <w:t>9005-820551/0100</w:t>
      </w:r>
    </w:p>
    <w:p w:rsidR="006D4A8B" w:rsidRDefault="00F5406A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3D264D">
        <w:rPr>
          <w:rFonts w:ascii="Arial" w:hAnsi="Arial"/>
          <w:sz w:val="22"/>
        </w:rPr>
        <w:t>Ing. Jiřím Klepsou, starostou</w:t>
      </w:r>
    </w:p>
    <w:p w:rsidR="00CB26FE" w:rsidRPr="00D201E9" w:rsidRDefault="00CB26FE" w:rsidP="00504C09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40252A">
        <w:rPr>
          <w:rFonts w:ascii="Arial" w:hAnsi="Arial"/>
          <w:b/>
          <w:sz w:val="22"/>
        </w:rPr>
        <w:t xml:space="preserve">Veřejný </w:t>
      </w:r>
      <w:r w:rsidR="0040252A">
        <w:rPr>
          <w:rFonts w:ascii="Arial" w:hAnsi="Arial"/>
          <w:b/>
          <w:sz w:val="22"/>
        </w:rPr>
        <w:t>z</w:t>
      </w:r>
      <w:r w:rsidRPr="00D201E9">
        <w:rPr>
          <w:rFonts w:ascii="Arial" w:hAnsi="Arial"/>
          <w:b/>
          <w:sz w:val="22"/>
        </w:rPr>
        <w:t>adavatel</w:t>
      </w:r>
      <w:r w:rsidRPr="00D201E9">
        <w:rPr>
          <w:rFonts w:ascii="Arial" w:hAnsi="Arial"/>
          <w:sz w:val="22"/>
        </w:rPr>
        <w:t>“ nebo „</w:t>
      </w:r>
      <w:r w:rsidRPr="00D201E9">
        <w:rPr>
          <w:rFonts w:ascii="Arial" w:hAnsi="Arial"/>
          <w:b/>
          <w:sz w:val="22"/>
        </w:rPr>
        <w:t>Podřazený odběratel:</w:t>
      </w:r>
      <w:r w:rsidRPr="00D201E9">
        <w:rPr>
          <w:rFonts w:ascii="Arial" w:hAnsi="Arial"/>
          <w:sz w:val="22"/>
        </w:rPr>
        <w:t>)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v rámci sdružených služeb dodávky </w:t>
      </w:r>
      <w:r w:rsidR="00504C09">
        <w:rPr>
          <w:rFonts w:ascii="Arial" w:hAnsi="Arial"/>
          <w:sz w:val="22"/>
        </w:rPr>
        <w:t>elektřiny</w:t>
      </w:r>
      <w:r w:rsidR="00C90C6D">
        <w:rPr>
          <w:rFonts w:ascii="Arial" w:hAnsi="Arial"/>
          <w:sz w:val="22"/>
        </w:rPr>
        <w:t xml:space="preserve"> v hladině vysokého napětí</w:t>
      </w:r>
      <w:r w:rsidR="005C2097">
        <w:rPr>
          <w:rFonts w:ascii="Arial" w:hAnsi="Arial"/>
          <w:sz w:val="22"/>
        </w:rPr>
        <w:t xml:space="preserve"> pro rok 201</w:t>
      </w:r>
      <w:r w:rsidR="00324501">
        <w:rPr>
          <w:rFonts w:ascii="Arial" w:hAnsi="Arial"/>
          <w:sz w:val="22"/>
        </w:rPr>
        <w:t>8</w:t>
      </w:r>
      <w:r w:rsidR="00504C0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Burze a smluvní odměny Dohodci uhradí na svůj účet a ke své tíži</w:t>
      </w:r>
      <w:r w:rsidR="00504C09">
        <w:rPr>
          <w:rFonts w:ascii="Arial" w:hAnsi="Arial"/>
          <w:sz w:val="22"/>
        </w:rPr>
        <w:t>. Alikvotní část poplatku Burze a smluvní odměny Dohodci, odpovídající podílu Podřazeného odběratele na celkovém objemu nákupu, uhradí Podřazený odběratel na základě daňového dokladu Centrálnímu zadavateli.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</w:t>
      </w: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CB26FE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CB26FE"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 xml:space="preserve">Tato smlouva nabývá platnosti a účinnosti dnem jejího podpisu všemi smluvními stranami.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CB26FE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D201E9">
        <w:rPr>
          <w:rFonts w:ascii="Arial" w:hAnsi="Arial"/>
        </w:rPr>
        <w:t>Smlouva se vyhotovuje ve 2 stejnopisech, z nichž každý má hodnotu originálu a každý účastník smlouvy obdrží jeden stejnopis.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ED095C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 w:rsidRPr="004C050C">
        <w:rPr>
          <w:rFonts w:ascii="Arial" w:hAnsi="Arial"/>
        </w:rPr>
        <w:t xml:space="preserve">Tato smlouva byla schválena na jednání RM </w:t>
      </w:r>
      <w:r w:rsidR="004C050C" w:rsidRPr="004C050C">
        <w:rPr>
          <w:rFonts w:ascii="Arial" w:hAnsi="Arial"/>
        </w:rPr>
        <w:t>Centrálního zadavatele</w:t>
      </w:r>
      <w:r w:rsidR="00C90C6D" w:rsidRPr="004C050C">
        <w:rPr>
          <w:rFonts w:ascii="Arial" w:hAnsi="Arial"/>
        </w:rPr>
        <w:t xml:space="preserve"> </w:t>
      </w:r>
      <w:r w:rsidRPr="004C050C">
        <w:rPr>
          <w:rFonts w:ascii="Arial" w:hAnsi="Arial"/>
        </w:rPr>
        <w:t>dne</w:t>
      </w:r>
      <w:r w:rsidR="00FD40EB" w:rsidRPr="004C050C">
        <w:rPr>
          <w:rFonts w:ascii="Arial" w:hAnsi="Arial"/>
        </w:rPr>
        <w:t xml:space="preserve"> </w:t>
      </w:r>
      <w:r w:rsidR="00CD0DA0">
        <w:rPr>
          <w:rFonts w:ascii="Arial" w:hAnsi="Arial"/>
        </w:rPr>
        <w:t>21.8.2017</w:t>
      </w:r>
      <w:r w:rsidR="00FD40EB" w:rsidRPr="004C050C">
        <w:rPr>
          <w:rFonts w:ascii="Arial" w:hAnsi="Arial"/>
        </w:rPr>
        <w:t> </w:t>
      </w:r>
      <w:r w:rsidR="001C3853" w:rsidRPr="004C050C">
        <w:rPr>
          <w:rFonts w:ascii="Arial" w:hAnsi="Arial"/>
        </w:rPr>
        <w:t>usnesením</w:t>
      </w:r>
      <w:r w:rsidR="00C90C6D" w:rsidRPr="004C050C">
        <w:rPr>
          <w:rFonts w:ascii="Arial" w:hAnsi="Arial"/>
        </w:rPr>
        <w:t xml:space="preserve"> č. </w:t>
      </w:r>
      <w:r w:rsidR="00AA1221">
        <w:rPr>
          <w:rFonts w:ascii="Arial" w:hAnsi="Arial"/>
        </w:rPr>
        <w:t>2832</w:t>
      </w:r>
      <w:r w:rsidR="00CD0DA0">
        <w:rPr>
          <w:rFonts w:ascii="Arial" w:hAnsi="Arial"/>
        </w:rPr>
        <w:t>/R/210817.</w:t>
      </w:r>
      <w:r w:rsidR="001C3853" w:rsidRPr="004C050C">
        <w:rPr>
          <w:rFonts w:ascii="Arial" w:hAnsi="Arial"/>
        </w:rPr>
        <w:t xml:space="preserve"> </w:t>
      </w:r>
    </w:p>
    <w:p w:rsidR="003D264D" w:rsidRDefault="003D264D" w:rsidP="003D264D">
      <w:pPr>
        <w:pStyle w:val="Odstavecseseznamem"/>
        <w:rPr>
          <w:rFonts w:ascii="Arial" w:hAnsi="Arial"/>
        </w:rPr>
      </w:pPr>
    </w:p>
    <w:p w:rsidR="003D264D" w:rsidRDefault="003D264D" w:rsidP="00ED095C">
      <w:pPr>
        <w:pStyle w:val="Zkladntext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>Tato smlouva byla schválena na jednání RM Veřejného zadavatele dne ……… usnesením č. ……… .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B46311" w:rsidRDefault="00E076DA" w:rsidP="00324501">
      <w:pPr>
        <w:pStyle w:val="Zkladntext"/>
        <w:numPr>
          <w:ilvl w:val="0"/>
          <w:numId w:val="43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  <w:bookmarkStart w:id="0" w:name="_GoBack"/>
      <w:bookmarkEnd w:id="0"/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Pr="00D201E9">
        <w:rPr>
          <w:rFonts w:ascii="Arial" w:hAnsi="Arial"/>
          <w:sz w:val="22"/>
        </w:rPr>
        <w:t xml:space="preserve"> dne …………</w:t>
      </w:r>
      <w:r w:rsidR="001B3291">
        <w:rPr>
          <w:rFonts w:ascii="Arial" w:hAnsi="Arial"/>
          <w:sz w:val="22"/>
        </w:rPr>
        <w:t xml:space="preserve">.                         </w:t>
      </w:r>
      <w:r w:rsidR="00842AE1">
        <w:rPr>
          <w:rFonts w:ascii="Arial" w:hAnsi="Arial"/>
          <w:sz w:val="22"/>
        </w:rPr>
        <w:t xml:space="preserve">V </w:t>
      </w:r>
      <w:r w:rsidR="003D264D">
        <w:rPr>
          <w:rFonts w:ascii="Arial" w:hAnsi="Arial"/>
          <w:sz w:val="22"/>
        </w:rPr>
        <w:t>Jaroměři</w:t>
      </w:r>
      <w:r w:rsidR="007809F8">
        <w:rPr>
          <w:rFonts w:ascii="Arial" w:hAnsi="Arial"/>
          <w:sz w:val="22"/>
        </w:rPr>
        <w:t>, dne……………….</w:t>
      </w:r>
      <w:r w:rsidRPr="00D201E9">
        <w:rPr>
          <w:rFonts w:ascii="Arial" w:hAnsi="Arial"/>
          <w:sz w:val="22"/>
        </w:rPr>
        <w:tab/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422E01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JUDr. Miloš Izák, starosta</w:t>
      </w:r>
      <w:r w:rsidR="007809F8">
        <w:rPr>
          <w:rFonts w:ascii="Arial" w:hAnsi="Arial"/>
          <w:sz w:val="22"/>
        </w:rPr>
        <w:tab/>
      </w:r>
      <w:r w:rsidR="003D264D">
        <w:rPr>
          <w:rFonts w:ascii="Arial" w:hAnsi="Arial"/>
          <w:sz w:val="22"/>
        </w:rPr>
        <w:t>Ing. Jiří Klepsa, starosta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71" w:rsidRDefault="00102471">
      <w:r>
        <w:separator/>
      </w:r>
    </w:p>
  </w:endnote>
  <w:endnote w:type="continuationSeparator" w:id="0">
    <w:p w:rsidR="00102471" w:rsidRDefault="0010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A1221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A1221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71" w:rsidRDefault="00102471">
      <w:r>
        <w:separator/>
      </w:r>
    </w:p>
  </w:footnote>
  <w:footnote w:type="continuationSeparator" w:id="0">
    <w:p w:rsidR="00102471" w:rsidRDefault="0010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zadavatel:</w:t>
    </w:r>
    <w:r w:rsidR="00CD0DA0">
      <w:t xml:space="preserve"> OMM – 00</w:t>
    </w:r>
    <w:r w:rsidR="001961A7">
      <w:t>8</w:t>
    </w:r>
    <w:r w:rsidR="003D264D">
      <w:t>3</w:t>
    </w:r>
    <w:r w:rsidR="00CD0DA0">
      <w:t>/17</w:t>
    </w:r>
    <w:r>
      <w:tab/>
    </w:r>
    <w:r>
      <w:tab/>
    </w:r>
    <w:r w:rsidR="00200CD9">
      <w:t xml:space="preserve">   </w:t>
    </w:r>
    <w:r>
      <w:t>č. smlouvy Veřejný zadavatel:</w:t>
    </w:r>
    <w:r w:rsidR="00200CD9" w:rsidRPr="00200CD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C171E6"/>
    <w:multiLevelType w:val="hybridMultilevel"/>
    <w:tmpl w:val="65D2C7FE"/>
    <w:lvl w:ilvl="0" w:tplc="000F0409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0D4034D"/>
    <w:multiLevelType w:val="hybridMultilevel"/>
    <w:tmpl w:val="5EAC5CC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6"/>
  </w:num>
  <w:num w:numId="4">
    <w:abstractNumId w:val="2"/>
  </w:num>
  <w:num w:numId="5">
    <w:abstractNumId w:val="33"/>
  </w:num>
  <w:num w:numId="6">
    <w:abstractNumId w:val="20"/>
  </w:num>
  <w:num w:numId="7">
    <w:abstractNumId w:val="10"/>
  </w:num>
  <w:num w:numId="8">
    <w:abstractNumId w:val="38"/>
  </w:num>
  <w:num w:numId="9">
    <w:abstractNumId w:val="11"/>
  </w:num>
  <w:num w:numId="10">
    <w:abstractNumId w:val="22"/>
  </w:num>
  <w:num w:numId="11">
    <w:abstractNumId w:val="23"/>
  </w:num>
  <w:num w:numId="12">
    <w:abstractNumId w:val="34"/>
  </w:num>
  <w:num w:numId="13">
    <w:abstractNumId w:val="31"/>
  </w:num>
  <w:num w:numId="14">
    <w:abstractNumId w:val="25"/>
  </w:num>
  <w:num w:numId="15">
    <w:abstractNumId w:val="12"/>
  </w:num>
  <w:num w:numId="16">
    <w:abstractNumId w:val="7"/>
  </w:num>
  <w:num w:numId="17">
    <w:abstractNumId w:val="36"/>
  </w:num>
  <w:num w:numId="18">
    <w:abstractNumId w:val="41"/>
  </w:num>
  <w:num w:numId="19">
    <w:abstractNumId w:val="35"/>
  </w:num>
  <w:num w:numId="20">
    <w:abstractNumId w:val="19"/>
  </w:num>
  <w:num w:numId="21">
    <w:abstractNumId w:val="3"/>
  </w:num>
  <w:num w:numId="22">
    <w:abstractNumId w:val="24"/>
  </w:num>
  <w:num w:numId="23">
    <w:abstractNumId w:val="8"/>
  </w:num>
  <w:num w:numId="24">
    <w:abstractNumId w:val="27"/>
  </w:num>
  <w:num w:numId="25">
    <w:abstractNumId w:val="5"/>
  </w:num>
  <w:num w:numId="26">
    <w:abstractNumId w:val="9"/>
  </w:num>
  <w:num w:numId="27">
    <w:abstractNumId w:val="1"/>
  </w:num>
  <w:num w:numId="28">
    <w:abstractNumId w:val="21"/>
  </w:num>
  <w:num w:numId="29">
    <w:abstractNumId w:val="24"/>
    <w:lvlOverride w:ilvl="0">
      <w:startOverride w:val="1"/>
    </w:lvlOverride>
    <w:lvlOverride w:ilvl="1">
      <w:startOverride w:val="2"/>
    </w:lvlOverride>
  </w:num>
  <w:num w:numId="30">
    <w:abstractNumId w:val="32"/>
  </w:num>
  <w:num w:numId="31">
    <w:abstractNumId w:val="13"/>
  </w:num>
  <w:num w:numId="32">
    <w:abstractNumId w:val="29"/>
  </w:num>
  <w:num w:numId="33">
    <w:abstractNumId w:val="30"/>
  </w:num>
  <w:num w:numId="34">
    <w:abstractNumId w:val="39"/>
  </w:num>
  <w:num w:numId="35">
    <w:abstractNumId w:val="43"/>
  </w:num>
  <w:num w:numId="36">
    <w:abstractNumId w:val="17"/>
  </w:num>
  <w:num w:numId="37">
    <w:abstractNumId w:val="18"/>
  </w:num>
  <w:num w:numId="38">
    <w:abstractNumId w:val="14"/>
  </w:num>
  <w:num w:numId="39">
    <w:abstractNumId w:val="42"/>
  </w:num>
  <w:num w:numId="40">
    <w:abstractNumId w:val="4"/>
  </w:num>
  <w:num w:numId="41">
    <w:abstractNumId w:val="26"/>
  </w:num>
  <w:num w:numId="42">
    <w:abstractNumId w:val="37"/>
  </w:num>
  <w:num w:numId="43">
    <w:abstractNumId w:val="15"/>
  </w:num>
  <w:num w:numId="44">
    <w:abstractNumId w:val="28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3C"/>
    <w:rsid w:val="000805A5"/>
    <w:rsid w:val="000A7779"/>
    <w:rsid w:val="00102471"/>
    <w:rsid w:val="001961A7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301445"/>
    <w:rsid w:val="00324501"/>
    <w:rsid w:val="003D264D"/>
    <w:rsid w:val="003E4032"/>
    <w:rsid w:val="0040252A"/>
    <w:rsid w:val="00421875"/>
    <w:rsid w:val="00422E01"/>
    <w:rsid w:val="00477DC8"/>
    <w:rsid w:val="004C050C"/>
    <w:rsid w:val="00504C09"/>
    <w:rsid w:val="00516616"/>
    <w:rsid w:val="005333CA"/>
    <w:rsid w:val="005609BD"/>
    <w:rsid w:val="00566136"/>
    <w:rsid w:val="00573060"/>
    <w:rsid w:val="005C2097"/>
    <w:rsid w:val="005D38A5"/>
    <w:rsid w:val="005F1EB6"/>
    <w:rsid w:val="00607D0D"/>
    <w:rsid w:val="00611442"/>
    <w:rsid w:val="006443CF"/>
    <w:rsid w:val="006A4075"/>
    <w:rsid w:val="006D4A8B"/>
    <w:rsid w:val="00701C53"/>
    <w:rsid w:val="007020EC"/>
    <w:rsid w:val="00740A3C"/>
    <w:rsid w:val="00747DD1"/>
    <w:rsid w:val="007809F8"/>
    <w:rsid w:val="007C2F94"/>
    <w:rsid w:val="007E4FCE"/>
    <w:rsid w:val="00821B9B"/>
    <w:rsid w:val="00842AE1"/>
    <w:rsid w:val="008543FC"/>
    <w:rsid w:val="008631E3"/>
    <w:rsid w:val="00893415"/>
    <w:rsid w:val="008F227D"/>
    <w:rsid w:val="00990B08"/>
    <w:rsid w:val="009C2C2E"/>
    <w:rsid w:val="009D6625"/>
    <w:rsid w:val="009D6955"/>
    <w:rsid w:val="00AA1221"/>
    <w:rsid w:val="00AC6CA9"/>
    <w:rsid w:val="00B46311"/>
    <w:rsid w:val="00C469FF"/>
    <w:rsid w:val="00C90C6D"/>
    <w:rsid w:val="00CB26FE"/>
    <w:rsid w:val="00CD0DA0"/>
    <w:rsid w:val="00D472B3"/>
    <w:rsid w:val="00DB72AD"/>
    <w:rsid w:val="00E076DA"/>
    <w:rsid w:val="00E13560"/>
    <w:rsid w:val="00E618BB"/>
    <w:rsid w:val="00E926FB"/>
    <w:rsid w:val="00EA0437"/>
    <w:rsid w:val="00EA4F98"/>
    <w:rsid w:val="00ED04FC"/>
    <w:rsid w:val="00ED095C"/>
    <w:rsid w:val="00EF4880"/>
    <w:rsid w:val="00F055CA"/>
    <w:rsid w:val="00F5406A"/>
    <w:rsid w:val="00FD40EB"/>
    <w:rsid w:val="00FD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5:docId w15:val="{9D8B1E9F-B9ED-4D23-BAAB-48926A4D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FE129-C399-449C-831A-87FA3C99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894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11</cp:revision>
  <cp:lastPrinted>2017-08-17T08:50:00Z</cp:lastPrinted>
  <dcterms:created xsi:type="dcterms:W3CDTF">2017-07-13T07:09:00Z</dcterms:created>
  <dcterms:modified xsi:type="dcterms:W3CDTF">2017-09-22T07:26:00Z</dcterms:modified>
</cp:coreProperties>
</file>