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0E714A">
        <w:t>2</w:t>
      </w:r>
      <w:r w:rsidRPr="004F4681">
        <w:t xml:space="preserve"> k Dohodě </w:t>
      </w:r>
      <w:r w:rsidR="00DC73B0">
        <w:t>o používání výplatního stroje k úhradě cen za poštovní služby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0A17B7">
        <w:t>98230</w:t>
      </w:r>
      <w:r w:rsidR="000E714A">
        <w:t>7</w:t>
      </w:r>
      <w:r w:rsidR="000A17B7">
        <w:t>-</w:t>
      </w:r>
      <w:r w:rsidR="000E714A">
        <w:t xml:space="preserve"> 1730/2009</w:t>
      </w:r>
      <w:r w:rsidR="000A17B7">
        <w:t>, E</w:t>
      </w:r>
      <w:r w:rsidR="00BB228C">
        <w:t>2017/2</w:t>
      </w:r>
      <w:r w:rsidR="000E714A">
        <w:t>1432</w:t>
      </w:r>
      <w:r w:rsidR="00BB228C">
        <w:t>/D</w:t>
      </w:r>
      <w:r w:rsidR="000E714A">
        <w:t>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0A17B7" w:rsidP="000A17B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Radek Spousta, obchodní ředitel regionu firemní obchod ZČ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0A17B7" w:rsidRPr="001C2D26" w:rsidTr="003C5BF8">
        <w:tc>
          <w:tcPr>
            <w:tcW w:w="3528" w:type="dxa"/>
          </w:tcPr>
          <w:p w:rsidR="000A17B7" w:rsidRPr="001C2D26" w:rsidRDefault="000A17B7" w:rsidP="000A17B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0A17B7" w:rsidRPr="000A17B7" w:rsidRDefault="000A17B7" w:rsidP="000A17B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A17B7">
              <w:rPr>
                <w:rStyle w:val="P-HEAD-WBULLETSChar"/>
                <w:rFonts w:ascii="Times New Roman" w:hAnsi="Times New Roman"/>
              </w:rPr>
              <w:t>134204869/0300</w:t>
            </w:r>
          </w:p>
        </w:tc>
      </w:tr>
      <w:tr w:rsidR="000A17B7" w:rsidRPr="001C2D26" w:rsidTr="003C5BF8">
        <w:tc>
          <w:tcPr>
            <w:tcW w:w="3528" w:type="dxa"/>
          </w:tcPr>
          <w:p w:rsidR="000A17B7" w:rsidRPr="001C2D26" w:rsidRDefault="000A17B7" w:rsidP="000A17B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0A17B7" w:rsidRDefault="000A17B7" w:rsidP="000A17B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>, firemní obchod, Solní 20, 30199 Plzeň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1012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1C2D26">
              <w:instrText xml:space="preserve"> FORMTEXT </w:instrText>
            </w:r>
            <w:r w:rsidRPr="001C2D26">
              <w:fldChar w:fldCharType="separate"/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Pr="001C2D26"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5369"/>
        <w:gridCol w:w="954"/>
      </w:tblGrid>
      <w:tr w:rsidR="00367F2B" w:rsidRPr="001C2D26" w:rsidTr="000A17B7">
        <w:tc>
          <w:tcPr>
            <w:tcW w:w="8897" w:type="dxa"/>
            <w:gridSpan w:val="2"/>
          </w:tcPr>
          <w:p w:rsidR="00367F2B" w:rsidRPr="001C2D26" w:rsidRDefault="000E714A" w:rsidP="000A17B7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Okresní soud v Karlových Varech</w:t>
            </w:r>
          </w:p>
        </w:tc>
        <w:tc>
          <w:tcPr>
            <w:tcW w:w="95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  <w:gridSpan w:val="2"/>
          </w:tcPr>
          <w:p w:rsidR="00367F2B" w:rsidRPr="001C2D26" w:rsidRDefault="000E714A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Moskevská 17, 360 33 Karlovy Vary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  <w:gridSpan w:val="2"/>
          </w:tcPr>
          <w:p w:rsidR="00367F2B" w:rsidRPr="001C2D26" w:rsidRDefault="000E714A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00024732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  <w:gridSpan w:val="2"/>
          </w:tcPr>
          <w:p w:rsidR="00367F2B" w:rsidRPr="001C2D26" w:rsidRDefault="000A17B7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</w:t>
            </w:r>
            <w:r w:rsidR="000E714A">
              <w:t>00024732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  <w:gridSpan w:val="2"/>
          </w:tcPr>
          <w:p w:rsidR="00367F2B" w:rsidRPr="001C2D26" w:rsidRDefault="000A17B7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</w:t>
            </w:r>
            <w:r w:rsidR="000E714A">
              <w:t xml:space="preserve">gr. Aleš </w:t>
            </w:r>
            <w:proofErr w:type="spellStart"/>
            <w:r w:rsidR="000E714A">
              <w:t>Fikker</w:t>
            </w:r>
            <w:proofErr w:type="spellEnd"/>
            <w:r w:rsidR="000E714A">
              <w:t>, předseda Okresního soudu v Karlových Varech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  <w:gridSpan w:val="2"/>
          </w:tcPr>
          <w:p w:rsidR="00367F2B" w:rsidRPr="001C2D26" w:rsidRDefault="000A17B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Registru ekonomických subjektů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  <w:gridSpan w:val="2"/>
          </w:tcPr>
          <w:p w:rsidR="00367F2B" w:rsidRPr="001C2D26" w:rsidRDefault="000A17B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Česká národní banka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  <w:gridSpan w:val="2"/>
          </w:tcPr>
          <w:p w:rsidR="00367F2B" w:rsidRPr="001C2D26" w:rsidRDefault="000E714A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226341/0710</w:t>
            </w:r>
          </w:p>
        </w:tc>
      </w:tr>
      <w:tr w:rsidR="000E714A" w:rsidRPr="001C2D26" w:rsidTr="003C5BF8">
        <w:tc>
          <w:tcPr>
            <w:tcW w:w="3528" w:type="dxa"/>
          </w:tcPr>
          <w:p w:rsidR="000E714A" w:rsidRPr="001C2D26" w:rsidRDefault="000E714A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  <w:gridSpan w:val="2"/>
          </w:tcPr>
          <w:p w:rsidR="000E714A" w:rsidRDefault="000E714A" w:rsidP="000E714A">
            <w:pPr>
              <w:pStyle w:val="cpTabulkasmluvnistrany"/>
              <w:framePr w:hSpace="0" w:wrap="auto" w:vAnchor="margin" w:hAnchor="text" w:yAlign="inline"/>
              <w:jc w:val="both"/>
            </w:pPr>
            <w:r w:rsidRPr="000E714A">
              <w:t xml:space="preserve">Okresní soud v Karlových </w:t>
            </w:r>
            <w:proofErr w:type="gramStart"/>
            <w:r w:rsidRPr="000E714A">
              <w:t>Varech,  Moskevská</w:t>
            </w:r>
            <w:proofErr w:type="gramEnd"/>
            <w:r w:rsidRPr="000E714A">
              <w:t xml:space="preserve"> 17, </w:t>
            </w:r>
          </w:p>
          <w:p w:rsidR="000E714A" w:rsidRPr="000E714A" w:rsidRDefault="000E714A" w:rsidP="000E714A">
            <w:pPr>
              <w:pStyle w:val="cpTabulkasmluvnistrany"/>
              <w:framePr w:hSpace="0" w:wrap="auto" w:vAnchor="margin" w:hAnchor="text" w:yAlign="inline"/>
              <w:jc w:val="both"/>
            </w:pPr>
            <w:r w:rsidRPr="000E714A">
              <w:t>360 33 Karlovy Vary</w:t>
            </w:r>
          </w:p>
        </w:tc>
      </w:tr>
      <w:tr w:rsidR="000E714A" w:rsidRPr="001C2D26" w:rsidTr="003C5BF8">
        <w:tc>
          <w:tcPr>
            <w:tcW w:w="3528" w:type="dxa"/>
          </w:tcPr>
          <w:p w:rsidR="000E714A" w:rsidRDefault="000E714A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přidělené ID CČK:  </w:t>
            </w:r>
          </w:p>
          <w:p w:rsidR="000E714A" w:rsidRPr="001C2D26" w:rsidRDefault="000E714A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technologické číslo:</w:t>
            </w:r>
          </w:p>
        </w:tc>
        <w:tc>
          <w:tcPr>
            <w:tcW w:w="6323" w:type="dxa"/>
            <w:gridSpan w:val="2"/>
          </w:tcPr>
          <w:p w:rsidR="000E714A" w:rsidRDefault="00785219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  <w:p w:rsidR="000E714A" w:rsidRPr="001C2D26" w:rsidRDefault="00785219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  <w:bookmarkStart w:id="0" w:name="_GoBack"/>
            <w:bookmarkEnd w:id="0"/>
          </w:p>
        </w:tc>
      </w:tr>
      <w:tr w:rsidR="000E714A" w:rsidRPr="001C2D26" w:rsidTr="003C5BF8">
        <w:tc>
          <w:tcPr>
            <w:tcW w:w="3528" w:type="dxa"/>
          </w:tcPr>
          <w:p w:rsidR="000E714A" w:rsidRPr="001C2D26" w:rsidRDefault="000E714A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:rsidR="000E714A" w:rsidRPr="001C2D26" w:rsidRDefault="000E714A" w:rsidP="000E7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E714A" w:rsidRPr="001C2D26" w:rsidTr="001C2D26">
        <w:tc>
          <w:tcPr>
            <w:tcW w:w="9851" w:type="dxa"/>
            <w:gridSpan w:val="3"/>
          </w:tcPr>
          <w:p w:rsidR="000E714A" w:rsidRDefault="000E714A" w:rsidP="000E714A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0E714A" w:rsidRPr="001C2D26" w:rsidRDefault="000E714A" w:rsidP="000E714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>
              <w:t>„</w:t>
            </w:r>
            <w:r w:rsidRPr="001C2D26">
              <w:t>Uživatel</w:t>
            </w:r>
            <w: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>Strany Dohody se dohodly na změně obsahu Dohody</w:t>
      </w:r>
      <w:r w:rsidR="000A3C22">
        <w:t xml:space="preserve"> </w:t>
      </w:r>
      <w:r w:rsidR="00DB2A5E">
        <w:t>o používání výplatního stroje k úhradě cen za poštovní služby</w:t>
      </w:r>
      <w:r w:rsidRPr="00B27BC8">
        <w:t xml:space="preserve">, č. </w:t>
      </w:r>
      <w:r w:rsidR="00273F2E">
        <w:rPr>
          <w:rStyle w:val="P-HEAD-WBULLETSChar"/>
          <w:rFonts w:ascii="Times New Roman" w:hAnsi="Times New Roman"/>
        </w:rPr>
        <w:t>98230</w:t>
      </w:r>
      <w:r w:rsidR="000E714A">
        <w:rPr>
          <w:rStyle w:val="P-HEAD-WBULLETSChar"/>
          <w:rFonts w:ascii="Times New Roman" w:hAnsi="Times New Roman"/>
        </w:rPr>
        <w:t>7-1730/2009</w:t>
      </w:r>
      <w:r w:rsidRPr="00B27BC8">
        <w:t xml:space="preserve"> ze dne </w:t>
      </w:r>
      <w:proofErr w:type="gramStart"/>
      <w:r w:rsidR="000E714A">
        <w:t>15.12.2009</w:t>
      </w:r>
      <w:proofErr w:type="gramEnd"/>
      <w:r w:rsidRPr="00B27BC8">
        <w:rPr>
          <w:b/>
          <w:bCs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:rsidR="000E714A" w:rsidRDefault="000E714A" w:rsidP="000E714A">
      <w:pPr>
        <w:pStyle w:val="cpodstavecslovan1"/>
      </w:pPr>
      <w:r>
        <w:t>Strany Dohody se dohodly, že na konec článku I</w:t>
      </w:r>
      <w:r>
        <w:rPr>
          <w:rStyle w:val="P-HEAD-WBULLETSChar"/>
        </w:rPr>
        <w:t xml:space="preserve"> </w:t>
      </w:r>
      <w:r>
        <w:t>Dohody se vkládají nová ustanovení 11 a 12 následujícího znění:</w:t>
      </w:r>
    </w:p>
    <w:p w:rsidR="00C951CF" w:rsidRPr="00C951CF" w:rsidRDefault="00C951CF" w:rsidP="00C951CF">
      <w:pPr>
        <w:pStyle w:val="cplnekslovan"/>
        <w:numPr>
          <w:ilvl w:val="0"/>
          <w:numId w:val="0"/>
        </w:numPr>
        <w:ind w:left="1134" w:hanging="567"/>
        <w:jc w:val="both"/>
        <w:rPr>
          <w:b w:val="0"/>
        </w:rPr>
      </w:pPr>
      <w:r w:rsidRPr="00C951CF">
        <w:rPr>
          <w:b w:val="0"/>
        </w:rPr>
        <w:t>11.</w:t>
      </w:r>
      <w:r>
        <w:rPr>
          <w:b w:val="0"/>
        </w:rPr>
        <w:t xml:space="preserve">    </w:t>
      </w:r>
      <w:r w:rsidRPr="00C951CF">
        <w:rPr>
          <w:b w:val="0"/>
        </w:rPr>
        <w:t xml:space="preserve">V souladu s Rámcovou smlouvou o poskytování poštovních služeb č. 189/2008-MSP-CES ze dne 3.11.2008, v platném znění, uzavřenou mezi Českou poštou,  </w:t>
      </w:r>
      <w:proofErr w:type="spellStart"/>
      <w:r w:rsidRPr="00C951CF">
        <w:rPr>
          <w:b w:val="0"/>
        </w:rPr>
        <w:t>s.p</w:t>
      </w:r>
      <w:proofErr w:type="spellEnd"/>
      <w:r w:rsidRPr="00C951CF">
        <w:rPr>
          <w:b w:val="0"/>
        </w:rPr>
        <w:t xml:space="preserve">. a Českou republikou – Ministerstvem spravedlnosti se Uživatel zavazuje při podání zásilek předávat příslušné podací poště (v případě svozné jízdy pracovníkovi přebírajícímu zásilky na podání) v písemné nebo elektronické podobě údaje o počtu a skladbě zásilek potřebné pro vyúčtování slevy (viz příloha </w:t>
      </w:r>
      <w:proofErr w:type="gramStart"/>
      <w:r w:rsidRPr="00C951CF">
        <w:rPr>
          <w:b w:val="0"/>
        </w:rPr>
        <w:t>č.1. dodatku</w:t>
      </w:r>
      <w:proofErr w:type="gramEnd"/>
      <w:r w:rsidRPr="00C951CF">
        <w:rPr>
          <w:b w:val="0"/>
        </w:rPr>
        <w:t xml:space="preserve"> Denní výkaz o počtu a skladbě zásilek) a o měsíčních zůstatcích nespotřebovaného kreditu výplatního stroje (viz příloha č. 2 dodatku Měsíční výkaz zůstatku kreditu výplatního stroje). Měsíční výkaz zůstatku kreditu výplatního stroje lze předat i v elektronické podobě na adresu </w:t>
      </w:r>
      <w:hyperlink r:id="rId8" w:history="1">
        <w:r w:rsidRPr="00C951CF">
          <w:rPr>
            <w:b w:val="0"/>
            <w:color w:val="002060"/>
            <w:u w:val="single"/>
          </w:rPr>
          <w:t>zustatky.gr@cpost.cz</w:t>
        </w:r>
      </w:hyperlink>
      <w:r w:rsidRPr="00C951CF">
        <w:rPr>
          <w:b w:val="0"/>
        </w:rPr>
        <w:t xml:space="preserve">. </w:t>
      </w:r>
      <w:r>
        <w:rPr>
          <w:b w:val="0"/>
        </w:rPr>
        <w:t xml:space="preserve"> </w:t>
      </w:r>
      <w:r w:rsidRPr="00C951CF">
        <w:rPr>
          <w:b w:val="0"/>
        </w:rPr>
        <w:t xml:space="preserve">Příloha </w:t>
      </w:r>
      <w:proofErr w:type="gramStart"/>
      <w:r w:rsidRPr="00C951CF">
        <w:rPr>
          <w:b w:val="0"/>
        </w:rPr>
        <w:t>č</w:t>
      </w:r>
      <w:r>
        <w:rPr>
          <w:b w:val="0"/>
        </w:rPr>
        <w:t>.1</w:t>
      </w:r>
      <w:r w:rsidRPr="00C951CF">
        <w:rPr>
          <w:b w:val="0"/>
        </w:rPr>
        <w:t xml:space="preserve"> tohoto</w:t>
      </w:r>
      <w:proofErr w:type="gramEnd"/>
      <w:r w:rsidRPr="00C951CF">
        <w:rPr>
          <w:b w:val="0"/>
        </w:rPr>
        <w:t xml:space="preserve"> Dodatku se současně stává Přílohou č</w:t>
      </w:r>
      <w:r>
        <w:rPr>
          <w:b w:val="0"/>
        </w:rPr>
        <w:t>. 1</w:t>
      </w:r>
      <w:r w:rsidRPr="00C951CF">
        <w:rPr>
          <w:b w:val="0"/>
        </w:rPr>
        <w:t xml:space="preserve"> Dohody a příloha </w:t>
      </w:r>
      <w:r>
        <w:rPr>
          <w:b w:val="0"/>
        </w:rPr>
        <w:t>č. 2</w:t>
      </w:r>
      <w:r w:rsidRPr="00C951CF">
        <w:rPr>
          <w:b w:val="0"/>
        </w:rPr>
        <w:t xml:space="preserve"> tohoto Dodatku se současně stává Přílohou č</w:t>
      </w:r>
      <w:r>
        <w:rPr>
          <w:b w:val="0"/>
        </w:rPr>
        <w:t>. 2</w:t>
      </w:r>
      <w:r w:rsidRPr="00C951CF">
        <w:rPr>
          <w:b w:val="0"/>
        </w:rPr>
        <w:t xml:space="preserve"> Dohody.</w:t>
      </w:r>
    </w:p>
    <w:p w:rsidR="00C951CF" w:rsidRPr="00C951CF" w:rsidRDefault="00C951CF" w:rsidP="00C951CF">
      <w:pPr>
        <w:pStyle w:val="cplnekslovan"/>
        <w:numPr>
          <w:ilvl w:val="0"/>
          <w:numId w:val="0"/>
        </w:numPr>
        <w:ind w:left="1134" w:hanging="425"/>
        <w:jc w:val="both"/>
        <w:rPr>
          <w:b w:val="0"/>
        </w:rPr>
      </w:pPr>
      <w:r w:rsidRPr="00C951CF">
        <w:rPr>
          <w:b w:val="0"/>
        </w:rPr>
        <w:t xml:space="preserve">12.  V případě, že Uživatel nesplní povinnost dle čl. I, odst. </w:t>
      </w:r>
      <w:r>
        <w:rPr>
          <w:b w:val="0"/>
        </w:rPr>
        <w:t>11</w:t>
      </w:r>
      <w:r w:rsidRPr="00C951CF">
        <w:rPr>
          <w:b w:val="0"/>
        </w:rPr>
        <w:t xml:space="preserve"> Dohody, nebude  při úhradě ceníkové množstevní slevy Ministerstvu spravedlnosti, resp. Uživateli postupováno dle Rámcové smlouvy o poskytování poštovních služeb č. 189/2008-MSP-CES ze dne 3.11.2008, v platném znění, ale přímo dle  Poštovních podmínek České pošty, </w:t>
      </w:r>
      <w:proofErr w:type="spellStart"/>
      <w:proofErr w:type="gramStart"/>
      <w:r w:rsidRPr="00C951CF">
        <w:rPr>
          <w:b w:val="0"/>
        </w:rPr>
        <w:t>s.p</w:t>
      </w:r>
      <w:proofErr w:type="spellEnd"/>
      <w:r w:rsidRPr="00C951CF">
        <w:rPr>
          <w:b w:val="0"/>
        </w:rPr>
        <w:t>.</w:t>
      </w:r>
      <w:proofErr w:type="gramEnd"/>
      <w:r w:rsidRPr="00C951CF">
        <w:rPr>
          <w:b w:val="0"/>
        </w:rPr>
        <w:t xml:space="preserve"> – Ceníku poštovních a ostatních služeb poskytovaných Českou poštou, </w:t>
      </w:r>
      <w:proofErr w:type="spellStart"/>
      <w:r w:rsidRPr="00C951CF">
        <w:rPr>
          <w:b w:val="0"/>
        </w:rPr>
        <w:t>s.p</w:t>
      </w:r>
      <w:proofErr w:type="spellEnd"/>
      <w:r w:rsidRPr="00C951CF">
        <w:rPr>
          <w:b w:val="0"/>
        </w:rPr>
        <w:t>., platného k poslednímu dni každého kalendářního měsíce.</w:t>
      </w:r>
    </w:p>
    <w:p w:rsidR="000E714A" w:rsidRDefault="000E714A" w:rsidP="000E714A">
      <w:pPr>
        <w:pStyle w:val="cpodstavecslovan1"/>
        <w:numPr>
          <w:ilvl w:val="0"/>
          <w:numId w:val="0"/>
        </w:numPr>
        <w:ind w:left="624"/>
      </w:pPr>
    </w:p>
    <w:p w:rsidR="00BA26E7" w:rsidRPr="00B27BC8" w:rsidRDefault="00BA26E7" w:rsidP="00BA26E7">
      <w:pPr>
        <w:pStyle w:val="cpodstavecslovan1"/>
      </w:pPr>
      <w:r>
        <w:t>Strany Dohody se dohodly, že na konec článku II</w:t>
      </w:r>
      <w:r>
        <w:rPr>
          <w:rStyle w:val="P-HEAD-WBULLETSChar"/>
        </w:rPr>
        <w:t xml:space="preserve"> </w:t>
      </w:r>
      <w:r>
        <w:t>Dohody se vkládají nová ustanovení 7</w:t>
      </w:r>
      <w:r>
        <w:rPr>
          <w:rStyle w:val="P-HEAD-WBULLETSChar"/>
        </w:rPr>
        <w:t xml:space="preserve"> </w:t>
      </w:r>
      <w:r>
        <w:rPr>
          <w:rStyle w:val="P-HEAD-WBULLETSChar"/>
          <w:rFonts w:ascii="Times New Roman" w:hAnsi="Times New Roman"/>
        </w:rPr>
        <w:t>až 9</w:t>
      </w:r>
      <w:r>
        <w:t xml:space="preserve"> následujícího znění:</w:t>
      </w:r>
    </w:p>
    <w:p w:rsidR="00BA26E7" w:rsidRDefault="00BA26E7" w:rsidP="00BA26E7">
      <w:pPr>
        <w:tabs>
          <w:tab w:val="left" w:pos="708"/>
        </w:tabs>
        <w:spacing w:after="120" w:line="240" w:lineRule="auto"/>
        <w:ind w:left="624"/>
      </w:pPr>
      <w:r>
        <w:rPr>
          <w:rStyle w:val="P-HEAD-WBULLETSChar"/>
        </w:rPr>
        <w:t>7.</w:t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není povinna uzavřít poštovní smlouvu v případě, že předmětem této smlouvy je dodání Zásilek, které byly podány u jiného provozovatele poštovních služeb. Uživatel, který u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podává Zásilky, bere na vědomí, že pokud zaviněně zamlčí České poště, </w:t>
      </w:r>
      <w:proofErr w:type="spellStart"/>
      <w:r>
        <w:t>s.p</w:t>
      </w:r>
      <w:proofErr w:type="spellEnd"/>
      <w:r>
        <w:t xml:space="preserve">., skutečnost, že podávaná Zásilka pochází od jiného provozovatele poštovních služeb, může tím České poště, </w:t>
      </w:r>
      <w:proofErr w:type="spellStart"/>
      <w:r>
        <w:t>s.p</w:t>
      </w:r>
      <w:proofErr w:type="spellEnd"/>
      <w:r>
        <w:t>., způsobit škodu a dopustit se trestného činu nebo přestupku podvodu.</w:t>
      </w:r>
    </w:p>
    <w:p w:rsidR="00BA26E7" w:rsidRDefault="00BA26E7" w:rsidP="00BA26E7">
      <w:pPr>
        <w:tabs>
          <w:tab w:val="left" w:pos="708"/>
        </w:tabs>
        <w:spacing w:after="120" w:line="240" w:lineRule="auto"/>
        <w:ind w:left="624" w:hanging="144"/>
      </w:pPr>
      <w:r>
        <w:tab/>
      </w:r>
      <w:r>
        <w:rPr>
          <w:rStyle w:val="P-HEAD-WBULLETSChar"/>
        </w:rPr>
        <w:t>8.</w:t>
      </w:r>
      <w:r>
        <w:tab/>
        <w:t xml:space="preserve">V případě, že jsou některé z výplatních strojů uvedených v příloze č. 1 používány Uživatelem k vyplácení Zásilek převzatých, resp. pocházejících od jiného provozovatele poštovních služeb, než je 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je Uživatel povinen České poště, </w:t>
      </w:r>
      <w:proofErr w:type="spellStart"/>
      <w:r>
        <w:t>s.p</w:t>
      </w:r>
      <w:proofErr w:type="spellEnd"/>
      <w:r>
        <w:t xml:space="preserve">., sdělit, které ze Zásilek vyplacených některým z výplatních strojů uvedených v příloze č. 1 byly převzaty, resp. pocházejí od jiného provozovatele poštovních služeb, než je Česká pošta, </w:t>
      </w:r>
      <w:proofErr w:type="spellStart"/>
      <w:r>
        <w:t>s.p</w:t>
      </w:r>
      <w:proofErr w:type="spellEnd"/>
      <w:r>
        <w:t xml:space="preserve">., a sdělit jeho totožnost. Uživatel se zprostí informační povinnosti vůči České poště,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dle předchozí věty ve vztahu k Zásilkám pocházejícím od jiného provozovatele poštovních služeb, než je Česká pošta, </w:t>
      </w:r>
      <w:proofErr w:type="spellStart"/>
      <w:r>
        <w:t>s.p</w:t>
      </w:r>
      <w:proofErr w:type="spellEnd"/>
      <w:r>
        <w:t xml:space="preserve">., pokud na žádost České pošty, </w:t>
      </w:r>
      <w:proofErr w:type="spellStart"/>
      <w:r>
        <w:t>s.p</w:t>
      </w:r>
      <w:proofErr w:type="spellEnd"/>
      <w:r>
        <w:t xml:space="preserve">., prokáže, že je převzal od třetí osoby, která není provozovatelem poštovních služeb, že tuto osobu informoval o své povinnosti podle věty první tohoto odstavce, a pro případ, že zásilky byly převzaty, resp. pocházejí od jiného provozovatele poštovních služeb, byla třetí osobě uložena povinnost tuto informaci Uživateli sdělit. V případě, že si bude Uživatel vědom nepravdivosti informací od třetí osoby, která není provozovatelem poštovních služeb, ohledně původu zásilek, je povinen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informovat způsobem dle první věty tohoto odstavce.</w:t>
      </w:r>
    </w:p>
    <w:p w:rsidR="00BA26E7" w:rsidRPr="00B27BC8" w:rsidRDefault="00BA26E7" w:rsidP="00BA26E7">
      <w:pPr>
        <w:pStyle w:val="cpodstavecslovan1"/>
        <w:numPr>
          <w:ilvl w:val="0"/>
          <w:numId w:val="0"/>
        </w:numPr>
        <w:spacing w:line="240" w:lineRule="auto"/>
        <w:ind w:left="624"/>
      </w:pPr>
      <w:r>
        <w:rPr>
          <w:rStyle w:val="P-HEAD-WBULLETSChar"/>
        </w:rPr>
        <w:t>9.</w:t>
      </w:r>
      <w:r>
        <w:tab/>
        <w:t xml:space="preserve">V případě vědomého porušení povinnosti sdělit České poště,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které ze Zásilek vyplacených některým z výplatních strojů uvedených v příloze č. 1 byly převzaty, resp. pocházejí od </w:t>
      </w:r>
      <w:r>
        <w:lastRenderedPageBreak/>
        <w:t xml:space="preserve">jiného provozovatele poštovních služeb, než je Česká pošta, </w:t>
      </w:r>
      <w:proofErr w:type="spellStart"/>
      <w:r>
        <w:t>s.p</w:t>
      </w:r>
      <w:proofErr w:type="spellEnd"/>
      <w:r>
        <w:t xml:space="preserve">., spolu s uvedením jeho totožnosti, je Uživatel povinen uhradit České poště, </w:t>
      </w:r>
      <w:proofErr w:type="spellStart"/>
      <w:r>
        <w:t>s.p</w:t>
      </w:r>
      <w:proofErr w:type="spellEnd"/>
      <w:r>
        <w:t>., smluvní pokutu ve výši 100,- Kč za každou Zásilku, u níž nebyla tato povinnost splněna.</w:t>
      </w:r>
      <w:r w:rsidRPr="00B27BC8">
        <w:t>“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:rsidR="00DE1ABA" w:rsidRDefault="00DE1ABA" w:rsidP="00DE1ABA">
      <w:pPr>
        <w:pStyle w:val="cpodstavecslovan1"/>
      </w:pPr>
      <w:r w:rsidRPr="00B27BC8">
        <w:t xml:space="preserve">Dodatek č. </w:t>
      </w:r>
      <w:r w:rsidR="000E714A"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>
        <w:t xml:space="preserve">uzavřen </w:t>
      </w:r>
      <w:r w:rsidRPr="00B27BC8">
        <w:t xml:space="preserve">dnem jeho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Pr="00B27BC8">
        <w:t>.</w:t>
      </w:r>
    </w:p>
    <w:p w:rsidR="001E712E" w:rsidRDefault="00DA288C" w:rsidP="001C2D26">
      <w:pPr>
        <w:pStyle w:val="cpodstavecslovan1"/>
      </w:pPr>
      <w:r>
        <w:t>Dodatek</w:t>
      </w:r>
      <w:r w:rsidR="001E712E" w:rsidRPr="00B27BC8">
        <w:t xml:space="preserve"> je sepsán ve </w:t>
      </w:r>
      <w:r w:rsidR="00273F2E">
        <w:t>dvou</w:t>
      </w:r>
      <w:r w:rsidR="001E712E" w:rsidRPr="00B27BC8">
        <w:t xml:space="preserve"> vyhotoveních s platností originálu, z nichž každá ze stran </w:t>
      </w:r>
      <w:r>
        <w:t xml:space="preserve">Dohody </w:t>
      </w:r>
      <w:r w:rsidR="001E712E" w:rsidRPr="00B27BC8">
        <w:t xml:space="preserve">obdrží po </w:t>
      </w:r>
      <w:r w:rsidR="00273F2E">
        <w:t>jednom výtisku</w:t>
      </w:r>
      <w:r w:rsidR="001E712E" w:rsidRPr="00B27BC8">
        <w:t>.</w:t>
      </w:r>
    </w:p>
    <w:p w:rsidR="00C951CF" w:rsidRPr="00F7749A" w:rsidRDefault="00C951CF" w:rsidP="00C951CF">
      <w:pPr>
        <w:pStyle w:val="cplnekslovan"/>
        <w:numPr>
          <w:ilvl w:val="0"/>
          <w:numId w:val="0"/>
        </w:numPr>
        <w:ind w:left="432"/>
        <w:jc w:val="both"/>
        <w:rPr>
          <w:b w:val="0"/>
        </w:rPr>
      </w:pPr>
      <w:r>
        <w:t xml:space="preserve">Přílohy: </w:t>
      </w:r>
      <w:r w:rsidR="00F7749A">
        <w:t xml:space="preserve"> </w:t>
      </w:r>
      <w:r w:rsidRPr="00F7749A">
        <w:rPr>
          <w:b w:val="0"/>
        </w:rPr>
        <w:t xml:space="preserve">Příloha č. 1 - </w:t>
      </w:r>
      <w:r w:rsidR="00F7749A" w:rsidRPr="00F7749A">
        <w:rPr>
          <w:b w:val="0"/>
        </w:rPr>
        <w:t xml:space="preserve">Denní výkaz o počtu a skladbě </w:t>
      </w:r>
      <w:r w:rsidR="00F7749A">
        <w:rPr>
          <w:b w:val="0"/>
        </w:rPr>
        <w:t xml:space="preserve">podaných </w:t>
      </w:r>
      <w:r w:rsidR="00F7749A" w:rsidRPr="00F7749A">
        <w:rPr>
          <w:b w:val="0"/>
        </w:rPr>
        <w:t>zásilek</w:t>
      </w:r>
    </w:p>
    <w:p w:rsidR="00F7749A" w:rsidRDefault="00F7749A" w:rsidP="00F7749A">
      <w:pPr>
        <w:pStyle w:val="cpodstavecslovan1"/>
        <w:numPr>
          <w:ilvl w:val="0"/>
          <w:numId w:val="0"/>
        </w:numPr>
        <w:ind w:left="624"/>
      </w:pPr>
      <w:r w:rsidRPr="00F7749A">
        <w:rPr>
          <w:bCs/>
          <w:kern w:val="32"/>
        </w:rPr>
        <w:t xml:space="preserve">          </w:t>
      </w:r>
      <w:r>
        <w:rPr>
          <w:bCs/>
          <w:kern w:val="32"/>
        </w:rPr>
        <w:t xml:space="preserve"> </w:t>
      </w:r>
      <w:r w:rsidRPr="00F7749A">
        <w:rPr>
          <w:bCs/>
          <w:kern w:val="32"/>
        </w:rPr>
        <w:t xml:space="preserve"> Příloha č.</w:t>
      </w:r>
      <w:r w:rsidRPr="00F7749A">
        <w:t xml:space="preserve"> 2 </w:t>
      </w:r>
      <w:r w:rsidR="00E4394B">
        <w:t>–</w:t>
      </w:r>
      <w:r w:rsidRPr="00F7749A">
        <w:t xml:space="preserve"> </w:t>
      </w:r>
      <w:r w:rsidR="00E4394B">
        <w:t xml:space="preserve">Zůstatek </w:t>
      </w:r>
      <w:r w:rsidRPr="00F7749A">
        <w:t>kreditu výplatního stroje</w:t>
      </w:r>
    </w:p>
    <w:p w:rsidR="00E4394B" w:rsidRPr="00F7749A" w:rsidRDefault="00E4394B" w:rsidP="00F7749A">
      <w:pPr>
        <w:pStyle w:val="cpodstavecslovan1"/>
        <w:numPr>
          <w:ilvl w:val="0"/>
          <w:numId w:val="0"/>
        </w:numPr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273F2E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273F2E">
              <w:t> </w:t>
            </w:r>
            <w:proofErr w:type="gramStart"/>
            <w:r w:rsidR="00273F2E">
              <w:t xml:space="preserve">Plzni </w:t>
            </w:r>
            <w:r>
              <w:t xml:space="preserve"> dne</w:t>
            </w:r>
            <w:proofErr w:type="gramEnd"/>
            <w:r>
              <w:t xml:space="preserve"> </w:t>
            </w:r>
          </w:p>
        </w:tc>
        <w:tc>
          <w:tcPr>
            <w:tcW w:w="4889" w:type="dxa"/>
          </w:tcPr>
          <w:p w:rsidR="001C2D26" w:rsidRDefault="001C2D26" w:rsidP="00E4394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4394B">
              <w:t>Karlových Varech</w:t>
            </w:r>
            <w:r w:rsidR="00273F2E">
              <w:t xml:space="preserve"> </w:t>
            </w:r>
            <w:r>
              <w:t xml:space="preserve">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7C6C10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273F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</w:pPr>
          </w:p>
          <w:p w:rsidR="00273F2E" w:rsidRDefault="00273F2E" w:rsidP="00273F2E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                      Ing. Radek Spousta</w:t>
            </w:r>
          </w:p>
          <w:p w:rsidR="001C2D26" w:rsidRDefault="00273F2E" w:rsidP="00273F2E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       obchodní ředitel regionu firemní obchod ZČ</w:t>
            </w:r>
          </w:p>
        </w:tc>
        <w:tc>
          <w:tcPr>
            <w:tcW w:w="4889" w:type="dxa"/>
          </w:tcPr>
          <w:p w:rsidR="001C2D26" w:rsidRDefault="001C2D26" w:rsidP="00273F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</w:pPr>
          </w:p>
          <w:p w:rsidR="000E714A" w:rsidRDefault="00273F2E" w:rsidP="000E714A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                  </w:t>
            </w:r>
            <w:r w:rsidR="000E714A">
              <w:t xml:space="preserve">     Mgr. Aleš </w:t>
            </w:r>
            <w:proofErr w:type="spellStart"/>
            <w:r w:rsidR="000E714A">
              <w:t>Fikker</w:t>
            </w:r>
            <w:proofErr w:type="spellEnd"/>
          </w:p>
          <w:p w:rsidR="001C2D26" w:rsidRDefault="000E714A" w:rsidP="000E714A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     předseda Okresního soudu v Karlových Varech</w:t>
            </w:r>
          </w:p>
        </w:tc>
      </w:tr>
      <w:tr w:rsidR="001C2D26" w:rsidRPr="002E4508" w:rsidTr="001C2D26">
        <w:tc>
          <w:tcPr>
            <w:tcW w:w="4889" w:type="dxa"/>
          </w:tcPr>
          <w:p w:rsidR="001C2D26" w:rsidRDefault="001C2D26" w:rsidP="00273F2E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</w:p>
          <w:p w:rsidR="001C2D26" w:rsidRDefault="001C2D26" w:rsidP="00273F2E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</w:p>
        </w:tc>
        <w:tc>
          <w:tcPr>
            <w:tcW w:w="4889" w:type="dxa"/>
          </w:tcPr>
          <w:p w:rsidR="001C2D26" w:rsidRDefault="001C2D26" w:rsidP="00273F2E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F2" w:rsidRDefault="009867F2" w:rsidP="00BB2C84">
      <w:pPr>
        <w:spacing w:after="0" w:line="240" w:lineRule="auto"/>
      </w:pPr>
      <w:r>
        <w:separator/>
      </w:r>
    </w:p>
  </w:endnote>
  <w:endnote w:type="continuationSeparator" w:id="0">
    <w:p w:rsidR="009867F2" w:rsidRDefault="009867F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85219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85219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F2" w:rsidRDefault="009867F2" w:rsidP="00BB2C84">
      <w:pPr>
        <w:spacing w:after="0" w:line="240" w:lineRule="auto"/>
      </w:pPr>
      <w:r>
        <w:separator/>
      </w:r>
    </w:p>
  </w:footnote>
  <w:footnote w:type="continuationSeparator" w:id="0">
    <w:p w:rsidR="009867F2" w:rsidRDefault="009867F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B0" w:rsidRDefault="007A0E45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373313" wp14:editId="71AF356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1C2D26" w:rsidRPr="001C2D26">
      <w:rPr>
        <w:rFonts w:ascii="Arial" w:hAnsi="Arial" w:cs="Arial"/>
        <w:noProof/>
        <w:lang w:eastAsia="cs-CZ"/>
      </w:rPr>
      <w:t xml:space="preserve">Dodatek č. </w:t>
    </w:r>
    <w:r w:rsidR="000E714A">
      <w:rPr>
        <w:rFonts w:ascii="Arial" w:hAnsi="Arial" w:cs="Arial"/>
        <w:noProof/>
        <w:lang w:eastAsia="cs-CZ"/>
      </w:rPr>
      <w:t>2</w:t>
    </w:r>
    <w:r w:rsidR="001C2D26" w:rsidRPr="001C2D26">
      <w:rPr>
        <w:rFonts w:ascii="Arial" w:hAnsi="Arial" w:cs="Arial"/>
        <w:noProof/>
        <w:lang w:eastAsia="cs-CZ"/>
      </w:rPr>
      <w:t xml:space="preserve"> k Dohodě </w:t>
    </w:r>
    <w:r w:rsidR="00DC73B0" w:rsidRPr="00DC73B0">
      <w:rPr>
        <w:rFonts w:ascii="Arial" w:hAnsi="Arial" w:cs="Arial"/>
        <w:noProof/>
        <w:lang w:eastAsia="cs-CZ"/>
      </w:rPr>
      <w:t>o používání výplatního stroje k úhradě cen za poštovní služby</w:t>
    </w:r>
  </w:p>
  <w:p w:rsidR="00C2474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Číslo </w:t>
    </w:r>
    <w:r w:rsidR="000E714A">
      <w:rPr>
        <w:rFonts w:ascii="Arial" w:hAnsi="Arial" w:cs="Arial"/>
        <w:noProof/>
        <w:lang w:eastAsia="cs-CZ"/>
      </w:rPr>
      <w:t>982307-1730/2009</w:t>
    </w:r>
    <w:r w:rsidRPr="001C2D26">
      <w:rPr>
        <w:rFonts w:ascii="Arial" w:hAnsi="Arial" w:cs="Arial"/>
        <w:noProof/>
        <w:lang w:eastAsia="cs-CZ"/>
      </w:rPr>
      <w:t xml:space="preserve">      </w:t>
    </w:r>
  </w:p>
  <w:p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405A08D" wp14:editId="56ED196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0F4C954" wp14:editId="29DC82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5E2EF2"/>
    <w:multiLevelType w:val="multilevel"/>
    <w:tmpl w:val="18586D12"/>
    <w:lvl w:ilvl="0">
      <w:start w:val="2"/>
      <w:numFmt w:val="decimal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460" w:hanging="108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280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/>
      </w:rPr>
    </w:lvl>
  </w:abstractNum>
  <w:abstractNum w:abstractNumId="4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4"/>
  </w:num>
  <w:num w:numId="20">
    <w:abstractNumId w:val="7"/>
  </w:num>
  <w:num w:numId="21">
    <w:abstractNumId w:val="2"/>
  </w:num>
  <w:num w:numId="22">
    <w:abstractNumId w:val="6"/>
  </w:num>
  <w:num w:numId="23">
    <w:abstractNumId w:val="0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61963"/>
    <w:rsid w:val="00087961"/>
    <w:rsid w:val="000A17B7"/>
    <w:rsid w:val="000A3C22"/>
    <w:rsid w:val="000C0B03"/>
    <w:rsid w:val="000C6A07"/>
    <w:rsid w:val="000E2816"/>
    <w:rsid w:val="000E714A"/>
    <w:rsid w:val="0010129E"/>
    <w:rsid w:val="001454AA"/>
    <w:rsid w:val="00150F80"/>
    <w:rsid w:val="00160A6D"/>
    <w:rsid w:val="00160BAE"/>
    <w:rsid w:val="00162252"/>
    <w:rsid w:val="001C13B9"/>
    <w:rsid w:val="001C2D26"/>
    <w:rsid w:val="001E712E"/>
    <w:rsid w:val="001F46E3"/>
    <w:rsid w:val="002235CC"/>
    <w:rsid w:val="00232CBE"/>
    <w:rsid w:val="002578AF"/>
    <w:rsid w:val="0026586E"/>
    <w:rsid w:val="00266CC4"/>
    <w:rsid w:val="00273F2E"/>
    <w:rsid w:val="00292AB4"/>
    <w:rsid w:val="002A5F6B"/>
    <w:rsid w:val="002B3E3B"/>
    <w:rsid w:val="003225FD"/>
    <w:rsid w:val="003317F4"/>
    <w:rsid w:val="00354200"/>
    <w:rsid w:val="00355FFC"/>
    <w:rsid w:val="00367F2B"/>
    <w:rsid w:val="00395B66"/>
    <w:rsid w:val="00395BA6"/>
    <w:rsid w:val="003A4C6B"/>
    <w:rsid w:val="003A59DB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60E56"/>
    <w:rsid w:val="004A5077"/>
    <w:rsid w:val="004D1488"/>
    <w:rsid w:val="004F00FD"/>
    <w:rsid w:val="004F4681"/>
    <w:rsid w:val="00555D26"/>
    <w:rsid w:val="005746B6"/>
    <w:rsid w:val="00587002"/>
    <w:rsid w:val="00596717"/>
    <w:rsid w:val="005A41F7"/>
    <w:rsid w:val="005A5625"/>
    <w:rsid w:val="005D325A"/>
    <w:rsid w:val="005E26F5"/>
    <w:rsid w:val="005F73E1"/>
    <w:rsid w:val="00602989"/>
    <w:rsid w:val="00612237"/>
    <w:rsid w:val="00675251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50FE5"/>
    <w:rsid w:val="00785219"/>
    <w:rsid w:val="00786E3F"/>
    <w:rsid w:val="00797DCE"/>
    <w:rsid w:val="007A0E45"/>
    <w:rsid w:val="007C378A"/>
    <w:rsid w:val="007C6C10"/>
    <w:rsid w:val="007D2C36"/>
    <w:rsid w:val="007E36E6"/>
    <w:rsid w:val="00834B01"/>
    <w:rsid w:val="00857729"/>
    <w:rsid w:val="008610AA"/>
    <w:rsid w:val="008A07A1"/>
    <w:rsid w:val="008A08ED"/>
    <w:rsid w:val="008A4ACF"/>
    <w:rsid w:val="0095032E"/>
    <w:rsid w:val="009752AE"/>
    <w:rsid w:val="0098168D"/>
    <w:rsid w:val="009867F2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10A36"/>
    <w:rsid w:val="00B27BC8"/>
    <w:rsid w:val="00B313CF"/>
    <w:rsid w:val="00B555D4"/>
    <w:rsid w:val="00B65A13"/>
    <w:rsid w:val="00B66D64"/>
    <w:rsid w:val="00B75D17"/>
    <w:rsid w:val="00B85807"/>
    <w:rsid w:val="00BA26E7"/>
    <w:rsid w:val="00BB228C"/>
    <w:rsid w:val="00BB2C84"/>
    <w:rsid w:val="00BD5E9D"/>
    <w:rsid w:val="00BE0B64"/>
    <w:rsid w:val="00C1192F"/>
    <w:rsid w:val="00C24742"/>
    <w:rsid w:val="00C342D1"/>
    <w:rsid w:val="00C41149"/>
    <w:rsid w:val="00C86954"/>
    <w:rsid w:val="00C951CF"/>
    <w:rsid w:val="00CA54BF"/>
    <w:rsid w:val="00CB1E2D"/>
    <w:rsid w:val="00CC416D"/>
    <w:rsid w:val="00D11957"/>
    <w:rsid w:val="00D139C7"/>
    <w:rsid w:val="00D32023"/>
    <w:rsid w:val="00D33AD6"/>
    <w:rsid w:val="00D37F53"/>
    <w:rsid w:val="00D837F0"/>
    <w:rsid w:val="00D856C6"/>
    <w:rsid w:val="00DA288C"/>
    <w:rsid w:val="00DA2C01"/>
    <w:rsid w:val="00DB2A5E"/>
    <w:rsid w:val="00DC73B0"/>
    <w:rsid w:val="00DE1ABA"/>
    <w:rsid w:val="00E109A3"/>
    <w:rsid w:val="00E13657"/>
    <w:rsid w:val="00E17391"/>
    <w:rsid w:val="00E25713"/>
    <w:rsid w:val="00E4241F"/>
    <w:rsid w:val="00E4394B"/>
    <w:rsid w:val="00E5459E"/>
    <w:rsid w:val="00E6080F"/>
    <w:rsid w:val="00E608B8"/>
    <w:rsid w:val="00E655DD"/>
    <w:rsid w:val="00E75510"/>
    <w:rsid w:val="00EC1BFE"/>
    <w:rsid w:val="00F15FA1"/>
    <w:rsid w:val="00F16D32"/>
    <w:rsid w:val="00F44F2F"/>
    <w:rsid w:val="00F46DD3"/>
    <w:rsid w:val="00F47DFA"/>
    <w:rsid w:val="00F50512"/>
    <w:rsid w:val="00F5065B"/>
    <w:rsid w:val="00F61D1B"/>
    <w:rsid w:val="00F62D2F"/>
    <w:rsid w:val="00F7749A"/>
    <w:rsid w:val="00F8458D"/>
    <w:rsid w:val="00FC283F"/>
    <w:rsid w:val="00FC6791"/>
    <w:rsid w:val="00FE06C3"/>
    <w:rsid w:val="00FE4133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statky.gr@cpos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1</Pages>
  <Words>835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Vaníková Ivana</cp:lastModifiedBy>
  <cp:revision>4</cp:revision>
  <cp:lastPrinted>2017-09-27T09:27:00Z</cp:lastPrinted>
  <dcterms:created xsi:type="dcterms:W3CDTF">2017-10-18T10:01:00Z</dcterms:created>
  <dcterms:modified xsi:type="dcterms:W3CDTF">2017-10-18T10:02:00Z</dcterms:modified>
</cp:coreProperties>
</file>