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10" w:rsidRDefault="001267CA">
      <w:pPr>
        <w:pStyle w:val="Normlnweb"/>
        <w:spacing w:before="0" w:after="0" w:line="360" w:lineRule="auto"/>
        <w:jc w:val="center"/>
      </w:pPr>
      <w:bookmarkStart w:id="0" w:name="_GoBack"/>
      <w:bookmarkEnd w:id="0"/>
      <w:r>
        <w:rPr>
          <w:b/>
          <w:bCs/>
          <w:sz w:val="40"/>
          <w:szCs w:val="40"/>
        </w:rPr>
        <w:t>Smlouva o spolupráci</w:t>
      </w:r>
    </w:p>
    <w:p w:rsidR="00696610" w:rsidRDefault="001267CA">
      <w:pPr>
        <w:widowControl w:val="0"/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v souladu s ustanovením § 1746 odst. 2 zákona č. 89/2012 Sb.,</w:t>
      </w:r>
    </w:p>
    <w:p w:rsidR="00696610" w:rsidRDefault="001267CA">
      <w:pPr>
        <w:widowControl w:val="0"/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obč</w:t>
      </w:r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>ý zákoník, v platn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znění</w:t>
      </w:r>
    </w:p>
    <w:p w:rsidR="00696610" w:rsidRDefault="00696610">
      <w:pPr>
        <w:widowControl w:val="0"/>
        <w:spacing w:line="360" w:lineRule="auto"/>
        <w:jc w:val="center"/>
      </w:pPr>
    </w:p>
    <w:p w:rsidR="00696610" w:rsidRDefault="001267CA">
      <w:pPr>
        <w:widowControl w:val="0"/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Níže uveden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ho dne, měsíce a roku uzavř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eli:</w:t>
      </w:r>
    </w:p>
    <w:p w:rsidR="00696610" w:rsidRDefault="00696610">
      <w:pPr>
        <w:widowControl w:val="0"/>
        <w:spacing w:line="360" w:lineRule="auto"/>
        <w:jc w:val="center"/>
      </w:pPr>
    </w:p>
    <w:p w:rsidR="00696610" w:rsidRDefault="001267CA">
      <w:pPr>
        <w:widowControl w:val="0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Bc. Jakub Hotař, BA (Hons)</w:t>
      </w:r>
    </w:p>
    <w:p w:rsidR="00696610" w:rsidRDefault="001267CA">
      <w:pPr>
        <w:widowControl w:val="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se sídlem: Chodská 1414/11, Břeclav, 690 02</w:t>
      </w:r>
    </w:p>
    <w:p w:rsidR="00696610" w:rsidRDefault="001267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87708493</w:t>
      </w:r>
    </w:p>
    <w:p w:rsidR="00696610" w:rsidRDefault="001267CA">
      <w:pPr>
        <w:spacing w:line="360" w:lineRule="auto"/>
      </w:pPr>
      <w:r>
        <w:rPr>
          <w:rFonts w:ascii="Times New Roman" w:hAnsi="Times New Roman"/>
          <w:sz w:val="24"/>
          <w:szCs w:val="24"/>
        </w:rPr>
        <w:t>DIČ: CZ 8712014146</w:t>
      </w:r>
    </w:p>
    <w:p w:rsidR="00696610" w:rsidRDefault="001267CA">
      <w:pPr>
        <w:widowControl w:val="0"/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dále jen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Jakub Hotař</w:t>
      </w:r>
      <w:r>
        <w:rPr>
          <w:rFonts w:ascii="Times New Roman" w:hAnsi="Times New Roman"/>
          <w:sz w:val="24"/>
          <w:szCs w:val="24"/>
        </w:rPr>
        <w:t>„)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96610" w:rsidRDefault="00696610">
      <w:pPr>
        <w:widowControl w:val="0"/>
        <w:spacing w:line="360" w:lineRule="auto"/>
        <w:jc w:val="both"/>
      </w:pPr>
    </w:p>
    <w:p w:rsidR="00696610" w:rsidRDefault="001267CA">
      <w:pPr>
        <w:widowControl w:val="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</w:p>
    <w:p w:rsidR="00696610" w:rsidRDefault="00696610">
      <w:pPr>
        <w:widowControl w:val="0"/>
        <w:spacing w:line="360" w:lineRule="auto"/>
      </w:pPr>
    </w:p>
    <w:p w:rsidR="00696610" w:rsidRDefault="001267CA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NEMOCNICE PELH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ŘIMOV, příspěvková organizace</w:t>
      </w:r>
    </w:p>
    <w:p w:rsidR="00696610" w:rsidRDefault="001267CA">
      <w:pPr>
        <w:spacing w:line="360" w:lineRule="auto"/>
      </w:pPr>
      <w:r>
        <w:rPr>
          <w:rFonts w:ascii="Times New Roman" w:hAnsi="Times New Roman"/>
          <w:sz w:val="24"/>
          <w:szCs w:val="24"/>
        </w:rPr>
        <w:t>se sídlem: Slovansk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bratrství </w:t>
      </w:r>
      <w:r>
        <w:rPr>
          <w:rFonts w:ascii="Times New Roman" w:hAnsi="Times New Roman"/>
          <w:sz w:val="24"/>
          <w:szCs w:val="24"/>
          <w:lang w:val="pt-PT"/>
        </w:rPr>
        <w:t>710, 39338 Pelh</w:t>
      </w:r>
      <w:r>
        <w:rPr>
          <w:rFonts w:ascii="Times New Roman" w:hAnsi="Times New Roman"/>
          <w:sz w:val="24"/>
          <w:szCs w:val="24"/>
        </w:rPr>
        <w:t>řimov</w:t>
      </w:r>
    </w:p>
    <w:p w:rsidR="00696610" w:rsidRDefault="001267CA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</w:rPr>
        <w:t>zastoupena: Ing. Janem Mlčákem, MBA (ředitelem)</w:t>
      </w:r>
    </w:p>
    <w:p w:rsidR="00696610" w:rsidRDefault="001267CA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IČ: 00511951</w:t>
      </w:r>
    </w:p>
    <w:p w:rsidR="00696610" w:rsidRDefault="001267CA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DIČ: CZ00511951</w:t>
      </w:r>
    </w:p>
    <w:p w:rsidR="00696610" w:rsidRDefault="001267CA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>„)</w:t>
      </w:r>
    </w:p>
    <w:p w:rsidR="00696610" w:rsidRDefault="00696610">
      <w:pPr>
        <w:widowControl w:val="0"/>
        <w:spacing w:line="360" w:lineRule="auto"/>
        <w:jc w:val="both"/>
      </w:pPr>
    </w:p>
    <w:p w:rsidR="00696610" w:rsidRDefault="001267CA">
      <w:pPr>
        <w:pStyle w:val="Zkladntext"/>
        <w:spacing w:after="0"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na základě vzájemn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i/>
          <w:iCs/>
          <w:sz w:val="24"/>
          <w:szCs w:val="24"/>
        </w:rPr>
        <w:t>shody tuto</w:t>
      </w:r>
    </w:p>
    <w:p w:rsidR="00696610" w:rsidRDefault="00696610">
      <w:pPr>
        <w:widowControl w:val="0"/>
        <w:spacing w:line="360" w:lineRule="auto"/>
        <w:ind w:left="3540"/>
        <w:jc w:val="both"/>
      </w:pPr>
    </w:p>
    <w:p w:rsidR="00696610" w:rsidRDefault="001267CA">
      <w:pPr>
        <w:widowControl w:val="0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smlouvu o spolupráci</w:t>
      </w:r>
    </w:p>
    <w:p w:rsidR="00696610" w:rsidRDefault="00696610">
      <w:pPr>
        <w:widowControl w:val="0"/>
        <w:spacing w:line="360" w:lineRule="auto"/>
        <w:jc w:val="center"/>
      </w:pPr>
    </w:p>
    <w:p w:rsidR="00696610" w:rsidRDefault="001267CA">
      <w:pPr>
        <w:widowControl w:val="0"/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v následujícím znění:</w:t>
      </w:r>
    </w:p>
    <w:p w:rsidR="00696610" w:rsidRDefault="00696610">
      <w:pPr>
        <w:widowControl w:val="0"/>
        <w:spacing w:line="360" w:lineRule="auto"/>
        <w:jc w:val="center"/>
      </w:pPr>
    </w:p>
    <w:p w:rsidR="00696610" w:rsidRDefault="00696610">
      <w:pPr>
        <w:pStyle w:val="Normlnweb"/>
        <w:spacing w:before="0" w:after="0" w:line="360" w:lineRule="auto"/>
        <w:jc w:val="center"/>
      </w:pP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I.</w:t>
      </w: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t>Předmět smlouvy</w:t>
      </w:r>
    </w:p>
    <w:p w:rsidR="00696610" w:rsidRDefault="001267CA">
      <w:pPr>
        <w:pStyle w:val="Normlnweb"/>
        <w:spacing w:before="0" w:after="0" w:line="360" w:lineRule="auto"/>
      </w:pPr>
      <w:r>
        <w:tab/>
        <w:t>Předmětem smlouvy je úprava vztahů smluvních stran při vzájemn</w:t>
      </w:r>
      <w:r>
        <w:rPr>
          <w:lang w:val="fr-FR"/>
        </w:rPr>
        <w:t xml:space="preserve">é </w:t>
      </w:r>
      <w:r>
        <w:t>spolupráci ve věci vysílání a provozování reklamních a informačních obrazovek ve vybraných prostorách (č</w:t>
      </w:r>
      <w:r>
        <w:t>e</w:t>
      </w:r>
      <w:r>
        <w:t>kárny, chodby, oddělení) Nemocnice. Seznam prostor a počet TV tvoří přílohu č. 1 k t</w:t>
      </w:r>
      <w:r>
        <w:rPr>
          <w:lang w:val="fr-FR"/>
        </w:rPr>
        <w:t>é</w:t>
      </w:r>
      <w:r>
        <w:t>to smlouvě.</w:t>
      </w:r>
    </w:p>
    <w:p w:rsidR="00696610" w:rsidRDefault="00696610">
      <w:pPr>
        <w:pStyle w:val="Normlnweb"/>
        <w:spacing w:before="0" w:after="0" w:line="360" w:lineRule="auto"/>
      </w:pP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lastRenderedPageBreak/>
        <w:t>Článek II.</w:t>
      </w: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t>Práva a povinnosti smluvních stran</w:t>
      </w:r>
      <w:r>
        <w:t> </w:t>
      </w:r>
    </w:p>
    <w:p w:rsidR="00696610" w:rsidRDefault="001267CA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Jakub Hotař</w:t>
      </w:r>
      <w:r>
        <w:rPr>
          <w:rFonts w:ascii="Times New Roman" w:hAnsi="Times New Roman"/>
          <w:sz w:val="24"/>
          <w:szCs w:val="24"/>
        </w:rPr>
        <w:t xml:space="preserve"> se zavazuje  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zakoupit 5ks LED TV a dalšího příslušenství (stojany, flash disky)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zajišťovat program na domluven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počtu LED TV na př</w:t>
      </w:r>
      <w:r>
        <w:rPr>
          <w:rFonts w:ascii="Times New Roman" w:hAnsi="Times New Roman"/>
          <w:sz w:val="24"/>
          <w:szCs w:val="24"/>
          <w:lang w:val="de-DE"/>
        </w:rPr>
        <w:t>edem ur</w:t>
      </w:r>
      <w:r>
        <w:rPr>
          <w:rFonts w:ascii="Times New Roman" w:hAnsi="Times New Roman"/>
          <w:sz w:val="24"/>
          <w:szCs w:val="24"/>
        </w:rPr>
        <w:t>čený</w:t>
      </w:r>
      <w:r>
        <w:rPr>
          <w:rFonts w:ascii="Times New Roman" w:hAnsi="Times New Roman"/>
          <w:sz w:val="24"/>
          <w:szCs w:val="24"/>
          <w:lang w:val="de-DE"/>
        </w:rPr>
        <w:t>ch m</w:t>
      </w:r>
      <w:r>
        <w:rPr>
          <w:rFonts w:ascii="Times New Roman" w:hAnsi="Times New Roman"/>
          <w:sz w:val="24"/>
          <w:szCs w:val="24"/>
        </w:rPr>
        <w:t>ístech v Nemocnici, dle přílohy č. 1,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vysílat na těchto LED TV programovou smyčku v celkové časov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lce </w:t>
      </w:r>
      <w:r>
        <w:rPr>
          <w:rFonts w:ascii="Times New Roman" w:hAnsi="Times New Roman"/>
          <w:b/>
          <w:bCs/>
          <w:sz w:val="24"/>
          <w:szCs w:val="24"/>
        </w:rPr>
        <w:t>15-20 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nut</w:t>
      </w:r>
      <w:r>
        <w:rPr>
          <w:rFonts w:ascii="Times New Roman" w:hAnsi="Times New Roman"/>
          <w:sz w:val="24"/>
          <w:szCs w:val="24"/>
        </w:rPr>
        <w:t xml:space="preserve">, opakující se nepřetržitě v době od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07:00 do 1</w:t>
      </w:r>
      <w:r>
        <w:rPr>
          <w:rFonts w:ascii="Times New Roman" w:hAnsi="Times New Roman"/>
          <w:b/>
          <w:bCs/>
          <w:sz w:val="24"/>
          <w:szCs w:val="24"/>
        </w:rPr>
        <w:t>5:00 hodin</w:t>
      </w:r>
      <w:r>
        <w:rPr>
          <w:rFonts w:ascii="Times New Roman" w:hAnsi="Times New Roman"/>
          <w:sz w:val="24"/>
          <w:szCs w:val="24"/>
        </w:rPr>
        <w:t xml:space="preserve"> po všechny pracovní dny v měsí</w:t>
      </w:r>
      <w:r>
        <w:rPr>
          <w:rFonts w:ascii="Times New Roman" w:hAnsi="Times New Roman"/>
          <w:sz w:val="24"/>
          <w:szCs w:val="24"/>
          <w:lang w:val="it-IT"/>
        </w:rPr>
        <w:t xml:space="preserve">ci, 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vysílací prostor Nemocnici pro její prezentaci v každ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smyčce,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další vysílací program (informační a reklamní spoty) pro pacienty čekající v čekárnách a rozhodovat o tomto vysílacím programu dle sv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nejlepšího věd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mí a svědomí, v souladu s obecně platnými etickými normami,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volit reklamní spoty vhodně k prostoru, ve kter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jsou vysílány a jsou v souladu s obecně platnými právní</w:t>
      </w:r>
      <w:r>
        <w:rPr>
          <w:rFonts w:ascii="Times New Roman" w:hAnsi="Times New Roman"/>
          <w:sz w:val="24"/>
          <w:szCs w:val="24"/>
          <w:lang w:val="it-IT"/>
        </w:rPr>
        <w:t>mi p</w:t>
      </w:r>
      <w:r>
        <w:rPr>
          <w:rFonts w:ascii="Times New Roman" w:hAnsi="Times New Roman"/>
          <w:sz w:val="24"/>
          <w:szCs w:val="24"/>
        </w:rPr>
        <w:t>ředpisy,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zachovávat povinnou mlčenlivost o všech skutečnostech vztahujícím se k provozu Nemocnice, jejím klientům a zaměstnancům, o kterých se v při zajišťování pře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mětu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dozvěděl,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zasílat pravidelně vedení Nemocnice seznam klientů, kteří budou následující měsíc propagování na obrazovká</w:t>
      </w:r>
      <w:r>
        <w:rPr>
          <w:rFonts w:ascii="Times New Roman" w:hAnsi="Times New Roman"/>
          <w:sz w:val="24"/>
          <w:szCs w:val="24"/>
          <w:lang w:val="de-DE"/>
        </w:rPr>
        <w:t>ch,</w:t>
      </w:r>
    </w:p>
    <w:p w:rsidR="00696610" w:rsidRDefault="001267C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 vedení Nemocnice ke kontrole úplnou smyčku na následující měsíc, a to elektronicky př</w:t>
      </w:r>
      <w:r>
        <w:rPr>
          <w:rFonts w:ascii="Times New Roman" w:hAnsi="Times New Roman"/>
          <w:sz w:val="24"/>
          <w:szCs w:val="24"/>
          <w:lang w:val="da-DK"/>
        </w:rPr>
        <w:t>ed spu</w:t>
      </w:r>
      <w:r>
        <w:rPr>
          <w:rFonts w:ascii="Times New Roman" w:hAnsi="Times New Roman"/>
          <w:sz w:val="24"/>
          <w:szCs w:val="24"/>
        </w:rPr>
        <w:t>štěním 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smyčky na LED TV (případně jinak dle doml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vy).</w:t>
      </w:r>
    </w:p>
    <w:p w:rsidR="00696610" w:rsidRDefault="00696610">
      <w:pPr>
        <w:spacing w:line="360" w:lineRule="auto"/>
        <w:jc w:val="both"/>
      </w:pPr>
    </w:p>
    <w:p w:rsidR="00696610" w:rsidRDefault="00696610">
      <w:pPr>
        <w:pStyle w:val="Odstavecseseznamem"/>
        <w:spacing w:line="360" w:lineRule="auto"/>
        <w:ind w:left="1068"/>
        <w:jc w:val="both"/>
      </w:pPr>
    </w:p>
    <w:p w:rsidR="00696610" w:rsidRDefault="00696610">
      <w:pPr>
        <w:pStyle w:val="Odstavecseseznamem"/>
        <w:spacing w:line="360" w:lineRule="auto"/>
        <w:ind w:left="1068"/>
        <w:jc w:val="both"/>
      </w:pPr>
    </w:p>
    <w:p w:rsidR="00696610" w:rsidRDefault="001267C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 xml:space="preserve"> se zavazuje: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ve svý</w:t>
      </w:r>
      <w:r>
        <w:rPr>
          <w:rFonts w:ascii="Times New Roman" w:hAnsi="Times New Roman"/>
          <w:sz w:val="24"/>
          <w:szCs w:val="24"/>
          <w:lang w:val="de-DE"/>
        </w:rPr>
        <w:t xml:space="preserve">ch </w:t>
      </w:r>
      <w:r>
        <w:rPr>
          <w:rFonts w:ascii="Times New Roman" w:hAnsi="Times New Roman"/>
          <w:sz w:val="24"/>
          <w:szCs w:val="24"/>
        </w:rPr>
        <w:t>čekárnách vysílací prostor pro 5ks LED TV, dle přílohy č. 1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elektrickou energii pro provoz těchto LED TV,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 tyto LED TV po celou ordinační dobu, tedy každý pracovní den od 7:00 hod do 15:00 hod,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ustanovit osobu (případně více osob) na zapínání všech LED TV, a to každý pracovní den v 7:00 hod (pokud nebude stanoveno jinak),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ustanovit osobu na namátkovou kontrolu funkčnosti vš</w:t>
      </w:r>
      <w:r>
        <w:rPr>
          <w:rFonts w:ascii="Times New Roman" w:hAnsi="Times New Roman"/>
          <w:sz w:val="24"/>
          <w:szCs w:val="24"/>
          <w:lang w:val="da-DK"/>
        </w:rPr>
        <w:t>ech LED TV</w:t>
      </w:r>
      <w:r>
        <w:rPr>
          <w:rFonts w:ascii="Times New Roman" w:hAnsi="Times New Roman"/>
          <w:sz w:val="24"/>
          <w:szCs w:val="24"/>
        </w:rPr>
        <w:t>, a to dle potřeby, například v případech neč</w:t>
      </w:r>
      <w:r>
        <w:rPr>
          <w:rFonts w:ascii="Times New Roman" w:hAnsi="Times New Roman"/>
          <w:sz w:val="24"/>
          <w:szCs w:val="24"/>
          <w:lang w:val="de-DE"/>
        </w:rPr>
        <w:t>ekan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výpadku proudu a podobně, 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informovat o jakýchkoli plánovaný</w:t>
      </w:r>
      <w:r>
        <w:rPr>
          <w:rFonts w:ascii="Times New Roman" w:hAnsi="Times New Roman"/>
          <w:sz w:val="24"/>
          <w:szCs w:val="24"/>
          <w:lang w:val="de-DE"/>
        </w:rPr>
        <w:t xml:space="preserve">ch </w:t>
      </w:r>
      <w:r>
        <w:rPr>
          <w:rFonts w:ascii="Times New Roman" w:hAnsi="Times New Roman"/>
          <w:sz w:val="24"/>
          <w:szCs w:val="24"/>
        </w:rPr>
        <w:t xml:space="preserve">i neplánovaných výpadcích jednoho či více kusů </w:t>
      </w:r>
      <w:r>
        <w:rPr>
          <w:rFonts w:ascii="Times New Roman" w:hAnsi="Times New Roman"/>
          <w:sz w:val="24"/>
          <w:szCs w:val="24"/>
          <w:lang w:val="da-DK"/>
        </w:rPr>
        <w:t>LED TV,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Jakubovi Hotařovi informační spot Nemocnice nejpozději k 25. dni pře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cházejícího měsí</w:t>
      </w:r>
      <w:r>
        <w:rPr>
          <w:rFonts w:ascii="Times New Roman" w:hAnsi="Times New Roman"/>
          <w:sz w:val="24"/>
          <w:szCs w:val="24"/>
          <w:lang w:val="fr-FR"/>
        </w:rPr>
        <w:t>ce p</w:t>
      </w:r>
      <w:r>
        <w:rPr>
          <w:rFonts w:ascii="Times New Roman" w:hAnsi="Times New Roman"/>
          <w:sz w:val="24"/>
          <w:szCs w:val="24"/>
        </w:rPr>
        <w:t>řed stanovený</w:t>
      </w:r>
      <w:r>
        <w:rPr>
          <w:rFonts w:ascii="Times New Roman" w:hAnsi="Times New Roman"/>
          <w:sz w:val="24"/>
          <w:szCs w:val="24"/>
          <w:lang w:val="pt-PT"/>
        </w:rPr>
        <w:t>m term</w:t>
      </w:r>
      <w:r>
        <w:rPr>
          <w:rFonts w:ascii="Times New Roman" w:hAnsi="Times New Roman"/>
          <w:sz w:val="24"/>
          <w:szCs w:val="24"/>
        </w:rPr>
        <w:t>ínem prvního vysílaní smyčky v měsí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:rsidR="00696610" w:rsidRDefault="001267C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spolupracovat v tomto typu činnosti výhradně s Jakubem Hotařem, Jakub Hotař má přednostní právo na prodloužení smluvní spolupráce.</w:t>
      </w:r>
    </w:p>
    <w:p w:rsidR="00696610" w:rsidRDefault="00696610">
      <w:pPr>
        <w:pStyle w:val="Normlnweb"/>
        <w:spacing w:before="0" w:after="0" w:line="360" w:lineRule="auto"/>
        <w:jc w:val="center"/>
      </w:pP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III.</w:t>
      </w: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t>Cena a platební podmínky</w:t>
      </w:r>
      <w:r>
        <w:t> </w:t>
      </w:r>
    </w:p>
    <w:p w:rsidR="00696610" w:rsidRDefault="001267CA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strany se dohodly následovně:</w:t>
      </w:r>
    </w:p>
    <w:p w:rsidR="00696610" w:rsidRDefault="001267CA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náklady spojen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 nákupem LED TV (stejně jako s jejich přísluše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stvím - stojany, flash disky atd.) hradí Jakub Hotař.</w:t>
      </w:r>
    </w:p>
    <w:p w:rsidR="00696610" w:rsidRDefault="001267CA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náklady spojen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 odebranou elektrickou energií, stejně jako s přípa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nou montáží elektrických zásuvek, hradí Jakub Hotař, a to </w:t>
      </w:r>
      <w:r>
        <w:rPr>
          <w:rFonts w:ascii="Times New Roman" w:hAnsi="Times New Roman"/>
          <w:b/>
          <w:bCs/>
          <w:sz w:val="24"/>
          <w:szCs w:val="24"/>
        </w:rPr>
        <w:t>pravidelnou pa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šální částkou 3000 Kč / měsíc.</w:t>
      </w:r>
    </w:p>
    <w:p w:rsidR="00696610" w:rsidRDefault="001267CA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LED TV + příslušenství jsou v majetku Jakuba Hotaře, který v závi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losti na tomto zváží případn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pojištění obrazovek (proti ztrátě, krádeži, způs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bené škodě apod.). LED TV jsou v majetku Jakuba Hotaře i po ukončení sp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lupráce s Nemocnicí, kdy má Jakub Hotař povinnost LED TV odinstalovat z vysílacích prostorů i se vší</w:t>
      </w:r>
      <w:r>
        <w:rPr>
          <w:rFonts w:ascii="Times New Roman" w:hAnsi="Times New Roman"/>
          <w:sz w:val="24"/>
          <w:szCs w:val="24"/>
          <w:lang w:val="pt-PT"/>
        </w:rPr>
        <w:t>m p</w:t>
      </w:r>
      <w:r>
        <w:rPr>
          <w:rFonts w:ascii="Times New Roman" w:hAnsi="Times New Roman"/>
          <w:sz w:val="24"/>
          <w:szCs w:val="24"/>
        </w:rPr>
        <w:t>říslušenstvím.</w:t>
      </w:r>
    </w:p>
    <w:p w:rsidR="00696610" w:rsidRDefault="001267CA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Jakub Hotař uhradí Nemocnici poplatek za pronájem vysílacích prostorů v dohodnut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výši, která celkově činí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500 K</w:t>
      </w:r>
      <w:r>
        <w:rPr>
          <w:rFonts w:ascii="Times New Roman" w:hAnsi="Times New Roman"/>
          <w:b/>
          <w:bCs/>
          <w:sz w:val="24"/>
          <w:szCs w:val="24"/>
        </w:rPr>
        <w:t>č za každ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ho reklamního klienta</w:t>
      </w:r>
      <w:r>
        <w:rPr>
          <w:rFonts w:ascii="Times New Roman" w:hAnsi="Times New Roman"/>
          <w:sz w:val="24"/>
          <w:szCs w:val="24"/>
        </w:rPr>
        <w:t xml:space="preserve"> za 1 kalendářní měsíc. Seznam klientů na daný měsíc bude Jakub Hotař prav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delně předklá</w:t>
      </w: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 xml:space="preserve">/zasílat vedení Nemocnice. </w:t>
      </w:r>
    </w:p>
    <w:p w:rsidR="00696610" w:rsidRDefault="001267CA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Fakturace bude probí</w:t>
      </w:r>
      <w:r>
        <w:rPr>
          <w:rFonts w:ascii="Times New Roman" w:hAnsi="Times New Roman"/>
          <w:sz w:val="24"/>
          <w:szCs w:val="24"/>
          <w:lang w:val="en-US"/>
        </w:rPr>
        <w:t xml:space="preserve">hat </w:t>
      </w:r>
      <w:r>
        <w:rPr>
          <w:rFonts w:ascii="Times New Roman" w:hAnsi="Times New Roman"/>
          <w:sz w:val="24"/>
          <w:szCs w:val="24"/>
        </w:rPr>
        <w:t>kvartálně na adresu:</w:t>
      </w:r>
    </w:p>
    <w:p w:rsidR="00696610" w:rsidRDefault="001267CA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6610" w:rsidRDefault="001267CA">
      <w:pPr>
        <w:spacing w:line="360" w:lineRule="auto"/>
        <w:ind w:left="1440"/>
        <w:jc w:val="center"/>
      </w:pPr>
      <w:r>
        <w:rPr>
          <w:rFonts w:ascii="Times New Roman" w:hAnsi="Times New Roman"/>
          <w:b/>
          <w:bCs/>
          <w:sz w:val="24"/>
          <w:szCs w:val="24"/>
        </w:rPr>
        <w:t>Jakub Hotař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Chodská 11, Břeclav, 690 02</w:t>
      </w:r>
    </w:p>
    <w:p w:rsidR="00696610" w:rsidRDefault="001267CA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>Faktury budou Nemocnicí vystaveny nejpozději 5. den měsíce následujícího po uzavřen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tří měsíčním cyklu. Jakub Hotař uhradí faktury ve 14-ti denní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r>
        <w:rPr>
          <w:rFonts w:ascii="Times New Roman" w:hAnsi="Times New Roman"/>
          <w:sz w:val="24"/>
          <w:szCs w:val="24"/>
        </w:rPr>
        <w:t xml:space="preserve">ůtě splatnosti na účet Nemocnice uvedený </w:t>
      </w:r>
      <w:r>
        <w:rPr>
          <w:rFonts w:ascii="Times New Roman" w:hAnsi="Times New Roman"/>
          <w:sz w:val="24"/>
          <w:szCs w:val="24"/>
          <w:lang w:val="sv-SE"/>
        </w:rPr>
        <w:t>na faktu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it-IT"/>
        </w:rPr>
        <w:t xml:space="preserve">e. </w:t>
      </w:r>
      <w:r>
        <w:rPr>
          <w:rFonts w:ascii="Times New Roman" w:hAnsi="Times New Roman"/>
          <w:sz w:val="24"/>
          <w:szCs w:val="24"/>
        </w:rPr>
        <w:t xml:space="preserve">Úhradou se rozumí </w:t>
      </w:r>
      <w:r>
        <w:rPr>
          <w:rFonts w:ascii="Times New Roman" w:hAnsi="Times New Roman"/>
          <w:sz w:val="24"/>
          <w:szCs w:val="24"/>
          <w:lang w:val="da-DK"/>
        </w:rPr>
        <w:t>den p</w:t>
      </w:r>
      <w:r>
        <w:rPr>
          <w:rFonts w:ascii="Times New Roman" w:hAnsi="Times New Roman"/>
          <w:sz w:val="24"/>
          <w:szCs w:val="24"/>
        </w:rPr>
        <w:t>řipsání cel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fakturované částky na účet Nemocnice.</w:t>
      </w:r>
    </w:p>
    <w:p w:rsidR="00696610" w:rsidRDefault="00696610">
      <w:pPr>
        <w:spacing w:line="360" w:lineRule="auto"/>
      </w:pPr>
    </w:p>
    <w:p w:rsidR="00C17D02" w:rsidRDefault="00C17D02">
      <w:pPr>
        <w:spacing w:line="360" w:lineRule="auto"/>
      </w:pPr>
    </w:p>
    <w:p w:rsidR="00C17D02" w:rsidRDefault="00C17D02">
      <w:pPr>
        <w:spacing w:line="360" w:lineRule="auto"/>
      </w:pPr>
    </w:p>
    <w:p w:rsidR="00C17D02" w:rsidRDefault="00C17D02">
      <w:pPr>
        <w:spacing w:line="360" w:lineRule="auto"/>
      </w:pP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lastRenderedPageBreak/>
        <w:t xml:space="preserve">Článek IV. </w:t>
      </w:r>
    </w:p>
    <w:p w:rsidR="00696610" w:rsidRDefault="001267CA">
      <w:pPr>
        <w:pStyle w:val="Nadpis2"/>
        <w:spacing w:before="0" w:after="0" w:line="360" w:lineRule="auto"/>
        <w:jc w:val="center"/>
      </w:pPr>
      <w:r>
        <w:rPr>
          <w:sz w:val="24"/>
          <w:szCs w:val="24"/>
        </w:rPr>
        <w:t>Program vysílání</w:t>
      </w:r>
    </w:p>
    <w:p w:rsidR="00696610" w:rsidRDefault="001267CA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Programová smyčka bude vysílána každý pracovní den od 7:00 hod do 15:00 hod na vš</w:t>
      </w:r>
      <w:r>
        <w:rPr>
          <w:rFonts w:ascii="Times New Roman" w:hAnsi="Times New Roman"/>
          <w:sz w:val="24"/>
          <w:szCs w:val="24"/>
          <w:lang w:val="da-DK"/>
        </w:rPr>
        <w:t>ech LED TV sou</w:t>
      </w:r>
      <w:r>
        <w:rPr>
          <w:rFonts w:ascii="Times New Roman" w:hAnsi="Times New Roman"/>
          <w:sz w:val="24"/>
          <w:szCs w:val="24"/>
        </w:rPr>
        <w:t xml:space="preserve">časně, dle přílohy č. 1. </w:t>
      </w:r>
    </w:p>
    <w:p w:rsidR="00696610" w:rsidRDefault="001267CA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Programová náplň vysílacího času bude složena z:</w:t>
      </w:r>
    </w:p>
    <w:p w:rsidR="00696610" w:rsidRDefault="001267CA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informa</w:t>
      </w:r>
      <w:r>
        <w:rPr>
          <w:rFonts w:ascii="Times New Roman" w:hAnsi="Times New Roman"/>
          <w:sz w:val="24"/>
          <w:szCs w:val="24"/>
        </w:rPr>
        <w:t>ční spoty Nemocnice</w:t>
      </w:r>
    </w:p>
    <w:p w:rsidR="00696610" w:rsidRDefault="001267CA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reklamní spoty obchodních partnerů Jakuba Hotaře</w:t>
      </w:r>
    </w:p>
    <w:p w:rsidR="00696610" w:rsidRDefault="001267CA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společensko-kulturní </w:t>
      </w:r>
      <w:r>
        <w:rPr>
          <w:rFonts w:ascii="Times New Roman" w:hAnsi="Times New Roman"/>
          <w:sz w:val="24"/>
          <w:szCs w:val="24"/>
          <w:lang w:val="pt-PT"/>
        </w:rPr>
        <w:t>program m</w:t>
      </w:r>
      <w:r>
        <w:rPr>
          <w:rFonts w:ascii="Times New Roman" w:hAnsi="Times New Roman"/>
          <w:sz w:val="24"/>
          <w:szCs w:val="24"/>
        </w:rPr>
        <w:t>ěsta a okolí</w:t>
      </w:r>
      <w:r>
        <w:rPr>
          <w:rFonts w:ascii="Times New Roman" w:hAnsi="Times New Roman"/>
          <w:sz w:val="24"/>
          <w:szCs w:val="24"/>
          <w:lang w:val="it-IT"/>
        </w:rPr>
        <w:t>, region</w:t>
      </w:r>
      <w:r>
        <w:rPr>
          <w:rFonts w:ascii="Times New Roman" w:hAnsi="Times New Roman"/>
          <w:sz w:val="24"/>
          <w:szCs w:val="24"/>
        </w:rPr>
        <w:t xml:space="preserve">ální </w:t>
      </w:r>
      <w:r>
        <w:rPr>
          <w:rFonts w:ascii="Times New Roman" w:hAnsi="Times New Roman"/>
          <w:sz w:val="24"/>
          <w:szCs w:val="24"/>
          <w:lang w:val="en-US"/>
        </w:rPr>
        <w:t>informa</w:t>
      </w:r>
      <w:r>
        <w:rPr>
          <w:rFonts w:ascii="Times New Roman" w:hAnsi="Times New Roman"/>
          <w:sz w:val="24"/>
          <w:szCs w:val="24"/>
        </w:rPr>
        <w:t>ční program</w:t>
      </w:r>
    </w:p>
    <w:p w:rsidR="00696610" w:rsidRDefault="001267CA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programov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náplni jsou zakázány zejm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koliv reklamní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ční spoty založen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na podprahov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vnímání, skrytá reklama, reklamní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ční spoty 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sahující jakoukoliv diskriminaci z důvodů rasy, pohlaví nebo národnosti, napadající nábožensk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nebo národnostní cítění, ohrožující nepřijatelným způsobem mravnost, snižující lidskou důstojnost, obsahující prvky pornografie, násilí nebo prvky využív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jící motivu strachu, reklama nesmí napadat politick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přesvědčení, zakázány jsou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klamní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ční spoty podporující chování poškozující zdraví nebo ohrožující bezpečnost osob nebo majetku, jakož i jednání poškozující zájmy na ochranu životn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prostředí, dále reklamní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ční spoty směřující k reklamě provozování 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hřební služby, provozování krematoria nebo provádění balzamace a konzervace  a spoty propagující politick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strany nebo hnutí a předvolební agitaci.</w:t>
      </w:r>
    </w:p>
    <w:p w:rsidR="00696610" w:rsidRDefault="001267CA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porušení výše zmíněn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následuje okamžit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upozornění na tuto skutečnost  Jakuba Hotaře a sjednání nápravy z jeho strany. Opakovan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porušení může být pov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žováno jako důvod pro odstoupení od smlouvy.</w:t>
      </w:r>
    </w:p>
    <w:p w:rsidR="00696610" w:rsidRDefault="001267CA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Programová smyčka bude vysílána </w:t>
      </w:r>
      <w:r>
        <w:rPr>
          <w:rFonts w:ascii="Times New Roman" w:hAnsi="Times New Roman"/>
          <w:b/>
          <w:bCs/>
          <w:sz w:val="24"/>
          <w:szCs w:val="24"/>
        </w:rPr>
        <w:t>bez zvukov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stopy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6610" w:rsidRDefault="001267C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Platbu za využívání autorských práv z veřejn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produkce autorský</w:t>
      </w:r>
      <w:r>
        <w:rPr>
          <w:rFonts w:ascii="Times New Roman" w:hAnsi="Times New Roman"/>
          <w:sz w:val="24"/>
          <w:szCs w:val="24"/>
          <w:lang w:val="de-DE"/>
        </w:rPr>
        <w:t>ch d</w:t>
      </w:r>
      <w:r>
        <w:rPr>
          <w:rFonts w:ascii="Times New Roman" w:hAnsi="Times New Roman"/>
          <w:sz w:val="24"/>
          <w:szCs w:val="24"/>
        </w:rPr>
        <w:t>ěl není potřeba hradit, jelikož se ve vysílan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programu žádná autorská díla nebudou objevovat (vys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lání je bez zvukov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stopy). Pokud by v průběhu trvání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povinnost k úhradě společnosti OSA vznikla, Jakub Hotař se zavazuje, že tuto platbu uhradí.</w:t>
      </w:r>
    </w:p>
    <w:p w:rsidR="00696610" w:rsidRDefault="00696610">
      <w:pPr>
        <w:pStyle w:val="Odstavecseseznamem"/>
      </w:pPr>
    </w:p>
    <w:p w:rsidR="00696610" w:rsidRDefault="001267CA">
      <w:pPr>
        <w:pStyle w:val="Normlnweb"/>
        <w:spacing w:before="0" w:after="0" w:line="360" w:lineRule="auto"/>
        <w:jc w:val="center"/>
      </w:pPr>
      <w:r>
        <w:rPr>
          <w:b/>
          <w:bCs/>
        </w:rPr>
        <w:t xml:space="preserve">Článek V. </w:t>
      </w:r>
    </w:p>
    <w:p w:rsidR="00696610" w:rsidRDefault="001267CA">
      <w:pPr>
        <w:pStyle w:val="Nadpis2"/>
        <w:spacing w:before="0" w:after="0" w:line="360" w:lineRule="auto"/>
        <w:jc w:val="center"/>
      </w:pPr>
      <w:r>
        <w:rPr>
          <w:sz w:val="24"/>
          <w:szCs w:val="24"/>
        </w:rPr>
        <w:t>Závěrečná ustanovení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na dobu určitou a to na dobu 1 roku počínaje datem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1. list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padu 2017</w:t>
      </w:r>
      <w:r>
        <w:rPr>
          <w:rFonts w:ascii="Times New Roman" w:hAnsi="Times New Roman"/>
          <w:sz w:val="24"/>
          <w:szCs w:val="24"/>
        </w:rPr>
        <w:t>. Platnost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je dána dnem podpisu smluvních stran. 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Jakub Hotař má přednostní právo na prodloužení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může být ukončena vzájemnou dohodou smluvních stran.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 závažn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porušení smlouvy, zejm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 čl. II odst. 1 písm. e) a čl. IV. odst. 3 smlouvy, má Nemocnice právo od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písemně odstoupit.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Změny a doplňky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mohou být prováděny pouze formou písemnou.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všechny spory budou řešit dle právního řá</w:t>
      </w:r>
      <w:r>
        <w:rPr>
          <w:rFonts w:ascii="Times New Roman" w:hAnsi="Times New Roman"/>
          <w:sz w:val="24"/>
          <w:szCs w:val="24"/>
          <w:lang w:val="fr-FR"/>
        </w:rPr>
        <w:t xml:space="preserve">du </w:t>
      </w:r>
      <w:r>
        <w:rPr>
          <w:rFonts w:ascii="Times New Roman" w:hAnsi="Times New Roman"/>
          <w:sz w:val="24"/>
          <w:szCs w:val="24"/>
        </w:rPr>
        <w:t>Česk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publiky.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dvou vý</w:t>
      </w:r>
      <w:r>
        <w:rPr>
          <w:rFonts w:ascii="Times New Roman" w:hAnsi="Times New Roman"/>
          <w:sz w:val="24"/>
          <w:szCs w:val="24"/>
          <w:lang w:val="de-DE"/>
        </w:rPr>
        <w:t>tisc</w:t>
      </w:r>
      <w:r>
        <w:rPr>
          <w:rFonts w:ascii="Times New Roman" w:hAnsi="Times New Roman"/>
          <w:sz w:val="24"/>
          <w:szCs w:val="24"/>
        </w:rPr>
        <w:t>ích, každá strana obdrží jeden výtisk.</w:t>
      </w:r>
    </w:p>
    <w:p w:rsidR="00696610" w:rsidRDefault="001267CA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si text smlouvy přečetly, seznámily se s jejím obsahem a bezvýhradně s ním souhlasí, smlouva je projevem jejich prav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vážn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 svobodn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vůle, a na důkaz toho připojují podpisy svých oprávněných zástupců.</w:t>
      </w:r>
    </w:p>
    <w:p w:rsidR="00696610" w:rsidRDefault="00696610">
      <w:pPr>
        <w:spacing w:line="360" w:lineRule="auto"/>
        <w:ind w:left="720"/>
        <w:jc w:val="both"/>
      </w:pPr>
    </w:p>
    <w:p w:rsidR="00696610" w:rsidRDefault="00696610">
      <w:pPr>
        <w:spacing w:line="360" w:lineRule="auto"/>
        <w:ind w:left="720"/>
        <w:jc w:val="both"/>
      </w:pPr>
    </w:p>
    <w:p w:rsidR="00696610" w:rsidRDefault="00696610">
      <w:pPr>
        <w:spacing w:line="360" w:lineRule="auto"/>
        <w:ind w:left="720"/>
        <w:jc w:val="both"/>
      </w:pPr>
    </w:p>
    <w:p w:rsidR="00696610" w:rsidRDefault="001267CA">
      <w:pPr>
        <w:pStyle w:val="Normlnweb"/>
        <w:spacing w:before="0" w:after="0" w:line="360" w:lineRule="auto"/>
      </w:pPr>
      <w:r>
        <w:t>Ve ………………………..… dne ……………………… </w:t>
      </w:r>
    </w:p>
    <w:p w:rsidR="00696610" w:rsidRDefault="00696610">
      <w:pPr>
        <w:pStyle w:val="Normlnweb"/>
        <w:spacing w:before="0" w:after="0" w:line="360" w:lineRule="auto"/>
      </w:pPr>
    </w:p>
    <w:p w:rsidR="00696610" w:rsidRDefault="00696610">
      <w:pPr>
        <w:pStyle w:val="Normlnweb"/>
        <w:spacing w:before="0" w:after="0" w:line="360" w:lineRule="auto"/>
      </w:pPr>
    </w:p>
    <w:p w:rsidR="00696610" w:rsidRDefault="00696610">
      <w:pPr>
        <w:pStyle w:val="Normlnweb"/>
        <w:spacing w:before="0" w:after="0" w:line="360" w:lineRule="auto"/>
      </w:pPr>
    </w:p>
    <w:p w:rsidR="00696610" w:rsidRDefault="00696610">
      <w:pPr>
        <w:pStyle w:val="Normlnweb"/>
        <w:spacing w:before="0" w:after="0" w:line="360" w:lineRule="auto"/>
      </w:pPr>
    </w:p>
    <w:p w:rsidR="00696610" w:rsidRDefault="00696610">
      <w:pPr>
        <w:pStyle w:val="Normlnweb"/>
        <w:spacing w:before="0" w:after="0" w:line="360" w:lineRule="auto"/>
      </w:pPr>
    </w:p>
    <w:p w:rsidR="00696610" w:rsidRDefault="00696610">
      <w:pPr>
        <w:pStyle w:val="Normlnweb"/>
        <w:spacing w:before="0" w:after="0" w:line="360" w:lineRule="auto"/>
      </w:pPr>
    </w:p>
    <w:p w:rsidR="00696610" w:rsidRDefault="00696610">
      <w:pPr>
        <w:pStyle w:val="Normlnweb"/>
        <w:spacing w:before="0" w:after="0" w:line="360" w:lineRule="auto"/>
      </w:pPr>
    </w:p>
    <w:p w:rsidR="00696610" w:rsidRDefault="001267CA">
      <w:pPr>
        <w:pStyle w:val="Normlnweb"/>
        <w:spacing w:before="0" w:after="0" w:line="360" w:lineRule="auto"/>
      </w:pPr>
      <w:r>
        <w:t xml:space="preserve">............................................................                </w:t>
      </w:r>
      <w:r>
        <w:tab/>
        <w:t>............................................................</w:t>
      </w:r>
    </w:p>
    <w:p w:rsidR="00696610" w:rsidRDefault="001267CA">
      <w:pPr>
        <w:widowControl w:val="0"/>
      </w:pPr>
      <w:r>
        <w:rPr>
          <w:rFonts w:ascii="Times New Roman" w:hAnsi="Times New Roman"/>
          <w:sz w:val="24"/>
          <w:szCs w:val="24"/>
        </w:rPr>
        <w:t>Bc. Jakub Hotař, BA (Hons)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Nemocnice Pelhřimov, p.o.</w:t>
      </w:r>
    </w:p>
    <w:p w:rsidR="00696610" w:rsidRDefault="001267CA">
      <w:pPr>
        <w:widowControl w:val="0"/>
        <w:spacing w:line="360" w:lineRule="auto"/>
        <w:jc w:val="both"/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    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  <w:t xml:space="preserve">          </w:t>
      </w:r>
    </w:p>
    <w:p w:rsidR="00696610" w:rsidRDefault="00696610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C17D02" w:rsidRDefault="00C17D02">
      <w:pPr>
        <w:widowControl w:val="0"/>
        <w:spacing w:line="360" w:lineRule="auto"/>
        <w:jc w:val="both"/>
      </w:pPr>
    </w:p>
    <w:p w:rsidR="00696610" w:rsidRDefault="00696610">
      <w:pPr>
        <w:widowControl w:val="0"/>
      </w:pPr>
    </w:p>
    <w:p w:rsidR="00696610" w:rsidRDefault="00696610">
      <w:pPr>
        <w:widowControl w:val="0"/>
      </w:pPr>
    </w:p>
    <w:p w:rsidR="00696610" w:rsidRDefault="001267CA">
      <w:pPr>
        <w:widowControl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Příloha č. 1</w:t>
      </w:r>
    </w:p>
    <w:p w:rsidR="00696610" w:rsidRDefault="001267CA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Seznam míst instalací LED TV v budovách Nemocnice Pelhřimov, p.o.</w:t>
      </w:r>
    </w:p>
    <w:p w:rsidR="00C17D02" w:rsidRDefault="00C17D02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7D02" w:rsidRDefault="00C17D02" w:rsidP="00C17D02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p w:rsidR="00C17D02" w:rsidRDefault="00C17D02" w:rsidP="00C17D02">
      <w:pPr>
        <w:widowContro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Čekárna interních ambulancí 1. NP Hlavní lůžková budova – 1 kus</w:t>
      </w:r>
    </w:p>
    <w:p w:rsidR="00C17D02" w:rsidRDefault="00C17D02" w:rsidP="00C17D02">
      <w:pPr>
        <w:widowControl w:val="0"/>
        <w:rPr>
          <w:rFonts w:ascii="Times New Roman" w:hAnsi="Times New Roman"/>
          <w:bCs/>
          <w:sz w:val="24"/>
          <w:szCs w:val="24"/>
        </w:rPr>
      </w:pPr>
    </w:p>
    <w:p w:rsidR="00C17D02" w:rsidRDefault="00C17D02" w:rsidP="00C17D02">
      <w:pPr>
        <w:widowContro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Čekárna příjmu</w:t>
      </w:r>
      <w:r w:rsidR="00DB1108">
        <w:rPr>
          <w:rFonts w:ascii="Times New Roman" w:hAnsi="Times New Roman"/>
          <w:bCs/>
          <w:sz w:val="24"/>
          <w:szCs w:val="24"/>
        </w:rPr>
        <w:t xml:space="preserve"> a pokladny</w:t>
      </w:r>
      <w:r>
        <w:rPr>
          <w:rFonts w:ascii="Times New Roman" w:hAnsi="Times New Roman"/>
          <w:bCs/>
          <w:sz w:val="24"/>
          <w:szCs w:val="24"/>
        </w:rPr>
        <w:t xml:space="preserve"> 1. NP Hlavní lůžková budova – 1 kus</w:t>
      </w:r>
    </w:p>
    <w:p w:rsidR="00C17D02" w:rsidRDefault="00C17D02" w:rsidP="00C17D02">
      <w:pPr>
        <w:widowControl w:val="0"/>
        <w:rPr>
          <w:rFonts w:ascii="Times New Roman" w:hAnsi="Times New Roman"/>
          <w:bCs/>
          <w:sz w:val="24"/>
          <w:szCs w:val="24"/>
        </w:rPr>
      </w:pPr>
    </w:p>
    <w:p w:rsidR="00C17D02" w:rsidRDefault="00C17D02" w:rsidP="00C17D02">
      <w:pPr>
        <w:widowContro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Čekárna chirurgické ambulance 2. NP Pavilónu akutní ambulancí – 2 kusy</w:t>
      </w:r>
    </w:p>
    <w:p w:rsidR="00C17D02" w:rsidRDefault="00C17D02" w:rsidP="00C17D02">
      <w:pPr>
        <w:widowControl w:val="0"/>
        <w:rPr>
          <w:rFonts w:ascii="Times New Roman" w:hAnsi="Times New Roman"/>
          <w:bCs/>
          <w:sz w:val="24"/>
          <w:szCs w:val="24"/>
        </w:rPr>
      </w:pPr>
    </w:p>
    <w:p w:rsidR="00C17D02" w:rsidRPr="00C17D02" w:rsidRDefault="00C17D02" w:rsidP="00C17D02">
      <w:pPr>
        <w:widowControl w:val="0"/>
      </w:pPr>
      <w:r>
        <w:rPr>
          <w:rFonts w:ascii="Times New Roman" w:hAnsi="Times New Roman"/>
          <w:bCs/>
          <w:sz w:val="24"/>
          <w:szCs w:val="24"/>
        </w:rPr>
        <w:t>Čekárna kardiologické a revmatologické ambulance 1. NP budova dětského oddělení – 1 kus</w:t>
      </w:r>
    </w:p>
    <w:sectPr w:rsidR="00C17D02" w:rsidRPr="00C17D02">
      <w:headerReference w:type="default" r:id="rId8"/>
      <w:footerReference w:type="default" r:id="rId9"/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0C" w:rsidRDefault="0010310C">
      <w:r>
        <w:separator/>
      </w:r>
    </w:p>
  </w:endnote>
  <w:endnote w:type="continuationSeparator" w:id="0">
    <w:p w:rsidR="0010310C" w:rsidRDefault="0010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10" w:rsidRDefault="001267CA">
    <w:pPr>
      <w:pStyle w:val="Zpat"/>
      <w:tabs>
        <w:tab w:val="clear" w:pos="9072"/>
        <w:tab w:val="right" w:pos="9046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12CB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512CB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0C" w:rsidRDefault="0010310C">
      <w:r>
        <w:separator/>
      </w:r>
    </w:p>
  </w:footnote>
  <w:footnote w:type="continuationSeparator" w:id="0">
    <w:p w:rsidR="0010310C" w:rsidRDefault="0010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10" w:rsidRDefault="00696610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A30"/>
    <w:multiLevelType w:val="hybridMultilevel"/>
    <w:tmpl w:val="D1DA3300"/>
    <w:styleLink w:val="Importovanstyl6"/>
    <w:lvl w:ilvl="0" w:tplc="E9C85C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ACE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24FD3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41E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761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C6DA0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AB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AE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32B16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661007"/>
    <w:multiLevelType w:val="hybridMultilevel"/>
    <w:tmpl w:val="245E8678"/>
    <w:styleLink w:val="Importovanstyl4"/>
    <w:lvl w:ilvl="0" w:tplc="11CABED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EA9E74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683C8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A4906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D474D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92A5F8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1ACAF8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6A5F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5E3690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0C0974"/>
    <w:multiLevelType w:val="hybridMultilevel"/>
    <w:tmpl w:val="C83EA9EA"/>
    <w:numStyleLink w:val="Importovanstyl2"/>
  </w:abstractNum>
  <w:abstractNum w:abstractNumId="3">
    <w:nsid w:val="39744818"/>
    <w:multiLevelType w:val="hybridMultilevel"/>
    <w:tmpl w:val="D9785AA6"/>
    <w:numStyleLink w:val="Importovanstyl8"/>
  </w:abstractNum>
  <w:abstractNum w:abstractNumId="4">
    <w:nsid w:val="3E1D0E5C"/>
    <w:multiLevelType w:val="hybridMultilevel"/>
    <w:tmpl w:val="B44A2DBE"/>
    <w:numStyleLink w:val="Importovanstyl5"/>
  </w:abstractNum>
  <w:abstractNum w:abstractNumId="5">
    <w:nsid w:val="40802A20"/>
    <w:multiLevelType w:val="hybridMultilevel"/>
    <w:tmpl w:val="7CA09778"/>
    <w:styleLink w:val="Importovanstyl3"/>
    <w:lvl w:ilvl="0" w:tplc="5B1CDCE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8C2F8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C515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26C220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8A8F6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E5E7E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4D00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ED4B4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4342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37068E2"/>
    <w:multiLevelType w:val="hybridMultilevel"/>
    <w:tmpl w:val="D9785AA6"/>
    <w:styleLink w:val="Importovanstyl8"/>
    <w:lvl w:ilvl="0" w:tplc="F22C2B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63B0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F2EE0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029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60F1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EA82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C6C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F4288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CAE2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79C4D69"/>
    <w:multiLevelType w:val="hybridMultilevel"/>
    <w:tmpl w:val="D1DA3300"/>
    <w:numStyleLink w:val="Importovanstyl6"/>
  </w:abstractNum>
  <w:abstractNum w:abstractNumId="8">
    <w:nsid w:val="5B5C25E8"/>
    <w:multiLevelType w:val="hybridMultilevel"/>
    <w:tmpl w:val="7CA09778"/>
    <w:numStyleLink w:val="Importovanstyl3"/>
  </w:abstractNum>
  <w:abstractNum w:abstractNumId="9">
    <w:nsid w:val="5F0A3EA5"/>
    <w:multiLevelType w:val="hybridMultilevel"/>
    <w:tmpl w:val="1F58EF96"/>
    <w:styleLink w:val="Importovanstyl1"/>
    <w:lvl w:ilvl="0" w:tplc="D096AD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8205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C4F7C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CF7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255A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E586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ED8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865B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547AC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0D17CA0"/>
    <w:multiLevelType w:val="hybridMultilevel"/>
    <w:tmpl w:val="245E8678"/>
    <w:numStyleLink w:val="Importovanstyl4"/>
  </w:abstractNum>
  <w:abstractNum w:abstractNumId="11">
    <w:nsid w:val="64A440BC"/>
    <w:multiLevelType w:val="hybridMultilevel"/>
    <w:tmpl w:val="7C3A43AC"/>
    <w:styleLink w:val="Importovanstyl7"/>
    <w:lvl w:ilvl="0" w:tplc="77D6ED9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F27A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2B17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A07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5024D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E8CF7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EC72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728D4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9A580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80D7DF0"/>
    <w:multiLevelType w:val="hybridMultilevel"/>
    <w:tmpl w:val="7C3A43AC"/>
    <w:numStyleLink w:val="Importovanstyl7"/>
  </w:abstractNum>
  <w:abstractNum w:abstractNumId="13">
    <w:nsid w:val="68E3129E"/>
    <w:multiLevelType w:val="hybridMultilevel"/>
    <w:tmpl w:val="C83EA9EA"/>
    <w:styleLink w:val="Importovanstyl2"/>
    <w:lvl w:ilvl="0" w:tplc="198C8B58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F2AA0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22FB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EDA8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067F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184F6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80F9E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D4096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8211A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3141E37"/>
    <w:multiLevelType w:val="hybridMultilevel"/>
    <w:tmpl w:val="B44A2DBE"/>
    <w:styleLink w:val="Importovanstyl5"/>
    <w:lvl w:ilvl="0" w:tplc="3BBE5090">
      <w:start w:val="1"/>
      <w:numFmt w:val="decimal"/>
      <w:lvlText w:val="%1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00E2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8AB6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AEF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92868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2C0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067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E2E2E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A971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E182EB5"/>
    <w:multiLevelType w:val="hybridMultilevel"/>
    <w:tmpl w:val="1F58EF96"/>
    <w:numStyleLink w:val="Importovanstyl1"/>
  </w:abstractNum>
  <w:num w:numId="1">
    <w:abstractNumId w:val="9"/>
  </w:num>
  <w:num w:numId="2">
    <w:abstractNumId w:val="15"/>
  </w:num>
  <w:num w:numId="3">
    <w:abstractNumId w:val="13"/>
  </w:num>
  <w:num w:numId="4">
    <w:abstractNumId w:val="2"/>
  </w:num>
  <w:num w:numId="5">
    <w:abstractNumId w:val="15"/>
    <w:lvlOverride w:ilvl="0">
      <w:startOverride w:val="2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  <w:num w:numId="16">
    <w:abstractNumId w:val="7"/>
    <w:lvlOverride w:ilvl="0">
      <w:startOverride w:val="3"/>
    </w:lvlOverride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6610"/>
    <w:rsid w:val="0010310C"/>
    <w:rsid w:val="001267CA"/>
    <w:rsid w:val="004F441B"/>
    <w:rsid w:val="00512CB1"/>
    <w:rsid w:val="00696610"/>
    <w:rsid w:val="00C17D02"/>
    <w:rsid w:val="00D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ahoma" w:hAnsi="Tahoma" w:cs="Arial Unicode MS"/>
      <w:color w:val="000000"/>
      <w:u w:color="000000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ahoma" w:hAnsi="Tahoma" w:cs="Arial Unicode MS"/>
      <w:color w:val="000000"/>
      <w:u w:color="000000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dcterms:created xsi:type="dcterms:W3CDTF">2017-10-17T12:10:00Z</dcterms:created>
  <dcterms:modified xsi:type="dcterms:W3CDTF">2017-10-17T12:10:00Z</dcterms:modified>
</cp:coreProperties>
</file>