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B22F8"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rPr>
        <w:t>Agreement for Digital Marketing and International Student Recruitment Services</w:t>
      </w:r>
    </w:p>
    <w:p w14:paraId="10AB22F9" w14:textId="77777777" w:rsidR="00A862C6" w:rsidRDefault="006C6030">
      <w:pPr>
        <w:spacing w:before="240" w:after="24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This Agreement is entered into on the date of the last signature below between:</w:t>
      </w:r>
    </w:p>
    <w:p w14:paraId="10AB22FA"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w:t>
      </w:r>
    </w:p>
    <w:p w14:paraId="10AB22FB"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Contracting Parties</w:t>
      </w:r>
    </w:p>
    <w:p w14:paraId="10AB22FC" w14:textId="77777777" w:rsidR="00A862C6" w:rsidRDefault="006C6030">
      <w:pPr>
        <w:spacing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Company</w:t>
      </w:r>
      <w:r>
        <w:rPr>
          <w:rFonts w:ascii="Times New Roman" w:eastAsia="Times New Roman" w:hAnsi="Times New Roman" w:cs="Times New Roman"/>
          <w:b/>
          <w:bCs/>
          <w:sz w:val="22"/>
          <w:szCs w:val="22"/>
        </w:rPr>
        <w:t xml:space="preserve">: </w:t>
      </w:r>
      <w:proofErr w:type="spellStart"/>
      <w:r>
        <w:rPr>
          <w:rFonts w:ascii="Times New Roman" w:eastAsia="Times New Roman" w:hAnsi="Times New Roman" w:cs="Times New Roman"/>
          <w:b/>
          <w:bCs/>
          <w:sz w:val="22"/>
          <w:szCs w:val="22"/>
        </w:rPr>
        <w:t>Yups</w:t>
      </w:r>
      <w:proofErr w:type="spellEnd"/>
      <w:r>
        <w:rPr>
          <w:rFonts w:ascii="Times New Roman" w:eastAsia="Times New Roman" w:hAnsi="Times New Roman" w:cs="Times New Roman"/>
          <w:b/>
          <w:bCs/>
          <w:sz w:val="22"/>
          <w:szCs w:val="22"/>
        </w:rPr>
        <w:t xml:space="preserve"> </w:t>
      </w:r>
      <w:proofErr w:type="spellStart"/>
      <w:r>
        <w:rPr>
          <w:rFonts w:ascii="Times New Roman" w:eastAsia="Times New Roman" w:hAnsi="Times New Roman" w:cs="Times New Roman"/>
          <w:b/>
          <w:bCs/>
          <w:sz w:val="22"/>
          <w:szCs w:val="22"/>
        </w:rPr>
        <w:t>s.r.o.</w:t>
      </w:r>
      <w:proofErr w:type="spellEnd"/>
    </w:p>
    <w:p w14:paraId="10AB22FD"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ID No.: 19643152</w:t>
      </w:r>
    </w:p>
    <w:p w14:paraId="10AB22FE"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VAT ID No.: CZ19643152</w:t>
      </w:r>
    </w:p>
    <w:p w14:paraId="10AB22FF"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Registered office: K Lesu 1044/2, 252 62 </w:t>
      </w:r>
      <w:proofErr w:type="spellStart"/>
      <w:r>
        <w:rPr>
          <w:rFonts w:ascii="Times New Roman" w:eastAsia="Times New Roman" w:hAnsi="Times New Roman" w:cs="Times New Roman"/>
          <w:sz w:val="22"/>
          <w:szCs w:val="22"/>
        </w:rPr>
        <w:t>Horoměřice</w:t>
      </w:r>
      <w:proofErr w:type="spellEnd"/>
      <w:r>
        <w:rPr>
          <w:rFonts w:ascii="Times New Roman" w:eastAsia="Times New Roman" w:hAnsi="Times New Roman" w:cs="Times New Roman"/>
          <w:sz w:val="22"/>
          <w:szCs w:val="22"/>
        </w:rPr>
        <w:t>, Czech Republic</w:t>
      </w:r>
    </w:p>
    <w:p w14:paraId="10AB2300"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Represented by: Eleni </w:t>
      </w:r>
      <w:proofErr w:type="spellStart"/>
      <w:r>
        <w:rPr>
          <w:rFonts w:ascii="Times New Roman" w:eastAsia="Times New Roman" w:hAnsi="Times New Roman" w:cs="Times New Roman"/>
          <w:sz w:val="22"/>
          <w:szCs w:val="22"/>
        </w:rPr>
        <w:t>Mickovska</w:t>
      </w:r>
      <w:proofErr w:type="spellEnd"/>
      <w:r>
        <w:rPr>
          <w:rFonts w:ascii="Times New Roman" w:eastAsia="Times New Roman" w:hAnsi="Times New Roman" w:cs="Times New Roman"/>
          <w:sz w:val="22"/>
          <w:szCs w:val="22"/>
        </w:rPr>
        <w:t>, Managing Director, acting independently</w:t>
      </w:r>
    </w:p>
    <w:p w14:paraId="10AB2301"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registered with the Municipal Court in Prague, file No. C 389630</w:t>
      </w:r>
    </w:p>
    <w:p w14:paraId="10AB2302"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Phone: +420 725 593 262</w:t>
      </w:r>
    </w:p>
    <w:p w14:paraId="10AB2303" w14:textId="297F6DF5"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Email: </w:t>
      </w:r>
      <w:r w:rsidR="00755719">
        <w:rPr>
          <w:rFonts w:ascii="Times New Roman" w:eastAsia="Times New Roman" w:hAnsi="Times New Roman" w:cs="Times New Roman"/>
          <w:sz w:val="22"/>
          <w:szCs w:val="22"/>
        </w:rPr>
        <w:t>XXXXX</w:t>
      </w:r>
    </w:p>
    <w:p w14:paraId="10AB2304" w14:textId="77777777" w:rsidR="00A862C6" w:rsidRDefault="006C6030">
      <w:pPr>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(hereinafter referred to as the "</w:t>
      </w:r>
      <w:r>
        <w:rPr>
          <w:rFonts w:ascii="Times New Roman" w:eastAsia="Times New Roman" w:hAnsi="Times New Roman" w:cs="Times New Roman"/>
          <w:b/>
          <w:bCs/>
          <w:sz w:val="22"/>
          <w:szCs w:val="22"/>
        </w:rPr>
        <w:t>Contractor</w:t>
      </w:r>
      <w:r>
        <w:rPr>
          <w:rFonts w:ascii="Times New Roman" w:eastAsia="Times New Roman" w:hAnsi="Times New Roman" w:cs="Times New Roman"/>
          <w:sz w:val="22"/>
          <w:szCs w:val="22"/>
        </w:rPr>
        <w:t>")</w:t>
      </w:r>
    </w:p>
    <w:p w14:paraId="10AB230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and</w:t>
      </w:r>
    </w:p>
    <w:p w14:paraId="10AB2306" w14:textId="77777777" w:rsidR="00A862C6" w:rsidRDefault="006C6030">
      <w:pPr>
        <w:spacing w:line="276" w:lineRule="auto"/>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b/>
          <w:bCs/>
          <w:sz w:val="22"/>
          <w:szCs w:val="22"/>
        </w:rPr>
        <w:t>Česká</w:t>
      </w:r>
      <w:proofErr w:type="spellEnd"/>
      <w:r>
        <w:rPr>
          <w:rFonts w:ascii="Times New Roman" w:eastAsia="Times New Roman" w:hAnsi="Times New Roman" w:cs="Times New Roman"/>
          <w:b/>
          <w:bCs/>
          <w:sz w:val="22"/>
          <w:szCs w:val="22"/>
        </w:rPr>
        <w:t xml:space="preserve"> </w:t>
      </w:r>
      <w:proofErr w:type="spellStart"/>
      <w:r>
        <w:rPr>
          <w:rFonts w:ascii="Times New Roman" w:eastAsia="Times New Roman" w:hAnsi="Times New Roman" w:cs="Times New Roman"/>
          <w:b/>
          <w:bCs/>
          <w:sz w:val="22"/>
          <w:szCs w:val="22"/>
        </w:rPr>
        <w:t>zemědělská</w:t>
      </w:r>
      <w:proofErr w:type="spellEnd"/>
      <w:r>
        <w:rPr>
          <w:rFonts w:ascii="Times New Roman" w:eastAsia="Times New Roman" w:hAnsi="Times New Roman" w:cs="Times New Roman"/>
          <w:b/>
          <w:bCs/>
          <w:sz w:val="22"/>
          <w:szCs w:val="22"/>
        </w:rPr>
        <w:t xml:space="preserve"> </w:t>
      </w:r>
      <w:proofErr w:type="spellStart"/>
      <w:r>
        <w:rPr>
          <w:rFonts w:ascii="Times New Roman" w:eastAsia="Times New Roman" w:hAnsi="Times New Roman" w:cs="Times New Roman"/>
          <w:b/>
          <w:bCs/>
          <w:sz w:val="22"/>
          <w:szCs w:val="22"/>
        </w:rPr>
        <w:t>univerzita</w:t>
      </w:r>
      <w:proofErr w:type="spellEnd"/>
      <w:r>
        <w:rPr>
          <w:rFonts w:ascii="Times New Roman" w:eastAsia="Times New Roman" w:hAnsi="Times New Roman" w:cs="Times New Roman"/>
          <w:b/>
          <w:bCs/>
          <w:sz w:val="22"/>
          <w:szCs w:val="22"/>
        </w:rPr>
        <w:t xml:space="preserve"> v </w:t>
      </w:r>
      <w:proofErr w:type="spellStart"/>
      <w:r>
        <w:rPr>
          <w:rFonts w:ascii="Times New Roman" w:eastAsia="Times New Roman" w:hAnsi="Times New Roman" w:cs="Times New Roman"/>
          <w:b/>
          <w:bCs/>
          <w:sz w:val="22"/>
          <w:szCs w:val="22"/>
        </w:rPr>
        <w:t>Praze</w:t>
      </w:r>
      <w:proofErr w:type="spellEnd"/>
      <w:r>
        <w:rPr>
          <w:rFonts w:ascii="Times New Roman" w:eastAsia="Times New Roman" w:hAnsi="Times New Roman" w:cs="Times New Roman"/>
          <w:sz w:val="22"/>
          <w:szCs w:val="22"/>
        </w:rPr>
        <w:t xml:space="preserve"> </w:t>
      </w:r>
    </w:p>
    <w:p w14:paraId="10AB2307"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ID No.: </w:t>
      </w:r>
      <w:r>
        <w:rPr>
          <w:rFonts w:ascii="Times New Roman" w:eastAsia="Times New Roman" w:hAnsi="Times New Roman" w:cs="Times New Roman"/>
          <w:sz w:val="22"/>
          <w:szCs w:val="22"/>
          <w:highlight w:val="white"/>
        </w:rPr>
        <w:t>60460709</w:t>
      </w:r>
    </w:p>
    <w:p w14:paraId="10AB2308"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VAT ID No.: CZ60460709</w:t>
      </w:r>
    </w:p>
    <w:p w14:paraId="10AB2309"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Registered office: </w:t>
      </w:r>
      <w:proofErr w:type="spellStart"/>
      <w:r>
        <w:rPr>
          <w:rFonts w:ascii="Times New Roman" w:eastAsia="Times New Roman" w:hAnsi="Times New Roman" w:cs="Times New Roman"/>
          <w:sz w:val="22"/>
          <w:szCs w:val="22"/>
        </w:rPr>
        <w:t>Kamýcká</w:t>
      </w:r>
      <w:proofErr w:type="spellEnd"/>
      <w:r>
        <w:rPr>
          <w:rFonts w:ascii="Times New Roman" w:eastAsia="Times New Roman" w:hAnsi="Times New Roman" w:cs="Times New Roman"/>
          <w:sz w:val="22"/>
          <w:szCs w:val="22"/>
        </w:rPr>
        <w:t xml:space="preserve"> 129, 165 00 Praha 6 – </w:t>
      </w:r>
      <w:proofErr w:type="spellStart"/>
      <w:r>
        <w:rPr>
          <w:rFonts w:ascii="Times New Roman" w:eastAsia="Times New Roman" w:hAnsi="Times New Roman" w:cs="Times New Roman"/>
          <w:sz w:val="22"/>
          <w:szCs w:val="22"/>
        </w:rPr>
        <w:t>Suchdol</w:t>
      </w:r>
      <w:proofErr w:type="spellEnd"/>
      <w:r>
        <w:rPr>
          <w:rFonts w:ascii="Times New Roman" w:eastAsia="Times New Roman" w:hAnsi="Times New Roman" w:cs="Times New Roman"/>
          <w:sz w:val="22"/>
          <w:szCs w:val="22"/>
        </w:rPr>
        <w:t>, Czech Republic</w:t>
      </w:r>
    </w:p>
    <w:p w14:paraId="10AB230A"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Represented by: Ing. Vladimír Albrecht, Bursar</w:t>
      </w:r>
    </w:p>
    <w:p w14:paraId="10AB230B" w14:textId="7CD7A948"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Phone: </w:t>
      </w:r>
      <w:r>
        <w:rPr>
          <w:rFonts w:ascii="Times New Roman" w:eastAsia="Times New Roman" w:hAnsi="Times New Roman" w:cs="Times New Roman"/>
          <w:sz w:val="22"/>
          <w:szCs w:val="22"/>
          <w:highlight w:val="white"/>
        </w:rPr>
        <w:t xml:space="preserve">+420 </w:t>
      </w:r>
      <w:r w:rsidR="00755719">
        <w:rPr>
          <w:rFonts w:ascii="Times New Roman" w:eastAsia="Times New Roman" w:hAnsi="Times New Roman" w:cs="Times New Roman"/>
          <w:sz w:val="22"/>
          <w:szCs w:val="22"/>
        </w:rPr>
        <w:t>XXXXX</w:t>
      </w:r>
    </w:p>
    <w:p w14:paraId="10AB230C" w14:textId="77777777" w:rsidR="00A862C6" w:rsidRDefault="006C6030">
      <w:pPr>
        <w:spacing w:before="240"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(hereinafter referred to as the "</w:t>
      </w:r>
      <w:r>
        <w:rPr>
          <w:rFonts w:ascii="Times New Roman" w:eastAsia="Times New Roman" w:hAnsi="Times New Roman" w:cs="Times New Roman"/>
          <w:b/>
          <w:bCs/>
          <w:sz w:val="22"/>
          <w:szCs w:val="22"/>
        </w:rPr>
        <w:t>Client</w:t>
      </w:r>
      <w:r>
        <w:rPr>
          <w:rFonts w:ascii="Times New Roman" w:eastAsia="Times New Roman" w:hAnsi="Times New Roman" w:cs="Times New Roman"/>
          <w:sz w:val="22"/>
          <w:szCs w:val="22"/>
        </w:rPr>
        <w:t>")</w:t>
      </w:r>
    </w:p>
    <w:p w14:paraId="10AB230D" w14:textId="77777777" w:rsidR="00A862C6" w:rsidRDefault="006C6030">
      <w:pPr>
        <w:spacing w:before="240" w:after="24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(the Client and the Contractor are hereinafter collectively referred to as the "</w:t>
      </w:r>
      <w:r>
        <w:rPr>
          <w:rFonts w:ascii="Times New Roman" w:eastAsia="Times New Roman" w:hAnsi="Times New Roman" w:cs="Times New Roman"/>
          <w:b/>
          <w:bCs/>
          <w:sz w:val="22"/>
          <w:szCs w:val="22"/>
        </w:rPr>
        <w:t>Parties</w:t>
      </w:r>
      <w:r>
        <w:rPr>
          <w:rFonts w:ascii="Times New Roman" w:eastAsia="Times New Roman" w:hAnsi="Times New Roman" w:cs="Times New Roman"/>
          <w:sz w:val="22"/>
          <w:szCs w:val="22"/>
        </w:rPr>
        <w:t>" and individually as a "</w:t>
      </w:r>
      <w:r>
        <w:rPr>
          <w:rFonts w:ascii="Times New Roman" w:eastAsia="Times New Roman" w:hAnsi="Times New Roman" w:cs="Times New Roman"/>
          <w:b/>
          <w:bCs/>
          <w:sz w:val="22"/>
          <w:szCs w:val="22"/>
        </w:rPr>
        <w:t>Party</w:t>
      </w:r>
      <w:r>
        <w:rPr>
          <w:rFonts w:ascii="Times New Roman" w:eastAsia="Times New Roman" w:hAnsi="Times New Roman" w:cs="Times New Roman"/>
          <w:sz w:val="22"/>
          <w:szCs w:val="22"/>
        </w:rPr>
        <w:t>")</w:t>
      </w:r>
    </w:p>
    <w:p w14:paraId="10AB230E"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Considering that:</w:t>
      </w:r>
    </w:p>
    <w:p w14:paraId="10AB230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the Contractor is a professional digital marketing agency with experience and expertise in digital marketing and international student recruitment campaigns;</w:t>
      </w:r>
    </w:p>
    <w:p w14:paraId="10AB2310"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the Client wishes to procure digital marketing services supporting its international student recruitment objectives under the terms of this Agreement;</w:t>
      </w:r>
    </w:p>
    <w:p w14:paraId="10AB2311"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sz w:val="22"/>
          <w:szCs w:val="22"/>
        </w:rPr>
        <w:t>the Parties agree as follows:</w:t>
      </w:r>
    </w:p>
    <w:p w14:paraId="10AB2312"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II.</w:t>
      </w:r>
    </w:p>
    <w:p w14:paraId="10AB2313"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Subject of the Agreement</w:t>
      </w:r>
    </w:p>
    <w:p w14:paraId="10AB231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Subject to the terms of this Agreement, the Contractor shall provide: (a) University Recruitment Operations; and (b) individual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-level services consisting of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w:t>
      </w:r>
      <w:proofErr w:type="spellStart"/>
      <w:r>
        <w:rPr>
          <w:rFonts w:ascii="Times New Roman" w:eastAsia="Times New Roman" w:hAnsi="Times New Roman" w:cs="Times New Roman"/>
          <w:sz w:val="22"/>
          <w:szCs w:val="22"/>
        </w:rPr>
        <w:lastRenderedPageBreak/>
        <w:t>Programme</w:t>
      </w:r>
      <w:proofErr w:type="spellEnd"/>
      <w:r>
        <w:rPr>
          <w:rFonts w:ascii="Times New Roman" w:eastAsia="Times New Roman" w:hAnsi="Times New Roman" w:cs="Times New Roman"/>
          <w:sz w:val="22"/>
          <w:szCs w:val="22"/>
        </w:rPr>
        <w:t xml:space="preserve"> Operations and Campaign Refresh, in each case solely within the scope described in paragraphs 2.1 to 2.4 of this Article. Instructions or requests from the Client that fall outside the expressly agreed scope shall not form part of the Contractor's obligations unless the Parties agree in writing on the additional scope, price and delivery schedule.</w:t>
      </w:r>
    </w:p>
    <w:p w14:paraId="10AB231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As part of the performance under this Agreement, the Contractor further undertakes to ensure the services listed below:</w:t>
      </w:r>
    </w:p>
    <w:p w14:paraId="10AB2316" w14:textId="77777777" w:rsidR="00A862C6" w:rsidRDefault="006C6030">
      <w:pPr>
        <w:pStyle w:val="Nadpis1"/>
        <w:keepNext w:val="0"/>
        <w:keepLines w:val="0"/>
        <w:spacing w:line="276" w:lineRule="auto"/>
        <w:rPr>
          <w:rFonts w:ascii="Times New Roman" w:eastAsia="Times New Roman" w:hAnsi="Times New Roman" w:cs="Times New Roman"/>
          <w:b w:val="0"/>
          <w:bCs w:val="0"/>
          <w:sz w:val="22"/>
          <w:szCs w:val="22"/>
        </w:rPr>
      </w:pPr>
      <w:bookmarkStart w:id="0" w:name="_heading=h.ly14utsuckh9" w:colFirst="0" w:colLast="0"/>
      <w:bookmarkEnd w:id="0"/>
      <w:r>
        <w:rPr>
          <w:rFonts w:ascii="Times New Roman" w:eastAsia="Times New Roman" w:hAnsi="Times New Roman" w:cs="Times New Roman"/>
          <w:b w:val="0"/>
          <w:bCs w:val="0"/>
          <w:sz w:val="22"/>
          <w:szCs w:val="22"/>
        </w:rPr>
        <w:t>2.1. University Recruitment Operations - Supports the operation of the university-wide recruitment ecosystem.</w:t>
      </w:r>
    </w:p>
    <w:p w14:paraId="10AB2317" w14:textId="77777777" w:rsidR="00A862C6" w:rsidRDefault="006C6030">
      <w:pPr>
        <w:pStyle w:val="Nadpis3"/>
        <w:keepNext w:val="0"/>
        <w:keepLines w:val="0"/>
        <w:spacing w:line="276" w:lineRule="auto"/>
        <w:rPr>
          <w:rFonts w:ascii="Times New Roman" w:eastAsia="Times New Roman" w:hAnsi="Times New Roman" w:cs="Times New Roman"/>
          <w:b w:val="0"/>
          <w:bCs w:val="0"/>
          <w:sz w:val="22"/>
          <w:szCs w:val="22"/>
        </w:rPr>
      </w:pPr>
      <w:bookmarkStart w:id="1" w:name="_heading=h.j528sc41u6wd" w:colFirst="0" w:colLast="0"/>
      <w:bookmarkEnd w:id="1"/>
      <w:r>
        <w:rPr>
          <w:rFonts w:ascii="Times New Roman" w:eastAsia="Times New Roman" w:hAnsi="Times New Roman" w:cs="Times New Roman"/>
          <w:b w:val="0"/>
          <w:bCs w:val="0"/>
          <w:sz w:val="22"/>
          <w:szCs w:val="22"/>
        </w:rPr>
        <w:t>Included outputs</w:t>
      </w:r>
    </w:p>
    <w:p w14:paraId="10AB2318" w14:textId="77777777" w:rsidR="00A862C6" w:rsidRDefault="006C6030">
      <w:pPr>
        <w:numPr>
          <w:ilvl w:val="0"/>
          <w:numId w:val="4"/>
        </w:numPr>
        <w:spacing w:before="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University (CZU) brand campaign management and </w:t>
      </w:r>
      <w:proofErr w:type="spellStart"/>
      <w:r>
        <w:rPr>
          <w:rFonts w:ascii="Times New Roman" w:eastAsia="Times New Roman" w:hAnsi="Times New Roman" w:cs="Times New Roman"/>
          <w:sz w:val="22"/>
          <w:szCs w:val="22"/>
        </w:rPr>
        <w:t>optimisation</w:t>
      </w:r>
      <w:proofErr w:type="spellEnd"/>
    </w:p>
    <w:p w14:paraId="10AB2319" w14:textId="77777777" w:rsidR="00A862C6" w:rsidRDefault="006C6030">
      <w:pPr>
        <w:numPr>
          <w:ilvl w:val="0"/>
          <w:numId w:val="4"/>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Recruitment dashboard (Looker Studio)</w:t>
      </w:r>
    </w:p>
    <w:p w14:paraId="10AB231A" w14:textId="77777777" w:rsidR="00A862C6" w:rsidRDefault="006C6030">
      <w:pPr>
        <w:numPr>
          <w:ilvl w:val="0"/>
          <w:numId w:val="4"/>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Monthly reporting</w:t>
      </w:r>
    </w:p>
    <w:p w14:paraId="10AB231B" w14:textId="77777777" w:rsidR="00A862C6" w:rsidRDefault="006C6030">
      <w:pPr>
        <w:numPr>
          <w:ilvl w:val="0"/>
          <w:numId w:val="4"/>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Recruitment intelligence</w:t>
      </w:r>
    </w:p>
    <w:p w14:paraId="10AB231C" w14:textId="77777777" w:rsidR="00A862C6" w:rsidRDefault="006C6030">
      <w:pPr>
        <w:numPr>
          <w:ilvl w:val="0"/>
          <w:numId w:val="4"/>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Strategic consultations</w:t>
      </w:r>
    </w:p>
    <w:p w14:paraId="10AB231D" w14:textId="77777777" w:rsidR="00A862C6" w:rsidRDefault="006C6030">
      <w:pPr>
        <w:numPr>
          <w:ilvl w:val="0"/>
          <w:numId w:val="4"/>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Coordination with the Rectorate</w:t>
      </w:r>
    </w:p>
    <w:p w14:paraId="10AB231E" w14:textId="77777777" w:rsidR="00A862C6" w:rsidRDefault="006C6030">
      <w:pPr>
        <w:numPr>
          <w:ilvl w:val="0"/>
          <w:numId w:val="4"/>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Planning for upcoming recruitment campaigns</w:t>
      </w:r>
    </w:p>
    <w:p w14:paraId="10AB231F" w14:textId="77777777" w:rsidR="00A862C6" w:rsidRDefault="006C6030">
      <w:pPr>
        <w:numPr>
          <w:ilvl w:val="0"/>
          <w:numId w:val="4"/>
        </w:num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Cross-faculty coordination and knowledge transfer</w:t>
      </w:r>
    </w:p>
    <w:p w14:paraId="10AB2320"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the avoidance of doubt, University Recruitment Operations are university-wide and system-level services. They include the management and </w:t>
      </w:r>
      <w:proofErr w:type="spellStart"/>
      <w:r>
        <w:rPr>
          <w:rFonts w:ascii="Times New Roman" w:eastAsia="Times New Roman" w:hAnsi="Times New Roman" w:cs="Times New Roman"/>
          <w:sz w:val="22"/>
          <w:szCs w:val="22"/>
        </w:rPr>
        <w:t>optimisation</w:t>
      </w:r>
      <w:proofErr w:type="spellEnd"/>
      <w:r>
        <w:rPr>
          <w:rFonts w:ascii="Times New Roman" w:eastAsia="Times New Roman" w:hAnsi="Times New Roman" w:cs="Times New Roman"/>
          <w:sz w:val="22"/>
          <w:szCs w:val="22"/>
        </w:rPr>
        <w:t xml:space="preserve"> of the central CZU recruitment ecosystem, CZU brand campaigns, university-wide reporting, recruitment intelligence, strategic planning and coordination.</w:t>
      </w:r>
    </w:p>
    <w:p w14:paraId="10AB2321" w14:textId="77777777" w:rsidR="00A862C6" w:rsidRDefault="006C6030">
      <w:pPr>
        <w:spacing w:before="240" w:after="24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Seasonal Service Capacity</w:t>
      </w:r>
    </w:p>
    <w:p w14:paraId="10AB2322"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For the purposes of University Recruitment Operations:</w:t>
      </w:r>
    </w:p>
    <w:p w14:paraId="10AB2323"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“High Season” means September through March, inclusive; and</w:t>
      </w:r>
    </w:p>
    <w:p w14:paraId="10AB232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“Low Season” means April through August, inclusive.</w:t>
      </w:r>
    </w:p>
    <w:p w14:paraId="10AB232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detailed monthly service capacity and corresponding values are set out in Annex No. 1, which forms an integral part of this Agreement.</w:t>
      </w:r>
    </w:p>
    <w:p w14:paraId="10AB2326"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reference calculation rate is CZK 1,500 per hour. The stated hours represent the agreed monthly service capacity and the basis for calculating the applicable fixed monthly fee. The fixed monthly fee is not calculated according to the number of hours </w:t>
      </w:r>
      <w:proofErr w:type="gramStart"/>
      <w:r>
        <w:rPr>
          <w:rFonts w:ascii="Times New Roman" w:eastAsia="Times New Roman" w:hAnsi="Times New Roman" w:cs="Times New Roman"/>
          <w:sz w:val="22"/>
          <w:szCs w:val="22"/>
        </w:rPr>
        <w:t xml:space="preserve">actually </w:t>
      </w:r>
      <w:proofErr w:type="spellStart"/>
      <w:r>
        <w:rPr>
          <w:rFonts w:ascii="Times New Roman" w:eastAsia="Times New Roman" w:hAnsi="Times New Roman" w:cs="Times New Roman"/>
          <w:sz w:val="22"/>
          <w:szCs w:val="22"/>
        </w:rPr>
        <w:t>utilised</w:t>
      </w:r>
      <w:proofErr w:type="spellEnd"/>
      <w:proofErr w:type="gramEnd"/>
      <w:r>
        <w:rPr>
          <w:rFonts w:ascii="Times New Roman" w:eastAsia="Times New Roman" w:hAnsi="Times New Roman" w:cs="Times New Roman"/>
          <w:sz w:val="22"/>
          <w:szCs w:val="22"/>
        </w:rPr>
        <w:t xml:space="preserve"> by the Client.</w:t>
      </w:r>
    </w:p>
    <w:p w14:paraId="10AB2327" w14:textId="149F1B70"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Unused service capacity may be carried forward for up to three (3) consecutive Service Months following the month in which the capacity was originally allocated. Any carried-forward capacity shall expire thereafter.</w:t>
      </w:r>
    </w:p>
    <w:p w14:paraId="10AB2328" w14:textId="77777777" w:rsidR="00A862C6" w:rsidRDefault="006C6030">
      <w:pPr>
        <w:spacing w:after="120"/>
        <w:jc w:val="both"/>
      </w:pPr>
      <w:r>
        <w:rPr>
          <w:rFonts w:ascii="Times New Roman" w:eastAsia="Times New Roman" w:hAnsi="Times New Roman" w:cs="Times New Roman"/>
          <w:sz w:val="22"/>
          <w:szCs w:val="22"/>
        </w:rPr>
        <w:t xml:space="preserve">The consultation entitlements included in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and Campaign Refresh are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-level Services and are separate from the seasonal University Recruitment Operations capacity stated in Annex No. 1.</w:t>
      </w:r>
    </w:p>
    <w:p w14:paraId="10AB2329"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University Recruitment Operations do not include the launch, day-to-day operation, </w:t>
      </w:r>
      <w:proofErr w:type="spellStart"/>
      <w:r>
        <w:rPr>
          <w:rFonts w:ascii="Times New Roman" w:eastAsia="Times New Roman" w:hAnsi="Times New Roman" w:cs="Times New Roman"/>
          <w:sz w:val="22"/>
          <w:szCs w:val="22"/>
        </w:rPr>
        <w:t>optimisation</w:t>
      </w:r>
      <w:proofErr w:type="spellEnd"/>
      <w:r>
        <w:rPr>
          <w:rFonts w:ascii="Times New Roman" w:eastAsia="Times New Roman" w:hAnsi="Times New Roman" w:cs="Times New Roman"/>
          <w:sz w:val="22"/>
          <w:szCs w:val="22"/>
        </w:rPr>
        <w:t xml:space="preserve"> or refresh of an individual study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Such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-level activities constitute separately chargeable services under paragraphs 2.2 to 2.4 and Article IV.</w:t>
      </w:r>
    </w:p>
    <w:p w14:paraId="10AB232A" w14:textId="77777777" w:rsidR="00A862C6" w:rsidRDefault="006C6030">
      <w:pPr>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2.2.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 The initial implementation of an individual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into the recruitment ecosystem.</w:t>
      </w:r>
    </w:p>
    <w:p w14:paraId="10AB232B" w14:textId="77777777" w:rsidR="00A862C6" w:rsidRDefault="006C6030">
      <w:pPr>
        <w:spacing w:before="240" w:after="240" w:line="276" w:lineRule="auto"/>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establishes the recruitment foundation for each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Once implemented, the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only requires ongoing </w:t>
      </w:r>
      <w:proofErr w:type="spellStart"/>
      <w:r>
        <w:rPr>
          <w:rFonts w:ascii="Times New Roman" w:eastAsia="Times New Roman" w:hAnsi="Times New Roman" w:cs="Times New Roman"/>
          <w:sz w:val="22"/>
          <w:szCs w:val="22"/>
        </w:rPr>
        <w:t>optimisation</w:t>
      </w:r>
      <w:proofErr w:type="spellEnd"/>
      <w:r>
        <w:rPr>
          <w:rFonts w:ascii="Times New Roman" w:eastAsia="Times New Roman" w:hAnsi="Times New Roman" w:cs="Times New Roman"/>
          <w:sz w:val="22"/>
          <w:szCs w:val="22"/>
        </w:rPr>
        <w:t xml:space="preserve"> and periodic creative refreshes rather than repeating the initial setup.</w:t>
      </w:r>
    </w:p>
    <w:p w14:paraId="10AB232C"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Included outputs:</w:t>
      </w:r>
    </w:p>
    <w:p w14:paraId="10AB232D" w14:textId="77777777" w:rsidR="00A862C6" w:rsidRDefault="006C6030">
      <w:pPr>
        <w:numPr>
          <w:ilvl w:val="0"/>
          <w:numId w:val="8"/>
        </w:numPr>
        <w:spacing w:line="276" w:lineRule="auto"/>
        <w:jc w:val="both"/>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Discovery</w:t>
      </w:r>
    </w:p>
    <w:p w14:paraId="10AB232E" w14:textId="77777777" w:rsidR="00A862C6" w:rsidRDefault="006C6030">
      <w:pPr>
        <w:numPr>
          <w:ilvl w:val="0"/>
          <w:numId w:val="8"/>
        </w:numPr>
        <w:spacing w:line="276" w:lineRule="auto"/>
        <w:jc w:val="both"/>
      </w:pPr>
      <w:r>
        <w:rPr>
          <w:rFonts w:ascii="Times New Roman" w:eastAsia="Times New Roman" w:hAnsi="Times New Roman" w:cs="Times New Roman"/>
          <w:sz w:val="22"/>
          <w:szCs w:val="22"/>
        </w:rPr>
        <w:t xml:space="preserve">Review of available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information</w:t>
      </w:r>
    </w:p>
    <w:p w14:paraId="10AB232F" w14:textId="77777777" w:rsidR="00A862C6" w:rsidRDefault="006C6030">
      <w:pPr>
        <w:numPr>
          <w:ilvl w:val="0"/>
          <w:numId w:val="8"/>
        </w:numPr>
        <w:spacing w:line="276" w:lineRule="auto"/>
        <w:jc w:val="both"/>
      </w:pPr>
      <w:r>
        <w:rPr>
          <w:rFonts w:ascii="Times New Roman" w:eastAsia="Times New Roman" w:hAnsi="Times New Roman" w:cs="Times New Roman"/>
          <w:sz w:val="22"/>
          <w:szCs w:val="22"/>
        </w:rPr>
        <w:t>Review of historical campaign data (where available)</w:t>
      </w:r>
    </w:p>
    <w:p w14:paraId="10AB2330" w14:textId="77777777" w:rsidR="00A862C6" w:rsidRDefault="006C6030">
      <w:pPr>
        <w:numPr>
          <w:ilvl w:val="0"/>
          <w:numId w:val="8"/>
        </w:numPr>
        <w:spacing w:line="276" w:lineRule="auto"/>
        <w:jc w:val="both"/>
      </w:pPr>
      <w:r>
        <w:rPr>
          <w:rFonts w:ascii="Times New Roman" w:eastAsia="Times New Roman" w:hAnsi="Times New Roman" w:cs="Times New Roman"/>
          <w:sz w:val="22"/>
          <w:szCs w:val="22"/>
        </w:rPr>
        <w:t>Review of website and landing pages</w:t>
      </w:r>
    </w:p>
    <w:p w14:paraId="10AB2331" w14:textId="77777777" w:rsidR="00A862C6" w:rsidRDefault="006C6030">
      <w:pPr>
        <w:numPr>
          <w:ilvl w:val="0"/>
          <w:numId w:val="8"/>
        </w:numPr>
        <w:spacing w:line="276" w:lineRule="auto"/>
        <w:jc w:val="both"/>
      </w:pPr>
      <w:r>
        <w:rPr>
          <w:rFonts w:ascii="Times New Roman" w:eastAsia="Times New Roman" w:hAnsi="Times New Roman" w:cs="Times New Roman"/>
          <w:sz w:val="22"/>
          <w:szCs w:val="22"/>
        </w:rPr>
        <w:t>Review of Meta Insights and Google Analytics (where available)</w:t>
      </w:r>
    </w:p>
    <w:p w14:paraId="10AB2332" w14:textId="77777777" w:rsidR="00A862C6" w:rsidRDefault="006C6030">
      <w:pPr>
        <w:numPr>
          <w:ilvl w:val="0"/>
          <w:numId w:val="8"/>
        </w:numPr>
        <w:spacing w:line="276" w:lineRule="auto"/>
        <w:jc w:val="both"/>
      </w:pPr>
      <w:r>
        <w:rPr>
          <w:rFonts w:ascii="Times New Roman" w:eastAsia="Times New Roman" w:hAnsi="Times New Roman" w:cs="Times New Roman"/>
          <w:sz w:val="22"/>
          <w:szCs w:val="22"/>
        </w:rPr>
        <w:t xml:space="preserve">Development or refinement of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audience profile</w:t>
      </w:r>
    </w:p>
    <w:p w14:paraId="10AB2333" w14:textId="77777777" w:rsidR="00A862C6" w:rsidRDefault="006C6030">
      <w:pPr>
        <w:numPr>
          <w:ilvl w:val="0"/>
          <w:numId w:val="8"/>
        </w:numPr>
        <w:spacing w:line="276" w:lineRule="auto"/>
        <w:jc w:val="both"/>
      </w:pPr>
      <w:r>
        <w:rPr>
          <w:rFonts w:ascii="Times New Roman" w:eastAsia="Times New Roman" w:hAnsi="Times New Roman" w:cs="Times New Roman"/>
          <w:sz w:val="22"/>
          <w:szCs w:val="22"/>
        </w:rPr>
        <w:t xml:space="preserve">Development of the initial measurement framework and provisional KPI categories, followed by the establishment of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-specific KPIs once tracking has been implemented and sufficient historical campaign data has been collected.</w:t>
      </w:r>
    </w:p>
    <w:p w14:paraId="10AB2334" w14:textId="77777777" w:rsidR="00A862C6" w:rsidRDefault="006C6030">
      <w:pPr>
        <w:numPr>
          <w:ilvl w:val="0"/>
          <w:numId w:val="8"/>
        </w:numPr>
        <w:spacing w:after="240" w:line="276" w:lineRule="auto"/>
        <w:jc w:val="both"/>
      </w:pPr>
      <w:r>
        <w:rPr>
          <w:rFonts w:ascii="Times New Roman" w:eastAsia="Times New Roman" w:hAnsi="Times New Roman" w:cs="Times New Roman"/>
          <w:sz w:val="22"/>
          <w:szCs w:val="22"/>
        </w:rPr>
        <w:t xml:space="preserve">Identification of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value propositions</w:t>
      </w:r>
    </w:p>
    <w:p w14:paraId="10AB233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(For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without historical data, audience profiles are developed using available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information and market research. For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with historical campaign data, existing insights are used to refine targeting and messaging.)</w:t>
      </w:r>
    </w:p>
    <w:p w14:paraId="10AB2336" w14:textId="77777777" w:rsidR="00A862C6" w:rsidRDefault="006C6030">
      <w:pPr>
        <w:spacing w:before="240" w:after="240" w:line="276" w:lineRule="auto"/>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-specific KPIs shall be established after:</w:t>
      </w:r>
    </w:p>
    <w:p w14:paraId="10AB2337"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the agreed tracking, analytics and attribution infrastructure has been implemented, tested and confirmed as producing sufficiently complete and reliable data; and</w:t>
      </w:r>
    </w:p>
    <w:p w14:paraId="10AB2338"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the relevant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has generated sufficient historical performance data, normally after one (1) to two (2) complete months of active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w:t>
      </w:r>
    </w:p>
    <w:p w14:paraId="10AB2339"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Until these conditions have been satisfied, any KPI targets, performance expectations or budget estimates shall be treated as provisional planning assumptions only and shall not constitute binding performance commitments.</w:t>
      </w:r>
    </w:p>
    <w:p w14:paraId="10AB233A"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Following the initial data-collection period, the Contractor shall use the available historical data to prepare reasonable Ad Spend scenarios and corresponding forecast ranges for the relevant KPIs. This analysis shall allow the Parties to estimate the level of Ad Spend reasonably required to pursue </w:t>
      </w:r>
      <w:proofErr w:type="gramStart"/>
      <w:r>
        <w:rPr>
          <w:rFonts w:ascii="Times New Roman" w:eastAsia="Times New Roman" w:hAnsi="Times New Roman" w:cs="Times New Roman"/>
          <w:sz w:val="22"/>
          <w:szCs w:val="22"/>
        </w:rPr>
        <w:t>particular KPI</w:t>
      </w:r>
      <w:proofErr w:type="gramEnd"/>
      <w:r>
        <w:rPr>
          <w:rFonts w:ascii="Times New Roman" w:eastAsia="Times New Roman" w:hAnsi="Times New Roman" w:cs="Times New Roman"/>
          <w:sz w:val="22"/>
          <w:szCs w:val="22"/>
        </w:rPr>
        <w:t xml:space="preserve"> ranges.</w:t>
      </w:r>
    </w:p>
    <w:p w14:paraId="10AB233B"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agreed KPI framework and the corresponding indicative Ad Spend scenarios shall be recorded in the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or another written document approved by both Parties.</w:t>
      </w:r>
    </w:p>
    <w:p w14:paraId="10AB233C"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Any KPI forecast or Ad Spend scenario constitutes a reasonable professional estimate based on the information available at the time and is not a guarantee of actual performance. Actual results may be </w:t>
      </w:r>
      <w:r>
        <w:rPr>
          <w:rFonts w:ascii="Times New Roman" w:eastAsia="Times New Roman" w:hAnsi="Times New Roman" w:cs="Times New Roman"/>
          <w:sz w:val="22"/>
          <w:szCs w:val="22"/>
        </w:rPr>
        <w:lastRenderedPageBreak/>
        <w:t>affected by seasonality, market demand, competition, audience characteristics, advertising-platform changes, website performance, conversion processes, the Client’s cooperation and other circumstances outside the Contractor’s reasonable control.</w:t>
      </w:r>
    </w:p>
    <w:p w14:paraId="10AB233D" w14:textId="36EC471E" w:rsidR="00A862C6" w:rsidRDefault="006C6030">
      <w:pPr>
        <w:spacing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Client is responsible for implementing, configuring, maintaining and testing tracking within its websites, application systems and closed information-technology infrastructure, including its consent-management platform, data layer and server-side systems. The Client shall grant the Contractor timely access or partner access to all advertising, analytics and reporting platforms and assets reasonably required for the Services, including, where applicable, Google Ads, Google Analytics, Looker Studio, Meta, TikTok and LinkedIn advertising accounts, tags, pixels and associated reporting data. The Contractor shall provide reasonable tracking specifications and support and may validate the signals visible within the platforms to which it has been granted access but shall not be responsible for implementation inside systems controlled by the Client.</w:t>
      </w:r>
    </w:p>
    <w:p w14:paraId="10AB233E" w14:textId="77777777" w:rsidR="00A862C6" w:rsidRDefault="006C6030">
      <w:pPr>
        <w:spacing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Within fifteen (15) business days after receiving complete access to the relevant advertising and analytics systems, the Contractor shall conduct an adequate initial review of the tracking configuration visible to it and notify the Client of any apparent deficiencies. The parties agreed that they will cooperate on removing all deficiencies found during the initial review or later during the campaign operations.</w:t>
      </w:r>
    </w:p>
    <w:p w14:paraId="10AB233F" w14:textId="77777777" w:rsidR="00A862C6" w:rsidRDefault="006C6030">
      <w:pPr>
        <w:spacing w:after="120"/>
        <w:jc w:val="both"/>
      </w:pPr>
      <w:r>
        <w:rPr>
          <w:rFonts w:ascii="Times New Roman" w:eastAsia="Times New Roman" w:hAnsi="Times New Roman" w:cs="Times New Roman"/>
          <w:sz w:val="22"/>
          <w:szCs w:val="22"/>
        </w:rPr>
        <w:t>Any delay in tracking implementation, access, consent configuration, data availability or other Client-controlled technical dependency shall correspondingly extend the data-collection period, KPI establishment date and affected delivery deadlines.</w:t>
      </w:r>
    </w:p>
    <w:p w14:paraId="10AB2340"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2.2.1. Campaign Setup</w:t>
      </w:r>
    </w:p>
    <w:p w14:paraId="10AB2341" w14:textId="77777777" w:rsidR="00A862C6" w:rsidRDefault="006C6030">
      <w:pPr>
        <w:numPr>
          <w:ilvl w:val="0"/>
          <w:numId w:val="1"/>
        </w:numPr>
        <w:spacing w:before="240" w:line="276" w:lineRule="auto"/>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messaging</w:t>
      </w:r>
    </w:p>
    <w:p w14:paraId="10AB2342"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Campaign copy</w:t>
      </w:r>
    </w:p>
    <w:p w14:paraId="10AB2343"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Campaign structure</w:t>
      </w:r>
    </w:p>
    <w:p w14:paraId="10AB2344"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Creative brief</w:t>
      </w:r>
    </w:p>
    <w:p w14:paraId="10AB2345"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Audience profile (learning)</w:t>
      </w:r>
    </w:p>
    <w:p w14:paraId="10AB2346"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Audience setup</w:t>
      </w:r>
    </w:p>
    <w:p w14:paraId="10AB2347"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Tracking specifications and platform-level validation support</w:t>
      </w:r>
    </w:p>
    <w:p w14:paraId="10AB2348"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Dashboard integration</w:t>
      </w:r>
    </w:p>
    <w:p w14:paraId="10AB2349"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Campaign and visual concept design</w:t>
      </w:r>
    </w:p>
    <w:p w14:paraId="10AB234A"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Design and platform-specific adaptation of campaign creatives required for the approved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based on the Client’s brand guidelines and source materials</w:t>
      </w:r>
    </w:p>
    <w:p w14:paraId="10AB234B" w14:textId="77777777" w:rsidR="00A862C6" w:rsidRDefault="006C6030">
      <w:pPr>
        <w:numPr>
          <w:ilvl w:val="0"/>
          <w:numId w:val="1"/>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Initial campaign launch</w:t>
      </w:r>
    </w:p>
    <w:p w14:paraId="10AB234C" w14:textId="77777777" w:rsidR="00A862C6" w:rsidRDefault="006C6030">
      <w:pPr>
        <w:numPr>
          <w:ilvl w:val="0"/>
          <w:numId w:val="1"/>
        </w:num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Initial QA</w:t>
      </w:r>
    </w:p>
    <w:p w14:paraId="10AB234D" w14:textId="77777777" w:rsidR="00A862C6" w:rsidRDefault="006C6030">
      <w:pPr>
        <w:spacing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design services included in the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comprise ordinary graphic design, resizing, copy layout and platform-specific adaptation of campaign creatives for the approved campaign structure. New creative concepts or assets required after the initial launch shall be provided as part of an approved Campaign Refresh. Original photography, filming, advanced animation, custom illustration, translation, printing and third-party production are excluded unless separately approved in writing.</w:t>
      </w:r>
    </w:p>
    <w:p w14:paraId="10AB234E"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2.2.2. Consultation</w:t>
      </w:r>
    </w:p>
    <w:p w14:paraId="10AB234F" w14:textId="77777777" w:rsidR="00A862C6" w:rsidRDefault="006C6030">
      <w:pPr>
        <w:numPr>
          <w:ilvl w:val="0"/>
          <w:numId w:val="6"/>
        </w:numPr>
        <w:spacing w:before="240" w:after="240" w:line="276" w:lineRule="auto"/>
        <w:rPr>
          <w:rFonts w:ascii="Arial" w:eastAsia="Arial" w:hAnsi="Arial" w:cs="Arial"/>
          <w:sz w:val="22"/>
          <w:szCs w:val="22"/>
        </w:rPr>
      </w:pPr>
      <w:r>
        <w:rPr>
          <w:rFonts w:ascii="Times New Roman" w:eastAsia="Times New Roman" w:hAnsi="Times New Roman" w:cs="Times New Roman"/>
          <w:sz w:val="22"/>
          <w:szCs w:val="22"/>
        </w:rPr>
        <w:t>Up to 2 hours with each faculty representative</w:t>
      </w:r>
    </w:p>
    <w:p w14:paraId="10AB2350" w14:textId="77777777" w:rsidR="00A862C6" w:rsidRDefault="006C6030">
      <w:pPr>
        <w:spacing w:before="240" w:after="240" w:line="276" w:lineRule="auto"/>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is provided once for each individual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when that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is first implemented and launched within the recruitment ecosystem. The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fee includes the outputs listed in this paragraph.</w:t>
      </w:r>
    </w:p>
    <w:p w14:paraId="10AB2351" w14:textId="77777777" w:rsidR="00A862C6" w:rsidRDefault="006C6030">
      <w:pPr>
        <w:spacing w:before="240" w:after="240" w:line="276" w:lineRule="auto"/>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lastRenderedPageBreak/>
        <w:t>Programme</w:t>
      </w:r>
      <w:proofErr w:type="spellEnd"/>
      <w:r>
        <w:rPr>
          <w:rFonts w:ascii="Times New Roman" w:eastAsia="Times New Roman" w:hAnsi="Times New Roman" w:cs="Times New Roman"/>
          <w:sz w:val="22"/>
          <w:szCs w:val="22"/>
        </w:rPr>
        <w:t xml:space="preserve"> Operations shall be provided and charged for each active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during every Service Month, including any month during which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or Campaign Refresh is also provided.</w:t>
      </w:r>
    </w:p>
    <w:p w14:paraId="10AB2352"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 may therefore be charged concurrently with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fee and/or Campaign Refresh fee. Each such service constitutes a separate service and shall be invoiced separately in accordance with Article IV.</w:t>
      </w:r>
    </w:p>
    <w:p w14:paraId="10AB2353"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2.3.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w:t>
      </w:r>
    </w:p>
    <w:p w14:paraId="10AB2354" w14:textId="77777777" w:rsidR="00A862C6" w:rsidRDefault="00A862C6">
      <w:pPr>
        <w:spacing w:line="276" w:lineRule="auto"/>
        <w:rPr>
          <w:rFonts w:ascii="Times New Roman" w:eastAsia="Times New Roman" w:hAnsi="Times New Roman" w:cs="Times New Roman"/>
          <w:sz w:val="22"/>
          <w:szCs w:val="22"/>
        </w:rPr>
      </w:pPr>
    </w:p>
    <w:p w14:paraId="10AB2355"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Included outputs</w:t>
      </w:r>
    </w:p>
    <w:p w14:paraId="10AB2356" w14:textId="77777777" w:rsidR="00A862C6" w:rsidRDefault="006C6030">
      <w:pPr>
        <w:numPr>
          <w:ilvl w:val="0"/>
          <w:numId w:val="9"/>
        </w:numPr>
        <w:spacing w:before="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Campaign </w:t>
      </w:r>
      <w:proofErr w:type="spellStart"/>
      <w:r>
        <w:rPr>
          <w:rFonts w:ascii="Times New Roman" w:eastAsia="Times New Roman" w:hAnsi="Times New Roman" w:cs="Times New Roman"/>
          <w:sz w:val="22"/>
          <w:szCs w:val="22"/>
        </w:rPr>
        <w:t>optimisation</w:t>
      </w:r>
      <w:proofErr w:type="spellEnd"/>
    </w:p>
    <w:p w14:paraId="10AB2357" w14:textId="77777777" w:rsidR="00A862C6" w:rsidRDefault="006C6030">
      <w:pPr>
        <w:numPr>
          <w:ilvl w:val="0"/>
          <w:numId w:val="9"/>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Budget </w:t>
      </w:r>
      <w:proofErr w:type="spellStart"/>
      <w:r>
        <w:rPr>
          <w:rFonts w:ascii="Times New Roman" w:eastAsia="Times New Roman" w:hAnsi="Times New Roman" w:cs="Times New Roman"/>
          <w:sz w:val="22"/>
          <w:szCs w:val="22"/>
        </w:rPr>
        <w:t>optimisation</w:t>
      </w:r>
      <w:proofErr w:type="spellEnd"/>
    </w:p>
    <w:p w14:paraId="10AB2358" w14:textId="77777777" w:rsidR="00A862C6" w:rsidRDefault="006C6030">
      <w:pPr>
        <w:numPr>
          <w:ilvl w:val="0"/>
          <w:numId w:val="9"/>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Audience </w:t>
      </w:r>
      <w:proofErr w:type="spellStart"/>
      <w:r>
        <w:rPr>
          <w:rFonts w:ascii="Times New Roman" w:eastAsia="Times New Roman" w:hAnsi="Times New Roman" w:cs="Times New Roman"/>
          <w:sz w:val="22"/>
          <w:szCs w:val="22"/>
        </w:rPr>
        <w:t>optimisation</w:t>
      </w:r>
      <w:proofErr w:type="spellEnd"/>
    </w:p>
    <w:p w14:paraId="10AB2359" w14:textId="77777777" w:rsidR="00A862C6" w:rsidRDefault="006C6030">
      <w:pPr>
        <w:numPr>
          <w:ilvl w:val="0"/>
          <w:numId w:val="9"/>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Reporting</w:t>
      </w:r>
    </w:p>
    <w:p w14:paraId="10AB235A" w14:textId="77777777" w:rsidR="00A862C6" w:rsidRDefault="006C6030">
      <w:pPr>
        <w:numPr>
          <w:ilvl w:val="0"/>
          <w:numId w:val="9"/>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Performance analysis &amp; updates</w:t>
      </w:r>
    </w:p>
    <w:p w14:paraId="10AB235B" w14:textId="77777777" w:rsidR="00A862C6" w:rsidRDefault="006C6030">
      <w:pPr>
        <w:numPr>
          <w:ilvl w:val="0"/>
          <w:numId w:val="9"/>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Monthly recommendations</w:t>
      </w:r>
    </w:p>
    <w:p w14:paraId="10AB235C" w14:textId="77777777" w:rsidR="00A862C6" w:rsidRDefault="006C6030">
      <w:pPr>
        <w:numPr>
          <w:ilvl w:val="0"/>
          <w:numId w:val="9"/>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Recruitment intelligence</w:t>
      </w:r>
    </w:p>
    <w:p w14:paraId="10AB235D" w14:textId="77777777" w:rsidR="00A862C6" w:rsidRDefault="006C6030">
      <w:pPr>
        <w:numPr>
          <w:ilvl w:val="0"/>
          <w:numId w:val="9"/>
        </w:numPr>
        <w:spacing w:after="240" w:line="276" w:lineRule="auto"/>
        <w:rPr>
          <w:rFonts w:ascii="Arial" w:eastAsia="Arial" w:hAnsi="Arial" w:cs="Arial"/>
          <w:sz w:val="22"/>
          <w:szCs w:val="22"/>
        </w:rPr>
      </w:pPr>
      <w:r>
        <w:rPr>
          <w:rFonts w:ascii="Times New Roman" w:eastAsia="Times New Roman" w:hAnsi="Times New Roman" w:cs="Times New Roman"/>
          <w:sz w:val="22"/>
          <w:szCs w:val="22"/>
        </w:rPr>
        <w:t>Up to 1 hour consultation per faculty per calendar month</w:t>
      </w:r>
    </w:p>
    <w:p w14:paraId="10AB235E" w14:textId="77777777" w:rsidR="00A862C6" w:rsidRDefault="006C6030">
      <w:pPr>
        <w:spacing w:before="240" w:after="240" w:line="276" w:lineRule="auto"/>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are provided and charged separately for each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and each calendar month during which that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remains active and is included in an approved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w:t>
      </w:r>
    </w:p>
    <w:p w14:paraId="10AB235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Contractor shall provide the following services in relation to the approved campaigns:</w:t>
      </w:r>
    </w:p>
    <w:p w14:paraId="62B21607"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setup and operation of approved campaigns;</w:t>
      </w:r>
    </w:p>
    <w:p w14:paraId="1D2C3A1C"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comprehensive market research;</w:t>
      </w:r>
    </w:p>
    <w:p w14:paraId="2B00B294"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development of a digital marketing strategy based on the Contractor’s professional knowledge and the approved advertising budgets;</w:t>
      </w:r>
    </w:p>
    <w:p w14:paraId="6D0B814E"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 management of the approved advertising budgets;</w:t>
      </w:r>
    </w:p>
    <w:p w14:paraId="4111F0FD"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regular monitoring and </w:t>
      </w:r>
      <w:proofErr w:type="spellStart"/>
      <w:r>
        <w:rPr>
          <w:rFonts w:ascii="Times New Roman" w:eastAsia="Times New Roman" w:hAnsi="Times New Roman" w:cs="Times New Roman"/>
          <w:sz w:val="22"/>
          <w:szCs w:val="22"/>
        </w:rPr>
        <w:t>optimisation</w:t>
      </w:r>
      <w:proofErr w:type="spellEnd"/>
      <w:r>
        <w:rPr>
          <w:rFonts w:ascii="Times New Roman" w:eastAsia="Times New Roman" w:hAnsi="Times New Roman" w:cs="Times New Roman"/>
          <w:sz w:val="22"/>
          <w:szCs w:val="22"/>
        </w:rPr>
        <w:t xml:space="preserve"> of campaign performance;</w:t>
      </w:r>
    </w:p>
    <w:p w14:paraId="4F9976CE"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 monthly reporting on the activities carried out;</w:t>
      </w:r>
    </w:p>
    <w:p w14:paraId="4E670BD6"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 provision of a shared Looker Studio dashboard, or another agreed reporting dashboard, enabling the Client to monitor campaign delivery and available marketing data on an ongoing basis;</w:t>
      </w:r>
    </w:p>
    <w:p w14:paraId="526F3618" w14:textId="77777777" w:rsidR="00DC4161"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 identification of tracking and performance issues and the use of commercially reasonable efforts to address them; and</w:t>
      </w:r>
    </w:p>
    <w:p w14:paraId="10AB2360" w14:textId="793A7389" w:rsidR="00A862C6" w:rsidRDefault="006C6030">
      <w:pPr>
        <w:spacing w:before="240" w:after="240" w:line="276" w:lineRule="auto"/>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i</w:t>
      </w:r>
      <w:proofErr w:type="spellEnd"/>
      <w:r>
        <w:rPr>
          <w:rFonts w:ascii="Times New Roman" w:eastAsia="Times New Roman" w:hAnsi="Times New Roman" w:cs="Times New Roman"/>
          <w:sz w:val="22"/>
          <w:szCs w:val="22"/>
        </w:rPr>
        <w:t>) recommendations and proposed corrective measures relating to digital marketing, as well as broader consultation and advice concerning the University’s organic growth, student-community development and student-recruitment ecosystem.</w:t>
      </w:r>
    </w:p>
    <w:p w14:paraId="10AB2361"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For the avoidance of doubt, the Contractor does not guarantee the achievement of any specific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KPIs or campaign results.</w:t>
      </w:r>
    </w:p>
    <w:p w14:paraId="10AB2362"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2.4. Campaign Refresh</w:t>
      </w:r>
    </w:p>
    <w:p w14:paraId="10AB2363"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Contractor may recommend a Campaign Refresh when campaign performance indicates that new messaging or creative assets are required. A Campaign Refresh shall be performed and charged only after written approval by the Client's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representative.</w:t>
      </w:r>
    </w:p>
    <w:p w14:paraId="10AB2364"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Included outputs</w:t>
      </w:r>
    </w:p>
    <w:p w14:paraId="10AB2365" w14:textId="77777777" w:rsidR="00A862C6" w:rsidRDefault="00A862C6">
      <w:pPr>
        <w:spacing w:line="276" w:lineRule="auto"/>
        <w:rPr>
          <w:rFonts w:ascii="Times New Roman" w:eastAsia="Times New Roman" w:hAnsi="Times New Roman" w:cs="Times New Roman"/>
          <w:sz w:val="22"/>
          <w:szCs w:val="22"/>
        </w:rPr>
      </w:pPr>
    </w:p>
    <w:p w14:paraId="10AB2366"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2.4.1. Campaign Review</w:t>
      </w:r>
    </w:p>
    <w:p w14:paraId="10AB2367" w14:textId="77777777" w:rsidR="00A862C6" w:rsidRDefault="006C6030">
      <w:pPr>
        <w:numPr>
          <w:ilvl w:val="0"/>
          <w:numId w:val="7"/>
        </w:numPr>
        <w:spacing w:before="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Review of campaign performance</w:t>
      </w:r>
    </w:p>
    <w:p w14:paraId="10AB2368" w14:textId="77777777" w:rsidR="00A862C6" w:rsidRDefault="006C6030">
      <w:pPr>
        <w:numPr>
          <w:ilvl w:val="0"/>
          <w:numId w:val="7"/>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Review of audience </w:t>
      </w:r>
      <w:proofErr w:type="spellStart"/>
      <w:r>
        <w:rPr>
          <w:rFonts w:ascii="Times New Roman" w:eastAsia="Times New Roman" w:hAnsi="Times New Roman" w:cs="Times New Roman"/>
          <w:sz w:val="22"/>
          <w:szCs w:val="22"/>
        </w:rPr>
        <w:t>behaviour</w:t>
      </w:r>
      <w:proofErr w:type="spellEnd"/>
    </w:p>
    <w:p w14:paraId="10AB2369" w14:textId="77777777" w:rsidR="00A862C6" w:rsidRDefault="006C6030">
      <w:pPr>
        <w:numPr>
          <w:ilvl w:val="0"/>
          <w:numId w:val="7"/>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Review of conversion data</w:t>
      </w:r>
    </w:p>
    <w:p w14:paraId="10AB236A" w14:textId="77777777" w:rsidR="00A862C6" w:rsidRDefault="006C6030">
      <w:pPr>
        <w:numPr>
          <w:ilvl w:val="0"/>
          <w:numId w:val="7"/>
        </w:num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Identification of </w:t>
      </w:r>
      <w:proofErr w:type="spellStart"/>
      <w:r>
        <w:rPr>
          <w:rFonts w:ascii="Times New Roman" w:eastAsia="Times New Roman" w:hAnsi="Times New Roman" w:cs="Times New Roman"/>
          <w:sz w:val="22"/>
          <w:szCs w:val="22"/>
        </w:rPr>
        <w:t>optimisation</w:t>
      </w:r>
      <w:proofErr w:type="spellEnd"/>
      <w:r>
        <w:rPr>
          <w:rFonts w:ascii="Times New Roman" w:eastAsia="Times New Roman" w:hAnsi="Times New Roman" w:cs="Times New Roman"/>
          <w:sz w:val="22"/>
          <w:szCs w:val="22"/>
        </w:rPr>
        <w:t xml:space="preserve"> opportunities</w:t>
      </w:r>
    </w:p>
    <w:p w14:paraId="10AB236B"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2.4.2. Creative Refresh</w:t>
      </w:r>
    </w:p>
    <w:p w14:paraId="10AB236C" w14:textId="77777777" w:rsidR="00A862C6" w:rsidRDefault="006C6030">
      <w:pPr>
        <w:numPr>
          <w:ilvl w:val="0"/>
          <w:numId w:val="3"/>
        </w:numPr>
        <w:spacing w:before="240" w:line="276" w:lineRule="auto"/>
        <w:rPr>
          <w:rFonts w:ascii="Arial" w:eastAsia="Arial" w:hAnsi="Arial" w:cs="Arial"/>
          <w:sz w:val="22"/>
          <w:szCs w:val="22"/>
        </w:rPr>
      </w:pPr>
      <w:r>
        <w:rPr>
          <w:rFonts w:ascii="Times New Roman" w:eastAsia="Times New Roman" w:hAnsi="Times New Roman" w:cs="Times New Roman"/>
          <w:sz w:val="22"/>
          <w:szCs w:val="22"/>
        </w:rPr>
        <w:t>Up to 5 creatives</w:t>
      </w:r>
    </w:p>
    <w:p w14:paraId="10AB236D" w14:textId="77777777" w:rsidR="00A862C6" w:rsidRDefault="006C6030">
      <w:pPr>
        <w:numPr>
          <w:ilvl w:val="0"/>
          <w:numId w:val="3"/>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1 video adaptation</w:t>
      </w:r>
    </w:p>
    <w:p w14:paraId="10AB236E" w14:textId="77777777" w:rsidR="00A862C6" w:rsidRDefault="006C6030">
      <w:pPr>
        <w:numPr>
          <w:ilvl w:val="0"/>
          <w:numId w:val="3"/>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Copy updates</w:t>
      </w:r>
    </w:p>
    <w:p w14:paraId="10AB236F" w14:textId="77777777" w:rsidR="00A862C6" w:rsidRDefault="006C6030">
      <w:pPr>
        <w:numPr>
          <w:ilvl w:val="0"/>
          <w:numId w:val="3"/>
        </w:num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Creative </w:t>
      </w:r>
      <w:proofErr w:type="spellStart"/>
      <w:r>
        <w:rPr>
          <w:rFonts w:ascii="Times New Roman" w:eastAsia="Times New Roman" w:hAnsi="Times New Roman" w:cs="Times New Roman"/>
          <w:sz w:val="22"/>
          <w:szCs w:val="22"/>
        </w:rPr>
        <w:t>optimisation</w:t>
      </w:r>
      <w:proofErr w:type="spellEnd"/>
    </w:p>
    <w:p w14:paraId="10AB2370" w14:textId="77777777" w:rsidR="00A862C6" w:rsidRDefault="006C6030">
      <w:pPr>
        <w:numPr>
          <w:ilvl w:val="0"/>
          <w:numId w:val="3"/>
        </w:numPr>
        <w:spacing w:after="240"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Campaign updates</w:t>
      </w:r>
    </w:p>
    <w:p w14:paraId="10AB2371" w14:textId="77777777" w:rsidR="00A862C6" w:rsidRDefault="006C603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2.4.3. Consultation</w:t>
      </w:r>
    </w:p>
    <w:p w14:paraId="10AB2372" w14:textId="77777777" w:rsidR="00A862C6" w:rsidRDefault="006C6030">
      <w:pPr>
        <w:numPr>
          <w:ilvl w:val="0"/>
          <w:numId w:val="2"/>
        </w:numPr>
        <w:spacing w:before="240" w:after="240" w:line="276" w:lineRule="auto"/>
        <w:rPr>
          <w:rFonts w:ascii="Arial" w:eastAsia="Arial" w:hAnsi="Arial" w:cs="Arial"/>
          <w:sz w:val="22"/>
          <w:szCs w:val="22"/>
        </w:rPr>
      </w:pPr>
      <w:r>
        <w:rPr>
          <w:rFonts w:ascii="Times New Roman" w:eastAsia="Times New Roman" w:hAnsi="Times New Roman" w:cs="Times New Roman"/>
          <w:sz w:val="22"/>
          <w:szCs w:val="22"/>
        </w:rPr>
        <w:t>Up to 1 hour per Campaign Refresh, shared among the relevant faculty representatives</w:t>
      </w:r>
    </w:p>
    <w:p w14:paraId="10AB2373"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sz w:val="22"/>
          <w:szCs w:val="22"/>
        </w:rPr>
        <w:t xml:space="preserve">A Campaign Refresh may be performed during the same calendar month as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In such a case, both the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 and the Campaign Refresh fee shall be payable.</w:t>
      </w:r>
    </w:p>
    <w:p w14:paraId="10AB2374"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b/>
          <w:bCs/>
          <w:sz w:val="22"/>
          <w:szCs w:val="22"/>
        </w:rPr>
        <w:t xml:space="preserve">2.5. Monthly </w:t>
      </w:r>
      <w:proofErr w:type="spellStart"/>
      <w:r>
        <w:rPr>
          <w:rFonts w:ascii="Times New Roman" w:eastAsia="Times New Roman" w:hAnsi="Times New Roman" w:cs="Times New Roman"/>
          <w:b/>
          <w:bCs/>
          <w:sz w:val="22"/>
          <w:szCs w:val="22"/>
        </w:rPr>
        <w:t>Programme</w:t>
      </w:r>
      <w:proofErr w:type="spellEnd"/>
      <w:r>
        <w:rPr>
          <w:rFonts w:ascii="Times New Roman" w:eastAsia="Times New Roman" w:hAnsi="Times New Roman" w:cs="Times New Roman"/>
          <w:b/>
          <w:bCs/>
          <w:sz w:val="22"/>
          <w:szCs w:val="22"/>
        </w:rPr>
        <w:t xml:space="preserve"> Activity Schedule</w:t>
      </w:r>
    </w:p>
    <w:p w14:paraId="10AB2375"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sz w:val="22"/>
          <w:szCs w:val="22"/>
        </w:rPr>
        <w:t>For the purposes of this Agreement,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means an individual study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identified by its official name and relevant </w:t>
      </w:r>
      <w:proofErr w:type="spellStart"/>
      <w:r>
        <w:rPr>
          <w:rFonts w:ascii="Times New Roman" w:eastAsia="Times New Roman" w:hAnsi="Times New Roman" w:cs="Times New Roman"/>
          <w:sz w:val="22"/>
          <w:szCs w:val="22"/>
        </w:rPr>
        <w:t>organisational</w:t>
      </w:r>
      <w:proofErr w:type="spellEnd"/>
      <w:r>
        <w:rPr>
          <w:rFonts w:ascii="Times New Roman" w:eastAsia="Times New Roman" w:hAnsi="Times New Roman" w:cs="Times New Roman"/>
          <w:sz w:val="22"/>
          <w:szCs w:val="22"/>
        </w:rPr>
        <w:t xml:space="preserve"> unit. A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means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included in an approved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for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and/or Campaign Refresh or, for September 2026,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confirmed in writing in accordance with paragraph 2.5.1 below.</w:t>
      </w:r>
    </w:p>
    <w:p w14:paraId="10AB2376"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sz w:val="22"/>
          <w:szCs w:val="22"/>
        </w:rPr>
        <w:t xml:space="preserve">No later than five (5) business days before the beginning of each calendar month, the Contractor shall provide the Client with a proposed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identifying: (a) each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(b) whether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and/or Campaign Refresh will be provided during the relevant month; (c) the corresponding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(d) the status of tracking and KPI establishment, where relevant; and (e) the approved or proposed Ad Spend for the relevant period.</w:t>
      </w:r>
    </w:p>
    <w:p w14:paraId="10AB2377"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sz w:val="22"/>
          <w:szCs w:val="22"/>
        </w:rPr>
        <w:lastRenderedPageBreak/>
        <w:t xml:space="preserve">The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shall become binding upon written approval by the Client's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representative, including approval by email. Approval of a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shall constitute an operational instruction under this Agreement and shall not constitute an amendment to the agreed unit prices.</w:t>
      </w:r>
    </w:p>
    <w:p w14:paraId="10AB2378" w14:textId="77777777" w:rsidR="00A862C6" w:rsidRDefault="006C6030">
      <w:pPr>
        <w:spacing w:before="240" w:after="240" w:line="276" w:lineRule="auto"/>
        <w:jc w:val="both"/>
        <w:rPr>
          <w:rFonts w:ascii="Arial" w:eastAsia="Arial" w:hAnsi="Arial" w:cs="Arial"/>
          <w:sz w:val="22"/>
          <w:szCs w:val="22"/>
        </w:rPr>
      </w:pPr>
      <w:r>
        <w:rPr>
          <w:rFonts w:ascii="Times New Roman" w:eastAsia="Times New Roman" w:hAnsi="Times New Roman" w:cs="Times New Roman"/>
          <w:sz w:val="22"/>
          <w:szCs w:val="22"/>
        </w:rPr>
        <w:t xml:space="preserve">A Campaign Refresh arising during a calendar month may also be approved separately by email and invoiced separately or together with the invoice for the following month. The </w:t>
      </w:r>
      <w:proofErr w:type="gramStart"/>
      <w:r>
        <w:rPr>
          <w:rFonts w:ascii="Times New Roman" w:eastAsia="Times New Roman" w:hAnsi="Times New Roman" w:cs="Times New Roman"/>
          <w:sz w:val="22"/>
          <w:szCs w:val="22"/>
        </w:rPr>
        <w:t>persons</w:t>
      </w:r>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to approve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Schedules shall be designated by each Party in writing.</w:t>
      </w:r>
    </w:p>
    <w:p w14:paraId="10AB2379" w14:textId="77777777" w:rsidR="00A862C6" w:rsidRDefault="006C6030">
      <w:pPr>
        <w:spacing w:after="120"/>
        <w:jc w:val="both"/>
      </w:pPr>
      <w:r>
        <w:rPr>
          <w:rFonts w:ascii="Times New Roman" w:eastAsia="Times New Roman" w:hAnsi="Times New Roman" w:cs="Times New Roman"/>
          <w:sz w:val="22"/>
          <w:szCs w:val="22"/>
        </w:rPr>
        <w:t xml:space="preserve">If the Client does not approve a proposed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w:t>
      </w:r>
      <w:proofErr w:type="gramStart"/>
      <w:r>
        <w:rPr>
          <w:rFonts w:ascii="Times New Roman" w:eastAsia="Times New Roman" w:hAnsi="Times New Roman" w:cs="Times New Roman"/>
          <w:sz w:val="22"/>
          <w:szCs w:val="22"/>
        </w:rPr>
        <w:t>in</w:t>
      </w:r>
      <w:proofErr w:type="gramEnd"/>
      <w:r>
        <w:rPr>
          <w:rFonts w:ascii="Times New Roman" w:eastAsia="Times New Roman" w:hAnsi="Times New Roman" w:cs="Times New Roman"/>
          <w:sz w:val="22"/>
          <w:szCs w:val="22"/>
        </w:rPr>
        <w:t xml:space="preserve"> time, the Contractor shall not be required to perform a new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or Campaign Refresh. Existing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shall continue to the extent reasonably possible, and the minimum payment obligations under Article IV shall remain unaffected unless the delay results solely from the Contractor’s material breach.</w:t>
      </w:r>
    </w:p>
    <w:p w14:paraId="10AB237A" w14:textId="77777777" w:rsidR="00A862C6" w:rsidRDefault="006C6030">
      <w:pPr>
        <w:spacing w:after="120"/>
        <w:jc w:val="both"/>
      </w:pPr>
      <w:r>
        <w:rPr>
          <w:rFonts w:ascii="Times New Roman" w:eastAsia="Times New Roman" w:hAnsi="Times New Roman" w:cs="Times New Roman"/>
          <w:sz w:val="22"/>
          <w:szCs w:val="22"/>
        </w:rPr>
        <w:t>2.5.1. September 2026 transitional arrangements</w:t>
      </w:r>
    </w:p>
    <w:p w14:paraId="10AB237B" w14:textId="77777777" w:rsidR="00A862C6" w:rsidRDefault="006C6030">
      <w:pPr>
        <w:spacing w:after="120"/>
        <w:jc w:val="both"/>
      </w:pPr>
      <w:r>
        <w:rPr>
          <w:rFonts w:ascii="Times New Roman" w:eastAsia="Times New Roman" w:hAnsi="Times New Roman" w:cs="Times New Roman"/>
          <w:sz w:val="22"/>
          <w:szCs w:val="22"/>
        </w:rPr>
        <w:t xml:space="preserve">Notwithstanding paragraphs 2.5 above, September 2026 shall be treated as an implementation and launch month. Because the number and identity of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may be confirmed progressively, the Contractor shall provide one or more general recruitment roadmaps for September instead of a complete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or monthly calendar. Each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confirmed by the Client in writing during September and accepted by the Contractor shall be treated as a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for that Service Month. The five-business-day submission deadline in paragraph 2.5 and the fourteen-day Ad Spend lead time in Article IV, paragraph 12 shall not apply to September 2026.</w:t>
      </w:r>
    </w:p>
    <w:p w14:paraId="10AB237C" w14:textId="77777777" w:rsidR="00A862C6" w:rsidRDefault="006C6030">
      <w:pPr>
        <w:spacing w:after="120"/>
        <w:jc w:val="both"/>
      </w:pPr>
      <w:r>
        <w:rPr>
          <w:rFonts w:ascii="Times New Roman" w:eastAsia="Times New Roman" w:hAnsi="Times New Roman" w:cs="Times New Roman"/>
          <w:sz w:val="22"/>
          <w:szCs w:val="22"/>
        </w:rPr>
        <w:t xml:space="preserve">Subject to the Agreement being effective and to the Client providing the required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information, materials, approvals, platform access, tracking readiness and approved Ad Spend arrangement sufficiently in advance, the Contractor shall provide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and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during September for each newly confirmed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requiring a launch, having regard to the opening of admissions in mid-September. The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list, applicable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and Ad Spend may be approved progressively by email and reflected in an invoice issued during September or together with the invoice for the following Service Month. If a required dependency is provided too late to permit launch by the requested date, the Contractor shall launch the affected campaign as soon as reasonably practicable thereafter, and the corresponding deadlines shall be extended accordingly.</w:t>
      </w:r>
    </w:p>
    <w:p w14:paraId="10AB237D" w14:textId="77777777" w:rsidR="00A862C6" w:rsidRDefault="006C6030">
      <w:pPr>
        <w:spacing w:before="240" w:after="240" w:line="276" w:lineRule="auto"/>
        <w:ind w:left="72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(hereinafter referred to as '</w:t>
      </w:r>
      <w:r>
        <w:rPr>
          <w:rFonts w:ascii="Times New Roman" w:eastAsia="Times New Roman" w:hAnsi="Times New Roman" w:cs="Times New Roman"/>
          <w:b/>
          <w:bCs/>
          <w:sz w:val="22"/>
          <w:szCs w:val="22"/>
        </w:rPr>
        <w:t>service provision'</w:t>
      </w:r>
      <w:r>
        <w:rPr>
          <w:rFonts w:ascii="Times New Roman" w:eastAsia="Times New Roman" w:hAnsi="Times New Roman" w:cs="Times New Roman"/>
          <w:sz w:val="22"/>
          <w:szCs w:val="22"/>
        </w:rPr>
        <w:t>).</w:t>
      </w:r>
    </w:p>
    <w:p w14:paraId="10AB237E"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The Contractor shall provide the services with reasonable professional care but does not guarantee any specific number of impressions, clicks, leads, applications, admissions, revenue, organic growth or other commercial or recruitment result. Campaign performance depends on matters including the approved Ad Spend, market conditions, the Client's cooperation, the quality and availability of the Client's websites and data, and the rules and operation of third-party advertising platforms.</w:t>
      </w:r>
    </w:p>
    <w:p w14:paraId="10AB237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The Contractor may use appropriate software and artificial intelligence tools in providing the services, </w:t>
      </w:r>
      <w:proofErr w:type="gramStart"/>
      <w:r>
        <w:rPr>
          <w:rFonts w:ascii="Times New Roman" w:eastAsia="Times New Roman" w:hAnsi="Times New Roman" w:cs="Times New Roman"/>
          <w:sz w:val="22"/>
          <w:szCs w:val="22"/>
        </w:rPr>
        <w:t>provided that</w:t>
      </w:r>
      <w:proofErr w:type="gramEnd"/>
      <w:r>
        <w:rPr>
          <w:rFonts w:ascii="Times New Roman" w:eastAsia="Times New Roman" w:hAnsi="Times New Roman" w:cs="Times New Roman"/>
          <w:sz w:val="22"/>
          <w:szCs w:val="22"/>
        </w:rPr>
        <w:t xml:space="preserve"> it complies with the confidentiality and data-protection obligations under this Agreement. The Contractor shall not input the Client's confidential information or personal data into a publicly accessible or third-party artificial intelligence system unless the Client has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such use in writing and appropriate contractual and technical safeguards are in place.</w:t>
      </w:r>
    </w:p>
    <w:p w14:paraId="10AB2380"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The Client shall pay the Contractor the remuneration specified in Article IV. Advertising expenditure, media budgets and payments to advertising platforms are additional costs separate from the Fixed </w:t>
      </w:r>
      <w:r>
        <w:rPr>
          <w:rFonts w:ascii="Times New Roman" w:eastAsia="Times New Roman" w:hAnsi="Times New Roman" w:cs="Times New Roman"/>
          <w:sz w:val="22"/>
          <w:szCs w:val="22"/>
        </w:rPr>
        <w:lastRenderedPageBreak/>
        <w:t xml:space="preserve">Monthly Fees and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and shall be approved, funded or reimbursed in accordance with Article IV, paragraph 12.</w:t>
      </w:r>
    </w:p>
    <w:p w14:paraId="10AB2381"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The Client shall provide the Contractor with the cooperation, access, information, materials and approvals reasonably necessary for the provision of the Services.</w:t>
      </w:r>
    </w:p>
    <w:p w14:paraId="10AB2382"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III.</w:t>
      </w:r>
    </w:p>
    <w:p w14:paraId="10AB2383"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Timeframe of Performance</w:t>
      </w:r>
    </w:p>
    <w:p w14:paraId="10AB238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This Agreement is concluded for a fixed period of twelve (12) consecutive calendar months, commencing on 1 September 2026 and ending on 31 August 2027 (the ‘</w:t>
      </w:r>
      <w:r>
        <w:rPr>
          <w:rFonts w:ascii="Times New Roman" w:eastAsia="Times New Roman" w:hAnsi="Times New Roman" w:cs="Times New Roman"/>
          <w:b/>
          <w:bCs/>
          <w:sz w:val="22"/>
          <w:szCs w:val="22"/>
        </w:rPr>
        <w:t>Initial Term</w:t>
      </w:r>
      <w:r>
        <w:rPr>
          <w:rFonts w:ascii="Times New Roman" w:eastAsia="Times New Roman" w:hAnsi="Times New Roman" w:cs="Times New Roman"/>
          <w:sz w:val="22"/>
          <w:szCs w:val="22"/>
        </w:rPr>
        <w:t>’), subject to the Agreement becoming effective in accordance with Article X, paragraph 6 no later than 1 September 2026. Each calendar month during the Initial Term is a ‘Service Month’.</w:t>
      </w:r>
    </w:p>
    <w:p w14:paraId="10AB238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The Client shall ensure that the Agreement is published in the Register of Contracts in sufficient time for it to become effective before the commencement of the Initial Term. The Contractor shall not be obliged to provide any services or incur any advertising expenditure before the Agreement becomes effective.</w:t>
      </w:r>
    </w:p>
    <w:p w14:paraId="10AB2386"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If the Agreement does not become effective by 1 September 2026, the Parties shall agree in a written amendment on adjusted commencement and end dates. The number of twelve (12) Service Months and the number of applicable fixed monthly fee instalments shall not be reduced solely because of delayed publication.</w:t>
      </w:r>
    </w:p>
    <w:p w14:paraId="10AB2387"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The Contractor shall manage the campaigns and provide the agreed services throughout the Initial Term, subject to the Client's timely cooperation and payment obligations.</w:t>
      </w:r>
    </w:p>
    <w:p w14:paraId="10AB2388"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Any deadline under paragraph 4 of this Article shall be extended by the period during which the Client fails to provide necessary cooperation, access, information, approvals or materials, provided that the Contractor has notified the Client of the relevant deficiency.</w:t>
      </w:r>
    </w:p>
    <w:p w14:paraId="10AB2389" w14:textId="77777777" w:rsidR="00A862C6" w:rsidRDefault="006C6030">
      <w:pPr>
        <w:spacing w:after="120"/>
        <w:jc w:val="both"/>
      </w:pPr>
      <w:r>
        <w:rPr>
          <w:rFonts w:ascii="Times New Roman" w:eastAsia="Times New Roman" w:hAnsi="Times New Roman" w:cs="Times New Roman"/>
          <w:sz w:val="22"/>
          <w:szCs w:val="22"/>
        </w:rPr>
        <w:t xml:space="preserve">6. The Client’s withdrawal of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failure to </w:t>
      </w:r>
      <w:proofErr w:type="spellStart"/>
      <w:r>
        <w:rPr>
          <w:rFonts w:ascii="Times New Roman" w:eastAsia="Times New Roman" w:hAnsi="Times New Roman" w:cs="Times New Roman"/>
          <w:sz w:val="22"/>
          <w:szCs w:val="22"/>
        </w:rPr>
        <w:t>utilise</w:t>
      </w:r>
      <w:proofErr w:type="spellEnd"/>
      <w:r>
        <w:rPr>
          <w:rFonts w:ascii="Times New Roman" w:eastAsia="Times New Roman" w:hAnsi="Times New Roman" w:cs="Times New Roman"/>
          <w:sz w:val="22"/>
          <w:szCs w:val="22"/>
        </w:rPr>
        <w:t xml:space="preserve"> available service capacity, internal budget reallocation or decision not to proceed with a planned activity shall not shorten the Initial Term or reduce the minimum contractual remuneration, except following a valid termination for the Contractor’s material breach under Article IX.</w:t>
      </w:r>
    </w:p>
    <w:p w14:paraId="10AB238A"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IV.</w:t>
      </w:r>
    </w:p>
    <w:p w14:paraId="10AB238B"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Price and Payment Conditions</w:t>
      </w:r>
    </w:p>
    <w:p w14:paraId="10AB238C" w14:textId="77777777" w:rsidR="00A862C6" w:rsidRDefault="006C6030">
      <w:pPr>
        <w:spacing w:before="240" w:after="240" w:line="276" w:lineRule="auto"/>
        <w:jc w:val="both"/>
        <w:rPr>
          <w:rFonts w:ascii="Times New Roman" w:eastAsia="Times New Roman" w:hAnsi="Times New Roman" w:cs="Times New Roman"/>
          <w:b/>
          <w:bCs/>
          <w:sz w:val="22"/>
          <w:szCs w:val="22"/>
        </w:rPr>
      </w:pPr>
      <w:r>
        <w:rPr>
          <w:rFonts w:ascii="Times New Roman" w:eastAsia="Times New Roman" w:hAnsi="Times New Roman" w:cs="Times New Roman"/>
          <w:sz w:val="22"/>
          <w:szCs w:val="22"/>
        </w:rPr>
        <w:t>1. All prices stated in this Agreement are exclusive of value added tax ('VAT'). VAT shall be added at the statutory rate applicable on the date of taxable supply.</w:t>
      </w:r>
    </w:p>
    <w:p w14:paraId="10AB238D" w14:textId="77777777" w:rsidR="00A862C6" w:rsidRDefault="006C6030">
      <w:pPr>
        <w:spacing w:after="120"/>
        <w:jc w:val="both"/>
      </w:pPr>
      <w:r>
        <w:rPr>
          <w:rFonts w:ascii="Times New Roman" w:eastAsia="Times New Roman" w:hAnsi="Times New Roman" w:cs="Times New Roman"/>
          <w:sz w:val="22"/>
          <w:szCs w:val="22"/>
        </w:rPr>
        <w:t>2. In consideration of the University Recruitment Operations described in Article II, paragraph 2.1, the Client shall pay the Contractor:</w:t>
      </w:r>
    </w:p>
    <w:p w14:paraId="10AB238E" w14:textId="77777777" w:rsidR="00A862C6" w:rsidRDefault="006C6030">
      <w:pPr>
        <w:spacing w:after="120"/>
        <w:ind w:left="360"/>
        <w:jc w:val="both"/>
      </w:pPr>
      <w:r>
        <w:rPr>
          <w:rFonts w:ascii="Times New Roman" w:eastAsia="Times New Roman" w:hAnsi="Times New Roman" w:cs="Times New Roman"/>
          <w:sz w:val="22"/>
          <w:szCs w:val="22"/>
        </w:rPr>
        <w:t>a) a fixed monthly fee of CZK 73,500 for each High-Season Service Month; and</w:t>
      </w:r>
    </w:p>
    <w:p w14:paraId="10AB238F" w14:textId="77777777" w:rsidR="00A862C6" w:rsidRDefault="006C6030">
      <w:pPr>
        <w:spacing w:after="120"/>
        <w:ind w:left="360"/>
        <w:jc w:val="both"/>
      </w:pPr>
      <w:r>
        <w:rPr>
          <w:rFonts w:ascii="Times New Roman" w:eastAsia="Times New Roman" w:hAnsi="Times New Roman" w:cs="Times New Roman"/>
          <w:sz w:val="22"/>
          <w:szCs w:val="22"/>
        </w:rPr>
        <w:t>b) a fixed monthly fee of CZK 25,500 for each Low-Season Service Month.</w:t>
      </w:r>
    </w:p>
    <w:p w14:paraId="10AB2390" w14:textId="77777777" w:rsidR="00A862C6" w:rsidRDefault="006C6030">
      <w:pPr>
        <w:spacing w:after="120"/>
        <w:jc w:val="both"/>
      </w:pPr>
      <w:r>
        <w:rPr>
          <w:rFonts w:ascii="Times New Roman" w:eastAsia="Times New Roman" w:hAnsi="Times New Roman" w:cs="Times New Roman"/>
          <w:sz w:val="22"/>
          <w:szCs w:val="22"/>
        </w:rPr>
        <w:t xml:space="preserve">Each amount in subparagraphs (a) and (b) is a ‘Fixed Monthly Fee’. The Initial Term comprises seven (7) High-Season Service Months and five (5) Low-Season Service Months. The aggregate fixed </w:t>
      </w:r>
      <w:r>
        <w:rPr>
          <w:rFonts w:ascii="Times New Roman" w:eastAsia="Times New Roman" w:hAnsi="Times New Roman" w:cs="Times New Roman"/>
          <w:sz w:val="22"/>
          <w:szCs w:val="22"/>
        </w:rPr>
        <w:lastRenderedPageBreak/>
        <w:t>remuneration for University Recruitment Operations during the Initial Term is CZK 642,000, exclusive of VAT.</w:t>
      </w:r>
    </w:p>
    <w:p w14:paraId="10AB2391" w14:textId="77777777" w:rsidR="00A862C6" w:rsidRDefault="006C6030">
      <w:pPr>
        <w:spacing w:after="120"/>
        <w:jc w:val="both"/>
      </w:pPr>
      <w:r>
        <w:rPr>
          <w:rFonts w:ascii="Times New Roman" w:eastAsia="Times New Roman" w:hAnsi="Times New Roman" w:cs="Times New Roman"/>
          <w:sz w:val="22"/>
          <w:szCs w:val="22"/>
        </w:rPr>
        <w:t xml:space="preserve">3. The Fixed Monthly Fees cover only University Recruitment Operations under Article II, paragraph 2.1. The following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-level Services shall be charged separately and in addition to the applicable Fixed Monthly Fee (collectively, the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w:t>
      </w:r>
    </w:p>
    <w:p w14:paraId="10AB2392" w14:textId="77777777" w:rsidR="00A862C6" w:rsidRDefault="006C6030">
      <w:pPr>
        <w:spacing w:after="120"/>
        <w:ind w:left="360"/>
        <w:jc w:val="both"/>
      </w:pPr>
      <w:r>
        <w:rPr>
          <w:rFonts w:ascii="Times New Roman" w:eastAsia="Times New Roman" w:hAnsi="Times New Roman" w:cs="Times New Roman"/>
          <w:sz w:val="22"/>
          <w:szCs w:val="22"/>
        </w:rPr>
        <w:t xml:space="preserve">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CZK 3,500 per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and approved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w:t>
      </w:r>
    </w:p>
    <w:p w14:paraId="10AB2393" w14:textId="77777777" w:rsidR="00A862C6" w:rsidRDefault="006C6030">
      <w:pPr>
        <w:spacing w:after="120"/>
        <w:ind w:left="360"/>
        <w:jc w:val="both"/>
      </w:pPr>
      <w:r>
        <w:rPr>
          <w:rFonts w:ascii="Times New Roman" w:eastAsia="Times New Roman" w:hAnsi="Times New Roman" w:cs="Times New Roman"/>
          <w:sz w:val="22"/>
          <w:szCs w:val="22"/>
        </w:rPr>
        <w:t xml:space="preserve">b)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CZK 2,000 per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for each Service Month; and</w:t>
      </w:r>
    </w:p>
    <w:p w14:paraId="10AB2394" w14:textId="77777777" w:rsidR="00A862C6" w:rsidRDefault="006C6030">
      <w:pPr>
        <w:spacing w:after="120"/>
        <w:ind w:left="360"/>
        <w:jc w:val="both"/>
      </w:pPr>
      <w:r>
        <w:rPr>
          <w:rFonts w:ascii="Times New Roman" w:eastAsia="Times New Roman" w:hAnsi="Times New Roman" w:cs="Times New Roman"/>
          <w:sz w:val="22"/>
          <w:szCs w:val="22"/>
        </w:rPr>
        <w:t xml:space="preserve">c) Campaign Refresh: CZK 2,500 per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and approved Campaign Refresh.</w:t>
      </w:r>
    </w:p>
    <w:p w14:paraId="10AB2395" w14:textId="77777777" w:rsidR="00A862C6" w:rsidRDefault="006C6030">
      <w:pPr>
        <w:spacing w:after="120"/>
        <w:jc w:val="both"/>
      </w:pPr>
      <w:r>
        <w:rPr>
          <w:rFonts w:ascii="Times New Roman" w:eastAsia="Times New Roman" w:hAnsi="Times New Roman" w:cs="Times New Roman"/>
          <w:sz w:val="22"/>
          <w:szCs w:val="22"/>
        </w:rPr>
        <w:t xml:space="preserve">4.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and Campaign Refresh constitute separate Services. Where two or more such Services are provided for the same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during the same Service Month, all corresponding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shall be payable concurrently.</w:t>
      </w:r>
    </w:p>
    <w:p w14:paraId="10AB2396" w14:textId="77777777" w:rsidR="00A862C6" w:rsidRDefault="006C6030">
      <w:pPr>
        <w:spacing w:after="120"/>
        <w:jc w:val="both"/>
      </w:pPr>
      <w:r>
        <w:rPr>
          <w:rFonts w:ascii="Times New Roman" w:eastAsia="Times New Roman" w:hAnsi="Times New Roman" w:cs="Times New Roman"/>
          <w:sz w:val="22"/>
          <w:szCs w:val="22"/>
        </w:rPr>
        <w:t xml:space="preserve">5. The Client commits to maintaining a minimum of ten (10)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receiving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during each of the twelve (12) Service Months. The minimum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 is therefore CZK 20,000, exclusive of VAT.</w:t>
      </w:r>
    </w:p>
    <w:p w14:paraId="10AB2397" w14:textId="77777777" w:rsidR="00A862C6" w:rsidRDefault="006C6030">
      <w:pPr>
        <w:spacing w:after="120"/>
        <w:jc w:val="both"/>
      </w:pPr>
      <w:r>
        <w:rPr>
          <w:rFonts w:ascii="Times New Roman" w:eastAsia="Times New Roman" w:hAnsi="Times New Roman" w:cs="Times New Roman"/>
          <w:sz w:val="22"/>
          <w:szCs w:val="22"/>
        </w:rPr>
        <w:t xml:space="preserve">If the Client identifies fewer than ten (10)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for a Service Month, or fails to provide the cooperation, information, materials or approvals necessary for ten (10)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to receive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the minimum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 of CZK 20,000 shall nevertheless remain payable. This shall not apply where the shortfall results solely from the Contractor’s material breach.</w:t>
      </w:r>
    </w:p>
    <w:p w14:paraId="10AB2398" w14:textId="77777777" w:rsidR="00A862C6" w:rsidRDefault="006C6030">
      <w:pPr>
        <w:spacing w:after="120"/>
        <w:jc w:val="both"/>
      </w:pPr>
      <w:r>
        <w:rPr>
          <w:rFonts w:ascii="Times New Roman" w:eastAsia="Times New Roman" w:hAnsi="Times New Roman" w:cs="Times New Roman"/>
          <w:sz w:val="22"/>
          <w:szCs w:val="22"/>
        </w:rPr>
        <w:t xml:space="preserve">6. A maximum of thirty-six (36)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may receive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during a Service Month. A maximum of twenty-eight (28)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Launches may be provided during the Initial Term. For maximum-value calculation purposes, eight (8)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do not require a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under this Agreement but may receive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and a Campaign Refresh.</w:t>
      </w:r>
    </w:p>
    <w:p w14:paraId="10AB2399" w14:textId="77777777" w:rsidR="00A862C6" w:rsidRDefault="006C6030">
      <w:pPr>
        <w:spacing w:after="120"/>
        <w:jc w:val="both"/>
      </w:pPr>
      <w:r>
        <w:rPr>
          <w:rFonts w:ascii="Times New Roman" w:eastAsia="Times New Roman" w:hAnsi="Times New Roman" w:cs="Times New Roman"/>
          <w:sz w:val="22"/>
          <w:szCs w:val="22"/>
        </w:rPr>
        <w:t xml:space="preserve">7. Each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may receive a maximum of one (1) Campaign Refresh during the Initial Term. Accordingly, a maximum of thirty-six (36) individual Campaign Refreshes may be approved and charged under this Agreement. Each Campaign Refresh must be approved in writing through the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or separately by the Client’s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representative.</w:t>
      </w:r>
    </w:p>
    <w:p w14:paraId="10AB239A" w14:textId="77777777" w:rsidR="00A862C6" w:rsidRDefault="006C6030">
      <w:pPr>
        <w:spacing w:after="120"/>
        <w:jc w:val="both"/>
      </w:pPr>
      <w:r>
        <w:rPr>
          <w:rFonts w:ascii="Times New Roman" w:eastAsia="Times New Roman" w:hAnsi="Times New Roman" w:cs="Times New Roman"/>
          <w:sz w:val="22"/>
          <w:szCs w:val="22"/>
        </w:rPr>
        <w:t>8. The minimum contractual remuneration payable during the Initial Term is CZK 882,000, exclusive of VAT and Ad Spend, calculated as follows:</w:t>
      </w:r>
    </w:p>
    <w:p w14:paraId="10AB239B" w14:textId="77777777" w:rsidR="00A862C6" w:rsidRDefault="006C6030">
      <w:pPr>
        <w:spacing w:after="120"/>
        <w:ind w:left="360"/>
        <w:jc w:val="both"/>
      </w:pPr>
      <w:r>
        <w:rPr>
          <w:rFonts w:ascii="Times New Roman" w:eastAsia="Times New Roman" w:hAnsi="Times New Roman" w:cs="Times New Roman"/>
          <w:sz w:val="22"/>
          <w:szCs w:val="22"/>
        </w:rPr>
        <w:t>a) High-Season Fixed Monthly Fees: CZK 514,500;</w:t>
      </w:r>
    </w:p>
    <w:p w14:paraId="10AB239C" w14:textId="77777777" w:rsidR="00A862C6" w:rsidRDefault="006C6030">
      <w:pPr>
        <w:spacing w:after="120"/>
        <w:ind w:left="360"/>
        <w:jc w:val="both"/>
      </w:pPr>
      <w:r>
        <w:rPr>
          <w:rFonts w:ascii="Times New Roman" w:eastAsia="Times New Roman" w:hAnsi="Times New Roman" w:cs="Times New Roman"/>
          <w:sz w:val="22"/>
          <w:szCs w:val="22"/>
        </w:rPr>
        <w:t>b) Low-Season Fixed Monthly Fees: CZK 127,500; and</w:t>
      </w:r>
    </w:p>
    <w:p w14:paraId="10AB239D" w14:textId="77777777" w:rsidR="00A862C6" w:rsidRDefault="006C6030">
      <w:pPr>
        <w:spacing w:after="120"/>
        <w:ind w:left="360"/>
        <w:jc w:val="both"/>
      </w:pPr>
      <w:r>
        <w:rPr>
          <w:rFonts w:ascii="Times New Roman" w:eastAsia="Times New Roman" w:hAnsi="Times New Roman" w:cs="Times New Roman"/>
          <w:sz w:val="22"/>
          <w:szCs w:val="22"/>
        </w:rPr>
        <w:t xml:space="preserve">c) minimum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fees for ten (10)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during twelve (12) Service Months: CZK 240,000.</w:t>
      </w:r>
    </w:p>
    <w:p w14:paraId="10AB239E" w14:textId="77777777" w:rsidR="00A862C6" w:rsidRDefault="006C6030">
      <w:pPr>
        <w:spacing w:after="120"/>
        <w:jc w:val="both"/>
      </w:pP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fees, Campaign Refresh fees and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fees for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exceeding the minimum of ten (10) are additional to the minimum contractual remuneration.</w:t>
      </w:r>
    </w:p>
    <w:p w14:paraId="10AB239F" w14:textId="77777777" w:rsidR="00A862C6" w:rsidRDefault="006C6030">
      <w:pPr>
        <w:spacing w:after="120"/>
        <w:jc w:val="both"/>
      </w:pPr>
      <w:r>
        <w:rPr>
          <w:rFonts w:ascii="Times New Roman" w:eastAsia="Times New Roman" w:hAnsi="Times New Roman" w:cs="Times New Roman"/>
          <w:sz w:val="22"/>
          <w:szCs w:val="22"/>
        </w:rPr>
        <w:t>9. The maximum aggregate remuneration payable under this Agreement is CZK 1,694,000, exclusive of VAT and Ad Spend, calculated as follows:</w:t>
      </w:r>
    </w:p>
    <w:p w14:paraId="10AB23A0" w14:textId="77777777" w:rsidR="00A862C6" w:rsidRDefault="006C6030">
      <w:pPr>
        <w:spacing w:after="120"/>
        <w:ind w:left="360"/>
        <w:jc w:val="both"/>
      </w:pPr>
      <w:r>
        <w:rPr>
          <w:rFonts w:ascii="Times New Roman" w:eastAsia="Times New Roman" w:hAnsi="Times New Roman" w:cs="Times New Roman"/>
          <w:sz w:val="22"/>
          <w:szCs w:val="22"/>
        </w:rPr>
        <w:t>a) aggregate Fixed Monthly Fees: CZK 642,000;</w:t>
      </w:r>
    </w:p>
    <w:p w14:paraId="10AB23A1" w14:textId="77777777" w:rsidR="00A862C6" w:rsidRDefault="006C6030">
      <w:pPr>
        <w:spacing w:after="120"/>
        <w:ind w:left="360"/>
        <w:jc w:val="both"/>
      </w:pPr>
      <w:r>
        <w:rPr>
          <w:rFonts w:ascii="Times New Roman" w:eastAsia="Times New Roman" w:hAnsi="Times New Roman" w:cs="Times New Roman"/>
          <w:sz w:val="22"/>
          <w:szCs w:val="22"/>
        </w:rPr>
        <w:t xml:space="preserve">b) a maximum of twenty-eight (28)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Launches: CZK 98,000;</w:t>
      </w:r>
    </w:p>
    <w:p w14:paraId="10AB23A2" w14:textId="77777777" w:rsidR="00A862C6" w:rsidRDefault="006C6030">
      <w:pPr>
        <w:spacing w:after="120"/>
        <w:ind w:left="360"/>
        <w:jc w:val="both"/>
      </w:pPr>
      <w:r>
        <w:rPr>
          <w:rFonts w:ascii="Times New Roman" w:eastAsia="Times New Roman" w:hAnsi="Times New Roman" w:cs="Times New Roman"/>
          <w:sz w:val="22"/>
          <w:szCs w:val="22"/>
        </w:rPr>
        <w:t xml:space="preserve">c)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for thirty-six (36)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during twelve (12) Service Months: CZK 864,000; and</w:t>
      </w:r>
    </w:p>
    <w:p w14:paraId="10AB23A3" w14:textId="77777777" w:rsidR="00A862C6" w:rsidRDefault="006C6030">
      <w:pPr>
        <w:spacing w:after="120"/>
        <w:ind w:left="360"/>
        <w:jc w:val="both"/>
      </w:pPr>
      <w:r>
        <w:rPr>
          <w:rFonts w:ascii="Times New Roman" w:eastAsia="Times New Roman" w:hAnsi="Times New Roman" w:cs="Times New Roman"/>
          <w:sz w:val="22"/>
          <w:szCs w:val="22"/>
        </w:rPr>
        <w:t xml:space="preserve">d) one (1) Campaign Refresh for each of thirty-six (36)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CZK 90,000.</w:t>
      </w:r>
    </w:p>
    <w:p w14:paraId="10AB23A4" w14:textId="77777777" w:rsidR="00A862C6" w:rsidRDefault="006C6030">
      <w:pPr>
        <w:spacing w:after="120"/>
        <w:jc w:val="both"/>
      </w:pPr>
      <w:r>
        <w:rPr>
          <w:rFonts w:ascii="Times New Roman" w:eastAsia="Times New Roman" w:hAnsi="Times New Roman" w:cs="Times New Roman"/>
          <w:sz w:val="22"/>
          <w:szCs w:val="22"/>
        </w:rPr>
        <w:lastRenderedPageBreak/>
        <w:t>No Service exceeding the maximum quantities or maximum aggregate remuneration stated above shall be provided without a written amendment signed by both Parties and compliance with any applicable public-procurement requirements.</w:t>
      </w:r>
    </w:p>
    <w:p w14:paraId="10AB23A5" w14:textId="77777777" w:rsidR="00A862C6" w:rsidRDefault="006C6030">
      <w:pPr>
        <w:spacing w:after="120"/>
        <w:jc w:val="both"/>
      </w:pPr>
      <w:r>
        <w:rPr>
          <w:rFonts w:ascii="Times New Roman" w:eastAsia="Times New Roman" w:hAnsi="Times New Roman" w:cs="Times New Roman"/>
          <w:sz w:val="22"/>
          <w:szCs w:val="22"/>
        </w:rPr>
        <w:t xml:space="preserve">10. At the beginning of each Service Month, the Contractor shall issue an invoice for: (a) the applicable Fixed Monthly Fee; (b) the minimum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 for ten (10)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(c)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Operations fees for any Participating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exceeding that minimum; and (d) any approved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Launches or Campaign Refreshes.</w:t>
      </w:r>
    </w:p>
    <w:p w14:paraId="10AB23A6" w14:textId="77777777" w:rsidR="00A862C6" w:rsidRDefault="006C6030">
      <w:pPr>
        <w:spacing w:after="120"/>
        <w:jc w:val="both"/>
      </w:pPr>
      <w:r>
        <w:rPr>
          <w:rFonts w:ascii="Times New Roman" w:eastAsia="Times New Roman" w:hAnsi="Times New Roman" w:cs="Times New Roman"/>
          <w:sz w:val="22"/>
          <w:szCs w:val="22"/>
        </w:rPr>
        <w:t>Each invoice shall be payable by the tenth (10th) calendar day of the relevant Service Month. Services approved after the monthly invoice has been issued may be invoiced separately or together with the following Service Month’s invoice.</w:t>
      </w:r>
    </w:p>
    <w:p w14:paraId="10AB23A7" w14:textId="77777777" w:rsidR="00A862C6" w:rsidRDefault="006C6030">
      <w:pPr>
        <w:spacing w:after="120"/>
        <w:jc w:val="both"/>
      </w:pPr>
      <w:r>
        <w:rPr>
          <w:rFonts w:ascii="Times New Roman" w:eastAsia="Times New Roman" w:hAnsi="Times New Roman" w:cs="Times New Roman"/>
          <w:sz w:val="22"/>
          <w:szCs w:val="22"/>
        </w:rPr>
        <w:t xml:space="preserve">11. The Client remains solely responsible to the Contractor for the full and timely payment of all Fixed Monthly Fees,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approved Ad Spend and other amounts payable under this Agreement. Any internal allocation, transfer, recharging or division of these costs between the Rectorate,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departments, cost </w:t>
      </w:r>
      <w:proofErr w:type="spellStart"/>
      <w:r>
        <w:rPr>
          <w:rFonts w:ascii="Times New Roman" w:eastAsia="Times New Roman" w:hAnsi="Times New Roman" w:cs="Times New Roman"/>
          <w:sz w:val="22"/>
          <w:szCs w:val="22"/>
        </w:rPr>
        <w:t>centres</w:t>
      </w:r>
      <w:proofErr w:type="spellEnd"/>
      <w:r>
        <w:rPr>
          <w:rFonts w:ascii="Times New Roman" w:eastAsia="Times New Roman" w:hAnsi="Times New Roman" w:cs="Times New Roman"/>
          <w:sz w:val="22"/>
          <w:szCs w:val="22"/>
        </w:rPr>
        <w:t xml:space="preserve"> or other </w:t>
      </w:r>
      <w:proofErr w:type="spellStart"/>
      <w:r>
        <w:rPr>
          <w:rFonts w:ascii="Times New Roman" w:eastAsia="Times New Roman" w:hAnsi="Times New Roman" w:cs="Times New Roman"/>
          <w:sz w:val="22"/>
          <w:szCs w:val="22"/>
        </w:rPr>
        <w:t>organisational</w:t>
      </w:r>
      <w:proofErr w:type="spellEnd"/>
      <w:r>
        <w:rPr>
          <w:rFonts w:ascii="Times New Roman" w:eastAsia="Times New Roman" w:hAnsi="Times New Roman" w:cs="Times New Roman"/>
          <w:sz w:val="22"/>
          <w:szCs w:val="22"/>
        </w:rPr>
        <w:t xml:space="preserve"> units is solely an internal matter of the Client and </w:t>
      </w:r>
      <w:proofErr w:type="gramStart"/>
      <w:r>
        <w:rPr>
          <w:rFonts w:ascii="Times New Roman" w:eastAsia="Times New Roman" w:hAnsi="Times New Roman" w:cs="Times New Roman"/>
          <w:sz w:val="22"/>
          <w:szCs w:val="22"/>
        </w:rPr>
        <w:t>shall</w:t>
      </w:r>
      <w:proofErr w:type="gramEnd"/>
      <w:r>
        <w:rPr>
          <w:rFonts w:ascii="Times New Roman" w:eastAsia="Times New Roman" w:hAnsi="Times New Roman" w:cs="Times New Roman"/>
          <w:sz w:val="22"/>
          <w:szCs w:val="22"/>
        </w:rPr>
        <w:t xml:space="preserve"> not reduce, postpone or otherwise affect any amount payable to the Contractor.</w:t>
      </w:r>
    </w:p>
    <w:p w14:paraId="10AB23A8" w14:textId="77777777" w:rsidR="00A862C6" w:rsidRDefault="006C6030">
      <w:pPr>
        <w:spacing w:after="120"/>
        <w:jc w:val="both"/>
      </w:pPr>
      <w:r>
        <w:rPr>
          <w:rFonts w:ascii="Times New Roman" w:eastAsia="Times New Roman" w:hAnsi="Times New Roman" w:cs="Times New Roman"/>
          <w:sz w:val="22"/>
          <w:szCs w:val="22"/>
        </w:rPr>
        <w:t xml:space="preserve">For internal accounting purposes only, the High-Season Fixed Monthly Fee may be regarded as comprising a permanent Rectorate component of CZK 25,500 and a High-Season allocation pool of CZK 48,000. The Client may internally allocate CZK 1,000 from that pool to each Participating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with the balance remaining allocated to the Rectorate. For illustration, the Rectorate balance is CZK 37,000 where eleven (11)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participate and CZK 12,000 where thirty-six (36) </w:t>
      </w:r>
      <w:proofErr w:type="spellStart"/>
      <w:r>
        <w:rPr>
          <w:rFonts w:ascii="Times New Roman" w:eastAsia="Times New Roman" w:hAnsi="Times New Roman" w:cs="Times New Roman"/>
          <w:sz w:val="22"/>
          <w:szCs w:val="22"/>
        </w:rPr>
        <w:t>Programmes</w:t>
      </w:r>
      <w:proofErr w:type="spellEnd"/>
      <w:r>
        <w:rPr>
          <w:rFonts w:ascii="Times New Roman" w:eastAsia="Times New Roman" w:hAnsi="Times New Roman" w:cs="Times New Roman"/>
          <w:sz w:val="22"/>
          <w:szCs w:val="22"/>
        </w:rPr>
        <w:t xml:space="preserve"> participate. This allocation shall not change the High-Season Fixed Monthly Fee of CZK 73,500 or make the Contractor’s payment conditional on an internal transfer.</w:t>
      </w:r>
    </w:p>
    <w:p w14:paraId="10AB23A9" w14:textId="77777777" w:rsidR="00A862C6" w:rsidRDefault="006C6030">
      <w:pPr>
        <w:spacing w:after="120"/>
        <w:jc w:val="both"/>
      </w:pPr>
      <w:r>
        <w:rPr>
          <w:rFonts w:ascii="Times New Roman" w:eastAsia="Times New Roman" w:hAnsi="Times New Roman" w:cs="Times New Roman"/>
          <w:sz w:val="22"/>
          <w:szCs w:val="22"/>
        </w:rPr>
        <w:t xml:space="preserve">12. Ad Spend is not included in the Fixed Monthly Fees,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minimum contractual remuneration or maximum aggregate remuneration. Ad Spend shall be borne separately by the Client and incurred only following the Client’s prior written approval.</w:t>
      </w:r>
    </w:p>
    <w:p w14:paraId="10AB23AA" w14:textId="77777777" w:rsidR="00A862C6" w:rsidRDefault="006C6030">
      <w:pPr>
        <w:spacing w:after="120"/>
        <w:jc w:val="both"/>
      </w:pPr>
      <w:r>
        <w:rPr>
          <w:rFonts w:ascii="Times New Roman" w:eastAsia="Times New Roman" w:hAnsi="Times New Roman" w:cs="Times New Roman"/>
          <w:sz w:val="22"/>
          <w:szCs w:val="22"/>
        </w:rPr>
        <w:t>Except for September 2026 as provided in Article II, paragraph 2.5.1, the Client shall approve the applicable Ad Spend and provide the necessary account access and cooperation no later than fourteen (14) calendar days before the relevant advertising period. Approved Ad Spend shall be funded by one of the following arrangements agreed by the Parties in writing: (a) direct payment by the Client through the relevant advertising platform; (b) advance payment to the Contractor against a separate advance invoice; or (c) reimbursement of Ad Spend advanced by the Contractor, where the Contractor has expressly agreed in writing to advance that amount. The Contractor may, but shall not be obliged to, advance Ad Spend from its own funds. Where no funding arrangement has been agreed or the required funds have not been made available, the Contractor shall not be required to activate or continue the affected paid campaign.</w:t>
      </w:r>
    </w:p>
    <w:p w14:paraId="10AB23AB" w14:textId="77777777" w:rsidR="00A862C6" w:rsidRDefault="006C6030">
      <w:pPr>
        <w:spacing w:after="120"/>
        <w:jc w:val="both"/>
      </w:pPr>
      <w:r>
        <w:rPr>
          <w:rFonts w:ascii="Times New Roman" w:eastAsia="Times New Roman" w:hAnsi="Times New Roman" w:cs="Times New Roman"/>
          <w:sz w:val="22"/>
          <w:szCs w:val="22"/>
        </w:rPr>
        <w:t xml:space="preserve">13. The Fixed Monthly Fees and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Fees include the Contractor’s ordinary personnel costs, ordinary business expenses and standard tools required to provide the agreed Services. In addition, each High-Season Fixed Monthly Fee includes an allowance of up to an aggregate of CZK 3,000, exclusive of VAT, for actual third-party </w:t>
      </w:r>
      <w:proofErr w:type="spellStart"/>
      <w:proofErr w:type="gramStart"/>
      <w:r>
        <w:rPr>
          <w:rFonts w:ascii="Times New Roman" w:eastAsia="Times New Roman" w:hAnsi="Times New Roman" w:cs="Times New Roman"/>
          <w:sz w:val="22"/>
          <w:szCs w:val="22"/>
        </w:rPr>
        <w:t>specialised</w:t>
      </w:r>
      <w:proofErr w:type="spellEnd"/>
      <w:r>
        <w:rPr>
          <w:rFonts w:ascii="Times New Roman" w:eastAsia="Times New Roman" w:hAnsi="Times New Roman" w:cs="Times New Roman"/>
          <w:sz w:val="22"/>
          <w:szCs w:val="22"/>
        </w:rPr>
        <w:t>-software</w:t>
      </w:r>
      <w:proofErr w:type="gramEnd"/>
      <w:r>
        <w:rPr>
          <w:rFonts w:ascii="Times New Roman" w:eastAsia="Times New Roman" w:hAnsi="Times New Roman" w:cs="Times New Roman"/>
          <w:sz w:val="22"/>
          <w:szCs w:val="22"/>
        </w:rPr>
        <w:t xml:space="preserve">, stock-asset and licensing costs reasonably required for the Services during that High-Season Service Month. This allowance is not a separate cash entitlement, does not carry forward and is not credited or refunded if unused. Ad Spend, third-party production, travel, and </w:t>
      </w:r>
      <w:proofErr w:type="spellStart"/>
      <w:proofErr w:type="gramStart"/>
      <w:r>
        <w:rPr>
          <w:rFonts w:ascii="Times New Roman" w:eastAsia="Times New Roman" w:hAnsi="Times New Roman" w:cs="Times New Roman"/>
          <w:sz w:val="22"/>
          <w:szCs w:val="22"/>
        </w:rPr>
        <w:t>specialised</w:t>
      </w:r>
      <w:proofErr w:type="spellEnd"/>
      <w:r>
        <w:rPr>
          <w:rFonts w:ascii="Times New Roman" w:eastAsia="Times New Roman" w:hAnsi="Times New Roman" w:cs="Times New Roman"/>
          <w:sz w:val="22"/>
          <w:szCs w:val="22"/>
        </w:rPr>
        <w:t>-software</w:t>
      </w:r>
      <w:proofErr w:type="gramEnd"/>
      <w:r>
        <w:rPr>
          <w:rFonts w:ascii="Times New Roman" w:eastAsia="Times New Roman" w:hAnsi="Times New Roman" w:cs="Times New Roman"/>
          <w:sz w:val="22"/>
          <w:szCs w:val="22"/>
        </w:rPr>
        <w:t>, stock-asset or licensing costs exceeding that monthly allowance are not included and may be incurred and charged separately only with the Client’s prior written approval.</w:t>
      </w:r>
    </w:p>
    <w:p w14:paraId="10AB23AC"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w:t>
      </w:r>
    </w:p>
    <w:p w14:paraId="10AB23AD"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Obligations of the Parties, Acceptance of Deliverables</w:t>
      </w:r>
    </w:p>
    <w:p w14:paraId="10AB23AE"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The Client undertakes to provide the Contractor with complete, truthful, and timely information necessary for the proper fulfilment of the Contractor's obligations.</w:t>
      </w:r>
    </w:p>
    <w:p w14:paraId="10AB23A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2. The Contractor is obligated to create the campaigns and provide services in the quality, scope, and within the timeframe as stipulated by the tender documentation and this Agreement.</w:t>
      </w:r>
    </w:p>
    <w:p w14:paraId="10AB23B0"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The Contractor commits to promptly inform the Client of all relevant facts crucial for the fulfilment of the contractual obligations, particularly those facts that might influence the Client's decision-making in individual cases regarding performance under this Agreement.</w:t>
      </w:r>
    </w:p>
    <w:p w14:paraId="10AB23B1"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Both Parties undertake to maintain confidentiality regarding all facts learned in connection with the execution of this Agreement.</w:t>
      </w:r>
    </w:p>
    <w:p w14:paraId="10AB23B2"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The Contractor is not entitled to assign any of its rights or transfer obligations from this Agreement to a third party, either in whole or in part, without the prior written consent of the Client.</w:t>
      </w:r>
    </w:p>
    <w:p w14:paraId="10AB23B3"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In the event of inconsistency, the following order of precedence shall apply, subject to mandatory public-procurement law: (a) this Agreement; (b) its annexes; (c) the tender documentation; (d) an approved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and (e) other written communications between the Parties. A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 may determine the applicable Services and quantities within the agreed unit prices, minimum commitment, maximum quantities and maximum aggregate remuneration but may not otherwise amend this Agreement.</w:t>
      </w:r>
    </w:p>
    <w:p w14:paraId="10AB23B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The Client shall be entitled to review each deliverable within ten (10) business days following delivery.</w:t>
      </w:r>
    </w:p>
    <w:p w14:paraId="10AB23B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If the Client identifies defects, omissions or material deviations from the agreed scope, the Client shall notify the Contractor in writing.</w:t>
      </w:r>
    </w:p>
    <w:p w14:paraId="10AB23B6"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 The Contractor shall remedy such defects without undue delay and at no additional cost.</w:t>
      </w:r>
    </w:p>
    <w:p w14:paraId="10AB23B8" w14:textId="08964D43" w:rsidR="00A862C6" w:rsidRPr="00B30B31" w:rsidRDefault="006C6030" w:rsidP="00B30B31">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 A deliverable shall be deemed accepted only upon written approval by the Client or upon expiry of the review period without objection.</w:t>
      </w:r>
    </w:p>
    <w:p w14:paraId="10AB23B9"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VI.</w:t>
      </w:r>
    </w:p>
    <w:p w14:paraId="10AB23BA" w14:textId="77777777" w:rsidR="00A862C6" w:rsidRDefault="006C6030">
      <w:pPr>
        <w:spacing w:before="240" w:after="24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Operation, Campaign Maintenance, and Service Provision</w:t>
      </w:r>
    </w:p>
    <w:p w14:paraId="10AB23BB"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The Contractor commits to adhering to the following response times for resolving issues related to the campaigns and problems associated with their operation:</w:t>
      </w:r>
    </w:p>
    <w:p w14:paraId="10AB23BC" w14:textId="77777777" w:rsidR="00A862C6" w:rsidRDefault="006C6030">
      <w:pPr>
        <w:numPr>
          <w:ilvl w:val="0"/>
          <w:numId w:val="5"/>
        </w:numPr>
        <w:pBdr>
          <w:top w:val="nil"/>
          <w:left w:val="nil"/>
          <w:bottom w:val="nil"/>
          <w:right w:val="nil"/>
          <w:between w:val="nil"/>
        </w:pBdr>
        <w:spacing w:before="240" w:line="276" w:lineRule="auto"/>
        <w:jc w:val="both"/>
        <w:rPr>
          <w:color w:val="000000"/>
          <w:sz w:val="22"/>
          <w:szCs w:val="22"/>
        </w:rPr>
      </w:pPr>
      <w:r>
        <w:rPr>
          <w:rFonts w:ascii="Times New Roman" w:eastAsia="Times New Roman" w:hAnsi="Times New Roman" w:cs="Times New Roman"/>
          <w:sz w:val="22"/>
          <w:szCs w:val="22"/>
        </w:rPr>
        <w:t xml:space="preserve">Issues may be reported electronically through the Contractor’s designated </w:t>
      </w:r>
      <w:proofErr w:type="gramStart"/>
      <w:r>
        <w:rPr>
          <w:rFonts w:ascii="Times New Roman" w:eastAsia="Times New Roman" w:hAnsi="Times New Roman" w:cs="Times New Roman"/>
          <w:sz w:val="22"/>
          <w:szCs w:val="22"/>
        </w:rPr>
        <w:t>helpdesk</w:t>
      </w:r>
      <w:proofErr w:type="gramEnd"/>
      <w:r>
        <w:rPr>
          <w:rFonts w:ascii="Times New Roman" w:eastAsia="Times New Roman" w:hAnsi="Times New Roman" w:cs="Times New Roman"/>
          <w:sz w:val="22"/>
          <w:szCs w:val="22"/>
        </w:rPr>
        <w:t xml:space="preserve"> or email address twenty-four (24) hours a day, seven (7) days a week. Receipt shall be acknowledged automatically or otherwise without undue delay.</w:t>
      </w:r>
    </w:p>
    <w:p w14:paraId="10AB23BD" w14:textId="77777777" w:rsidR="00A862C6" w:rsidRDefault="006C6030">
      <w:pPr>
        <w:numPr>
          <w:ilvl w:val="0"/>
          <w:numId w:val="5"/>
        </w:numPr>
        <w:pBdr>
          <w:top w:val="nil"/>
          <w:left w:val="nil"/>
          <w:bottom w:val="nil"/>
          <w:right w:val="nil"/>
          <w:between w:val="nil"/>
        </w:pBdr>
        <w:spacing w:line="276" w:lineRule="auto"/>
        <w:jc w:val="both"/>
        <w:rPr>
          <w:color w:val="000000"/>
          <w:sz w:val="22"/>
          <w:szCs w:val="22"/>
        </w:rPr>
      </w:pPr>
      <w:r>
        <w:rPr>
          <w:rFonts w:ascii="Times New Roman" w:eastAsia="Times New Roman" w:hAnsi="Times New Roman" w:cs="Times New Roman"/>
          <w:sz w:val="22"/>
          <w:szCs w:val="22"/>
        </w:rPr>
        <w:t>The Contractor shall commence investigation of an issue within twenty-four (24) hours of receipt.</w:t>
      </w:r>
    </w:p>
    <w:p w14:paraId="10AB23BE" w14:textId="77777777" w:rsidR="00A862C6" w:rsidRDefault="006C6030">
      <w:pPr>
        <w:numPr>
          <w:ilvl w:val="0"/>
          <w:numId w:val="5"/>
        </w:numPr>
        <w:pBdr>
          <w:top w:val="nil"/>
          <w:left w:val="nil"/>
          <w:bottom w:val="nil"/>
          <w:right w:val="nil"/>
          <w:between w:val="nil"/>
        </w:pBdr>
        <w:spacing w:after="240" w:line="276" w:lineRule="auto"/>
        <w:jc w:val="both"/>
        <w:rPr>
          <w:color w:val="000000"/>
          <w:sz w:val="22"/>
          <w:szCs w:val="22"/>
        </w:rPr>
      </w:pPr>
      <w:r>
        <w:rPr>
          <w:rFonts w:ascii="Times New Roman" w:eastAsia="Times New Roman" w:hAnsi="Times New Roman" w:cs="Times New Roman"/>
          <w:sz w:val="22"/>
          <w:szCs w:val="22"/>
        </w:rPr>
        <w:t>The Contractor shall use reasonable efforts to resolve an issue within five (5) business days where the issue is within its reasonable control. If resolution within that period is not reasonably possible, the Contractor shall provide a status update and proposed next steps.</w:t>
      </w:r>
    </w:p>
    <w:p w14:paraId="10AB23B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Furthermore, the Contractor commits to providing services to the Client, as outlined in Article II to this Agreement.</w:t>
      </w:r>
    </w:p>
    <w:p w14:paraId="10AB23C0"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 The response and resolution times in this Article apply only to issues within the Contractor's reasonable control. They do not apply to outages, suspensions, policy decisions, processing delays or technical failures of Meta, Google, TikTok, LinkedIn, website hosting providers, analytics providers or other third-party platforms. The Contractor shall nevertheless use reasonable efforts to report and escalate such third-party issues and keep the Client informed.</w:t>
      </w:r>
    </w:p>
    <w:p w14:paraId="10AB23C1" w14:textId="77777777" w:rsidR="00A862C6" w:rsidRDefault="006C6030">
      <w:pPr>
        <w:spacing w:after="120"/>
        <w:jc w:val="both"/>
      </w:pPr>
      <w:r>
        <w:rPr>
          <w:rFonts w:ascii="Times New Roman" w:eastAsia="Times New Roman" w:hAnsi="Times New Roman" w:cs="Times New Roman"/>
          <w:sz w:val="22"/>
          <w:szCs w:val="22"/>
        </w:rPr>
        <w:t>4. Neither Party shall be liable for delay or failure to perform caused by an event beyond its reasonable control, including natural disaster, war, civil disturbance, epidemic, government action, major power or internet failure, cyberattack not caused by that Party’s failure to apply reasonable security measures, or material failure of a third-party advertising, analytics or hosting platform. The affected Party shall notify the other Party without undue delay and use reasonable efforts to mitigate the effects. This paragraph does not excuse payment obligations already due.</w:t>
      </w:r>
    </w:p>
    <w:p w14:paraId="10AB23C2"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VII.</w:t>
      </w:r>
    </w:p>
    <w:p w14:paraId="10AB23C3"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Special Provisions</w:t>
      </w:r>
    </w:p>
    <w:p w14:paraId="10AB23C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The Contractor is obligated to maintain confidentiality regarding all information learned during the execution of this Agreement, which is not governed by legal regulations or designated by the Client for publication, or is not generally known. The Contractor shall handle the information provided by the Client for the purpose of fulfilling the obligations under this Agreement as confidential materials. Confidential information does not include information that is or becomes public without breach of this Agreement, was lawfully known to the receiving Party, is independently developed without use of the other Party’s confidential </w:t>
      </w:r>
      <w:proofErr w:type="gramStart"/>
      <w:r>
        <w:rPr>
          <w:rFonts w:ascii="Times New Roman" w:eastAsia="Times New Roman" w:hAnsi="Times New Roman" w:cs="Times New Roman"/>
          <w:sz w:val="22"/>
          <w:szCs w:val="22"/>
        </w:rPr>
        <w:t>information, or</w:t>
      </w:r>
      <w:proofErr w:type="gramEnd"/>
      <w:r>
        <w:rPr>
          <w:rFonts w:ascii="Times New Roman" w:eastAsia="Times New Roman" w:hAnsi="Times New Roman" w:cs="Times New Roman"/>
          <w:sz w:val="22"/>
          <w:szCs w:val="22"/>
        </w:rPr>
        <w:t xml:space="preserve"> is lawfully obtained from a third party. A disclosure required by law, a court, a supervisory authority, public-procurement rules or the Register of Contracts shall not constitute a breach, provided that legally permitted redactions are applied and advance notice is given </w:t>
      </w:r>
      <w:proofErr w:type="gramStart"/>
      <w:r>
        <w:rPr>
          <w:rFonts w:ascii="Times New Roman" w:eastAsia="Times New Roman" w:hAnsi="Times New Roman" w:cs="Times New Roman"/>
          <w:sz w:val="22"/>
          <w:szCs w:val="22"/>
        </w:rPr>
        <w:t>where</w:t>
      </w:r>
      <w:proofErr w:type="gramEnd"/>
      <w:r>
        <w:rPr>
          <w:rFonts w:ascii="Times New Roman" w:eastAsia="Times New Roman" w:hAnsi="Times New Roman" w:cs="Times New Roman"/>
          <w:sz w:val="22"/>
          <w:szCs w:val="22"/>
        </w:rPr>
        <w:t xml:space="preserve"> reasonably possible.</w:t>
      </w:r>
    </w:p>
    <w:p w14:paraId="10AB23C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The Contractor commits to use confidential materials solely for the purpose of fulfilling its obligations arising from this Agreement.</w:t>
      </w:r>
    </w:p>
    <w:p w14:paraId="10AB23C6"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Upon termination or expiry of this Agreement, the Contractor shall without undue delay deliver to the Client the Client-owned materials held by the Contractor and, upon written request, delete the Client's confidential information, except to the extent retention is required by law, professional record-keeping obligations or routine backup procedures. Any retained information shall remain protected by the confidentiality obligations of this Agreement and shall not be used for any other purpose.</w:t>
      </w:r>
    </w:p>
    <w:p w14:paraId="10AB23C7"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The obligation to protect confidential information remains valid even after the termination of this Agreement.</w:t>
      </w:r>
    </w:p>
    <w:p w14:paraId="10AB23C8"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The Contractor may subcontract parts of the services to third parties. The Contractor shall ensure that each subcontractor with access to the Client's confidential information or personal data is bound by confidentiality and data-protection obligations no less protective than those in this Agreement. The Contractor remains responsible to the Client for the proper performance of subcontracted services.</w:t>
      </w:r>
    </w:p>
    <w:p w14:paraId="10AB23C9"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Contractor shall notify the Client in advance of any subcontractor who will have access to the Client's confidential information, personal data, advertising accounts or analytics platforms. The Client may reasonably object to such subcontractor within five (5) business days of the notification.</w:t>
      </w:r>
    </w:p>
    <w:p w14:paraId="10AB23CA"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6. Upon full payment of the applicable fees, the Contractor grants the Client an exclusive, worldwide, perpetual </w:t>
      </w:r>
      <w:proofErr w:type="spellStart"/>
      <w:r>
        <w:rPr>
          <w:rFonts w:ascii="Times New Roman" w:eastAsia="Times New Roman" w:hAnsi="Times New Roman" w:cs="Times New Roman"/>
          <w:sz w:val="22"/>
          <w:szCs w:val="22"/>
        </w:rPr>
        <w:t>licence</w:t>
      </w:r>
      <w:proofErr w:type="spellEnd"/>
      <w:r>
        <w:rPr>
          <w:rFonts w:ascii="Times New Roman" w:eastAsia="Times New Roman" w:hAnsi="Times New Roman" w:cs="Times New Roman"/>
          <w:sz w:val="22"/>
          <w:szCs w:val="22"/>
        </w:rPr>
        <w:t xml:space="preserve"> to use, reproduce, publish, communicate, modify and adapt the final campaign creatives, copy and other final deliverables created specifically for the Client under this Agreement, including the right to use them throughout the Client’s </w:t>
      </w:r>
      <w:proofErr w:type="spellStart"/>
      <w:r>
        <w:rPr>
          <w:rFonts w:ascii="Times New Roman" w:eastAsia="Times New Roman" w:hAnsi="Times New Roman" w:cs="Times New Roman"/>
          <w:sz w:val="22"/>
          <w:szCs w:val="22"/>
        </w:rPr>
        <w:t>organisational</w:t>
      </w:r>
      <w:proofErr w:type="spellEnd"/>
      <w:r>
        <w:rPr>
          <w:rFonts w:ascii="Times New Roman" w:eastAsia="Times New Roman" w:hAnsi="Times New Roman" w:cs="Times New Roman"/>
          <w:sz w:val="22"/>
          <w:szCs w:val="22"/>
        </w:rPr>
        <w:t xml:space="preserve"> units and to permit the Client’s service providers to use them solely on the Client’s behalf. The Contractor retains ownership of its pre-existing materials, methodologies, templates, software, know-how and tools. To the extent such pre-existing materials are embedded in a final deliverable, the Contractor grants the Client a non-exclusive, worldwide, perpetual </w:t>
      </w:r>
      <w:proofErr w:type="spellStart"/>
      <w:r>
        <w:rPr>
          <w:rFonts w:ascii="Times New Roman" w:eastAsia="Times New Roman" w:hAnsi="Times New Roman" w:cs="Times New Roman"/>
          <w:sz w:val="22"/>
          <w:szCs w:val="22"/>
        </w:rPr>
        <w:t>licence</w:t>
      </w:r>
      <w:proofErr w:type="spellEnd"/>
      <w:r>
        <w:rPr>
          <w:rFonts w:ascii="Times New Roman" w:eastAsia="Times New Roman" w:hAnsi="Times New Roman" w:cs="Times New Roman"/>
          <w:sz w:val="22"/>
          <w:szCs w:val="22"/>
        </w:rPr>
        <w:t xml:space="preserve"> to use them as part of that deliverable. Third-party materials remain subject to their applicable </w:t>
      </w:r>
      <w:proofErr w:type="spellStart"/>
      <w:r>
        <w:rPr>
          <w:rFonts w:ascii="Times New Roman" w:eastAsia="Times New Roman" w:hAnsi="Times New Roman" w:cs="Times New Roman"/>
          <w:sz w:val="22"/>
          <w:szCs w:val="22"/>
        </w:rPr>
        <w:t>licence</w:t>
      </w:r>
      <w:proofErr w:type="spellEnd"/>
      <w:r>
        <w:rPr>
          <w:rFonts w:ascii="Times New Roman" w:eastAsia="Times New Roman" w:hAnsi="Times New Roman" w:cs="Times New Roman"/>
          <w:sz w:val="22"/>
          <w:szCs w:val="22"/>
        </w:rPr>
        <w:t xml:space="preserve"> terms. The Contractor shall obtain from its personnel and subcontractors the rights necessary to grant the </w:t>
      </w:r>
      <w:proofErr w:type="spellStart"/>
      <w:r>
        <w:rPr>
          <w:rFonts w:ascii="Times New Roman" w:eastAsia="Times New Roman" w:hAnsi="Times New Roman" w:cs="Times New Roman"/>
          <w:sz w:val="22"/>
          <w:szCs w:val="22"/>
        </w:rPr>
        <w:t>licences</w:t>
      </w:r>
      <w:proofErr w:type="spellEnd"/>
      <w:r>
        <w:rPr>
          <w:rFonts w:ascii="Times New Roman" w:eastAsia="Times New Roman" w:hAnsi="Times New Roman" w:cs="Times New Roman"/>
          <w:sz w:val="22"/>
          <w:szCs w:val="22"/>
        </w:rPr>
        <w:t xml:space="preserve"> described in this paragraph.</w:t>
      </w:r>
    </w:p>
    <w:p w14:paraId="10AB23CB"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Each Party shall comply with applicable </w:t>
      </w:r>
      <w:proofErr w:type="gramStart"/>
      <w:r>
        <w:rPr>
          <w:rFonts w:ascii="Times New Roman" w:eastAsia="Times New Roman" w:hAnsi="Times New Roman" w:cs="Times New Roman"/>
          <w:sz w:val="22"/>
          <w:szCs w:val="22"/>
        </w:rPr>
        <w:t>personal-data</w:t>
      </w:r>
      <w:proofErr w:type="gramEnd"/>
      <w:r>
        <w:rPr>
          <w:rFonts w:ascii="Times New Roman" w:eastAsia="Times New Roman" w:hAnsi="Times New Roman" w:cs="Times New Roman"/>
          <w:sz w:val="22"/>
          <w:szCs w:val="22"/>
        </w:rPr>
        <w:t xml:space="preserve"> protection law, including Regulation (EU) 2016/679. The Client is responsible for determining the lawful basis for tracking and advertising activities; implementing and testing tracking in its websites, application systems and closed information-technology infrastructure; and maintaining legally compliant notices and consent-management mechanisms on systems under </w:t>
      </w:r>
      <w:proofErr w:type="gramStart"/>
      <w:r>
        <w:rPr>
          <w:rFonts w:ascii="Times New Roman" w:eastAsia="Times New Roman" w:hAnsi="Times New Roman" w:cs="Times New Roman"/>
          <w:sz w:val="22"/>
          <w:szCs w:val="22"/>
        </w:rPr>
        <w:t>its</w:t>
      </w:r>
      <w:proofErr w:type="gramEnd"/>
      <w:r>
        <w:rPr>
          <w:rFonts w:ascii="Times New Roman" w:eastAsia="Times New Roman" w:hAnsi="Times New Roman" w:cs="Times New Roman"/>
          <w:sz w:val="22"/>
          <w:szCs w:val="22"/>
        </w:rPr>
        <w:t xml:space="preserve"> control. The Contractor may configure campaign, analytics and reporting settings within the platforms to which the Client grants it access, in accordance with the Client’s documented instructions, and shall not knowingly activate non-essential marketing or analytics functions before the required consent signal is available.</w:t>
      </w:r>
    </w:p>
    <w:p w14:paraId="10AB23CC" w14:textId="77777777" w:rsidR="00A862C6" w:rsidRDefault="006C6030">
      <w:pPr>
        <w:spacing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The Client shall be entitled, upon reasonable prior notice, to request information demonstrating compliance with the data-protection, confidentiality and security obligations under this Agreement. The Contractor shall provide reasonable cooperation in connection with audits required under applicable public-sector regulations.</w:t>
      </w:r>
    </w:p>
    <w:p w14:paraId="10AB23CD" w14:textId="77777777" w:rsidR="00A862C6" w:rsidRDefault="006C6030">
      <w:pPr>
        <w:spacing w:after="1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To the extent that the Contractor processes personal data on behalf of the Client, the Parties shall enter into a data-processing agreement satisfying Article 28 of Regulation (EU) 2016/679 before such processing begins. That agreement shall specify the subject matter, duration, nature and purpose of processing, categories of data and data subjects, documented instructions, confidentiality, security measures, </w:t>
      </w:r>
      <w:proofErr w:type="spellStart"/>
      <w:r>
        <w:rPr>
          <w:rFonts w:ascii="Times New Roman" w:eastAsia="Times New Roman" w:hAnsi="Times New Roman" w:cs="Times New Roman"/>
          <w:sz w:val="22"/>
          <w:szCs w:val="22"/>
        </w:rPr>
        <w:t>subprocessors</w:t>
      </w:r>
      <w:proofErr w:type="spellEnd"/>
      <w:r>
        <w:rPr>
          <w:rFonts w:ascii="Times New Roman" w:eastAsia="Times New Roman" w:hAnsi="Times New Roman" w:cs="Times New Roman"/>
          <w:sz w:val="22"/>
          <w:szCs w:val="22"/>
        </w:rPr>
        <w:t>, assistance obligations, incident reporting, audits and deletion or return of data.</w:t>
      </w:r>
    </w:p>
    <w:p w14:paraId="10AB23CF" w14:textId="08FBC6D7" w:rsidR="00A862C6" w:rsidRPr="00B30B31" w:rsidRDefault="006C6030" w:rsidP="00B30B31">
      <w:pPr>
        <w:spacing w:after="120"/>
        <w:jc w:val="both"/>
      </w:pPr>
      <w:r>
        <w:rPr>
          <w:rFonts w:ascii="Times New Roman" w:eastAsia="Times New Roman" w:hAnsi="Times New Roman" w:cs="Times New Roman"/>
          <w:sz w:val="22"/>
          <w:szCs w:val="22"/>
        </w:rPr>
        <w:t xml:space="preserve">10. The Contractor shall apply reasonable technical and </w:t>
      </w:r>
      <w:proofErr w:type="spellStart"/>
      <w:r>
        <w:rPr>
          <w:rFonts w:ascii="Times New Roman" w:eastAsia="Times New Roman" w:hAnsi="Times New Roman" w:cs="Times New Roman"/>
          <w:sz w:val="22"/>
          <w:szCs w:val="22"/>
        </w:rPr>
        <w:t>organisational</w:t>
      </w:r>
      <w:proofErr w:type="spellEnd"/>
      <w:r>
        <w:rPr>
          <w:rFonts w:ascii="Times New Roman" w:eastAsia="Times New Roman" w:hAnsi="Times New Roman" w:cs="Times New Roman"/>
          <w:sz w:val="22"/>
          <w:szCs w:val="22"/>
        </w:rPr>
        <w:t xml:space="preserve"> security measures and notify the Client without undue delay after becoming aware of a personal-data breach affecting data processed on the Client’s behalf. The Client shall not instruct the Contractor to upload special-category data or directly </w:t>
      </w:r>
      <w:proofErr w:type="gramStart"/>
      <w:r>
        <w:rPr>
          <w:rFonts w:ascii="Times New Roman" w:eastAsia="Times New Roman" w:hAnsi="Times New Roman" w:cs="Times New Roman"/>
          <w:sz w:val="22"/>
          <w:szCs w:val="22"/>
        </w:rPr>
        <w:t>identifying</w:t>
      </w:r>
      <w:proofErr w:type="gramEnd"/>
      <w:r>
        <w:rPr>
          <w:rFonts w:ascii="Times New Roman" w:eastAsia="Times New Roman" w:hAnsi="Times New Roman" w:cs="Times New Roman"/>
          <w:sz w:val="22"/>
          <w:szCs w:val="22"/>
        </w:rPr>
        <w:t xml:space="preserve"> applicant information to advertising platforms unless the Parties have first documented a lawful and technically appropriate implementation.</w:t>
      </w:r>
    </w:p>
    <w:p w14:paraId="10AB23D0"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VIII.</w:t>
      </w:r>
    </w:p>
    <w:p w14:paraId="10AB23D1" w14:textId="77777777" w:rsidR="00A862C6" w:rsidRDefault="006C6030">
      <w:pPr>
        <w:spacing w:before="240" w:after="240" w:line="276" w:lineRule="auto"/>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Liability for Damages and Penalties for Delay</w:t>
      </w:r>
    </w:p>
    <w:p w14:paraId="10AB23D2" w14:textId="72310288"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If the Contractor is culpably delayed in delivering an expressly agreed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Campaign Launch or other deliverable by a binding deadline, the Client may claim a contractual penalty of 0.2</w:t>
      </w:r>
      <w:r w:rsidR="00B876E8">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of the price of the specific delayed service for each day of delay. No contractual penalty shall apply to delay caused by the Client's failure to cooperate, delayed approvals or materials, third-party platforms, force majeure or another circumstance outside the Contractor's reasonable control.</w:t>
      </w:r>
    </w:p>
    <w:p w14:paraId="10AB23D3"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If the Client is in default in paying any invoiced amount, the Contractor is entitled to statutory late-payment interest.</w:t>
      </w:r>
    </w:p>
    <w:p w14:paraId="10AB23D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3. Payment of a contractual penalty does not release the breaching Party from its obligation to perform. A party may claim damages caused by the same breach only to the extent that such </w:t>
      </w:r>
      <w:proofErr w:type="gramStart"/>
      <w:r>
        <w:rPr>
          <w:rFonts w:ascii="Times New Roman" w:eastAsia="Times New Roman" w:hAnsi="Times New Roman" w:cs="Times New Roman"/>
          <w:sz w:val="22"/>
          <w:szCs w:val="22"/>
        </w:rPr>
        <w:t>damages</w:t>
      </w:r>
      <w:proofErr w:type="gramEnd"/>
      <w:r>
        <w:rPr>
          <w:rFonts w:ascii="Times New Roman" w:eastAsia="Times New Roman" w:hAnsi="Times New Roman" w:cs="Times New Roman"/>
          <w:sz w:val="22"/>
          <w:szCs w:val="22"/>
        </w:rPr>
        <w:t xml:space="preserve"> exceed the contractual penalty paid, subject to the limitations in this Article.</w:t>
      </w:r>
    </w:p>
    <w:p w14:paraId="10AB23D5"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If the Client delays payment of any financial obligation, the Contractor may suspend the affected services and Ad Spend until full payment is received. The Contractor shall not be liable for campaign interruption, reduced performance or delay resulting from such suspension, and relevant delivery deadlines shall be extended accordingly.</w:t>
      </w:r>
    </w:p>
    <w:p w14:paraId="10AB23D6" w14:textId="62E057D0"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To the maximum extent permitted by law, neither Party shall be liable for indirect or consequential loss or loss of anticipated profit, admissions</w:t>
      </w:r>
      <w:sdt>
        <w:sdtPr>
          <w:tag w:val="goog_rdk_0"/>
          <w:id w:val="-1710795909"/>
          <w:showingPlcHdr/>
        </w:sdtPr>
        <w:sdtContent>
          <w:r w:rsidR="00B876E8">
            <w:t xml:space="preserve">     </w:t>
          </w:r>
        </w:sdtContent>
      </w:sdt>
      <w:r>
        <w:rPr>
          <w:rFonts w:ascii="Times New Roman" w:eastAsia="Times New Roman" w:hAnsi="Times New Roman" w:cs="Times New Roman"/>
          <w:sz w:val="22"/>
          <w:szCs w:val="22"/>
        </w:rPr>
        <w:t xml:space="preserve"> </w:t>
      </w:r>
      <w:sdt>
        <w:sdtPr>
          <w:tag w:val="goog_rdk_1"/>
          <w:id w:val="-1206221042"/>
        </w:sdtPr>
        <w:sdtContent>
          <w:r>
            <w:rPr>
              <w:rFonts w:ascii="Times New Roman" w:eastAsia="Times New Roman" w:hAnsi="Times New Roman" w:cs="Times New Roman"/>
              <w:sz w:val="22"/>
              <w:szCs w:val="22"/>
            </w:rPr>
            <w:t xml:space="preserve">or </w:t>
          </w:r>
        </w:sdtContent>
      </w:sdt>
      <w:r>
        <w:rPr>
          <w:rFonts w:ascii="Times New Roman" w:eastAsia="Times New Roman" w:hAnsi="Times New Roman" w:cs="Times New Roman"/>
          <w:sz w:val="22"/>
          <w:szCs w:val="22"/>
        </w:rPr>
        <w:t xml:space="preserve">business opportunity </w:t>
      </w:r>
      <w:sdt>
        <w:sdtPr>
          <w:tag w:val="goog_rdk_2"/>
          <w:id w:val="-43750167"/>
          <w:showingPlcHdr/>
        </w:sdtPr>
        <w:sdtContent>
          <w:r w:rsidR="00B876E8">
            <w:t xml:space="preserve">     </w:t>
          </w:r>
        </w:sdtContent>
      </w:sdt>
      <w:r>
        <w:rPr>
          <w:rFonts w:ascii="Times New Roman" w:eastAsia="Times New Roman" w:hAnsi="Times New Roman" w:cs="Times New Roman"/>
          <w:sz w:val="22"/>
          <w:szCs w:val="22"/>
        </w:rPr>
        <w:t>, except where such loss was caused intentionally or through gross negligence.</w:t>
      </w:r>
    </w:p>
    <w:p w14:paraId="10AB23D7"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IX.</w:t>
      </w:r>
    </w:p>
    <w:p w14:paraId="10AB23D8"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Termination of the Agreement</w:t>
      </w:r>
    </w:p>
    <w:p w14:paraId="10AB23D9"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The Client may terminate this Agreement for the Contractor’s material breach only after delivering a written notice describing the breach in reasonable detail and allowing the Contractor at least ten (10) business days to remedy it. The Client may terminate with immediate effect only where the breach is incapable of remedy or where mandatory law permits immediate termination.</w:t>
      </w:r>
    </w:p>
    <w:p w14:paraId="10AB23DA"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For the purposes of this Agreement, a material breach shall include in particular:</w:t>
      </w:r>
    </w:p>
    <w:p w14:paraId="10AB23DB" w14:textId="77777777" w:rsidR="00A862C6" w:rsidRDefault="006C6030">
      <w:pPr>
        <w:spacing w:before="240" w:after="240" w:line="276" w:lineRule="auto"/>
        <w:ind w:firstLine="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 repeated failure to provide the agreed services;</w:t>
      </w:r>
    </w:p>
    <w:p w14:paraId="10AB23DC" w14:textId="77777777" w:rsidR="00A862C6" w:rsidRDefault="006C6030">
      <w:pPr>
        <w:spacing w:before="240" w:after="240" w:line="276" w:lineRule="auto"/>
        <w:ind w:firstLine="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 breach of confidentiality obligations;</w:t>
      </w:r>
    </w:p>
    <w:p w14:paraId="10AB23DD" w14:textId="77777777" w:rsidR="00A862C6" w:rsidRDefault="006C6030">
      <w:pPr>
        <w:spacing w:before="240" w:after="240" w:line="276" w:lineRule="auto"/>
        <w:ind w:firstLine="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 breach of personal data protection obligations;</w:t>
      </w:r>
    </w:p>
    <w:p w14:paraId="10AB23DE" w14:textId="77777777" w:rsidR="00A862C6" w:rsidRDefault="006C6030">
      <w:pPr>
        <w:spacing w:before="240" w:after="240" w:line="276" w:lineRule="auto"/>
        <w:ind w:firstLine="284"/>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failure to maintain reasonable professional standards in the provision of the services. </w:t>
      </w:r>
    </w:p>
    <w:p w14:paraId="10AB23D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 The Contractor has the right to terminate this Agreement if the Client remains in default in paying any amount due under Article IV for more than thirty (30) days after receiving written notice of the default from the Contractor.</w:t>
      </w:r>
    </w:p>
    <w:p w14:paraId="10AB23E0"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Operational communications, Monthly </w:t>
      </w:r>
      <w:proofErr w:type="spellStart"/>
      <w:r>
        <w:rPr>
          <w:rFonts w:ascii="Times New Roman" w:eastAsia="Times New Roman" w:hAnsi="Times New Roman" w:cs="Times New Roman"/>
          <w:sz w:val="22"/>
          <w:szCs w:val="22"/>
        </w:rPr>
        <w:t>Programme</w:t>
      </w:r>
      <w:proofErr w:type="spellEnd"/>
      <w:r>
        <w:rPr>
          <w:rFonts w:ascii="Times New Roman" w:eastAsia="Times New Roman" w:hAnsi="Times New Roman" w:cs="Times New Roman"/>
          <w:sz w:val="22"/>
          <w:szCs w:val="22"/>
        </w:rPr>
        <w:t xml:space="preserve"> Activity Schedules and approvals may be exchanged by email. A notice terminating this Agreement or alleging a material breach must be delivered through a data box, by registered post, by email bearing a </w:t>
      </w:r>
      <w:proofErr w:type="spellStart"/>
      <w:r>
        <w:rPr>
          <w:rFonts w:ascii="Times New Roman" w:eastAsia="Times New Roman" w:hAnsi="Times New Roman" w:cs="Times New Roman"/>
          <w:sz w:val="22"/>
          <w:szCs w:val="22"/>
        </w:rPr>
        <w:t>recognised</w:t>
      </w:r>
      <w:proofErr w:type="spellEnd"/>
      <w:r>
        <w:rPr>
          <w:rFonts w:ascii="Times New Roman" w:eastAsia="Times New Roman" w:hAnsi="Times New Roman" w:cs="Times New Roman"/>
          <w:sz w:val="22"/>
          <w:szCs w:val="22"/>
        </w:rPr>
        <w:t xml:space="preserve"> electronic signature, or by email whose receipt is expressly acknowledged by the receiving Party. An ordinary unacknowledged email shall not by itself constitute effective delivery of a termination notice.</w:t>
      </w:r>
    </w:p>
    <w:p w14:paraId="10AB23E1"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Upon termination or expiry, the Contractor shall deliver the paid-for final deliverables completed up to the termination date, and the Client shall pay all fees, approved Ad Spend and other amounts accrued up to that date. Any unspent Ad Spend balance shall be credited or returned in accordance with Article IV. The nature of services already provided does not require either Party to return completed performance that cannot reasonably be returned.</w:t>
      </w:r>
    </w:p>
    <w:p w14:paraId="10AB23E2"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 This Agreement is concluded for the fixed Initial Term specified in Article III and shall expire at the end of the Initial Term without the need for notice, unless extended by a written amendment.</w:t>
      </w:r>
    </w:p>
    <w:p w14:paraId="10AB23E3"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7. Both parties may terminate the Agreement without cause with two months’ written notice delivered to the other party. The notice period shall commence on the first day of the calendar month following delivery of the notice. This provision does not affect either Party’s right to terminate the Agreement due to a material breach under paragraphs 1 or 2 of this Article or under mandatory provisions of applicable law.</w:t>
      </w:r>
    </w:p>
    <w:p w14:paraId="10AB23E4"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The Contractor may not terminate this Agreement without cause during the Initial Term.</w:t>
      </w:r>
    </w:p>
    <w:p w14:paraId="10AB23E5" w14:textId="77777777" w:rsidR="00A862C6" w:rsidRDefault="006C6030">
      <w:pPr>
        <w:spacing w:after="120"/>
        <w:jc w:val="both"/>
      </w:pPr>
      <w:r>
        <w:rPr>
          <w:rFonts w:ascii="Times New Roman" w:eastAsia="Times New Roman" w:hAnsi="Times New Roman" w:cs="Times New Roman"/>
          <w:sz w:val="22"/>
          <w:szCs w:val="22"/>
        </w:rPr>
        <w:t>9. Termination without cause shall not affect the Client's obligation to pay fees properly accrued for Services performed prior to the termination date.</w:t>
      </w:r>
    </w:p>
    <w:p w14:paraId="10AB23E6"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X.</w:t>
      </w:r>
    </w:p>
    <w:p w14:paraId="10AB23E7" w14:textId="77777777" w:rsidR="00A862C6" w:rsidRDefault="006C6030">
      <w:pPr>
        <w:spacing w:before="240" w:after="240" w:line="276"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Final Provisions</w:t>
      </w:r>
    </w:p>
    <w:p w14:paraId="10AB23E8"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 This Agreement represents a complete Agreement between the Parties regarding the subject matter herein and supersedes all prior Agreements relating to the subject matter of this Agreement.</w:t>
      </w:r>
    </w:p>
    <w:p w14:paraId="10AB23E9"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 The Parties agree that their legal relationships, obligations, rights, and duties arising from this Agreement shall be governed by the laws of the Czech Republic.</w:t>
      </w:r>
    </w:p>
    <w:p w14:paraId="10AB23EA"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The Parties </w:t>
      </w:r>
      <w:proofErr w:type="gramStart"/>
      <w:r>
        <w:rPr>
          <w:rFonts w:ascii="Times New Roman" w:eastAsia="Times New Roman" w:hAnsi="Times New Roman" w:cs="Times New Roman"/>
          <w:sz w:val="22"/>
          <w:szCs w:val="22"/>
        </w:rPr>
        <w:t>shall at all times</w:t>
      </w:r>
      <w:proofErr w:type="gram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endeavour</w:t>
      </w:r>
      <w:proofErr w:type="spellEnd"/>
      <w:r>
        <w:rPr>
          <w:rFonts w:ascii="Times New Roman" w:eastAsia="Times New Roman" w:hAnsi="Times New Roman" w:cs="Times New Roman"/>
          <w:sz w:val="22"/>
          <w:szCs w:val="22"/>
        </w:rPr>
        <w:t xml:space="preserve"> to resolve any disputes arising from the Agreement out of court. The Parties agree that any litigation shall be settled in the court having local jurisdiction at the Client’s registered office.</w:t>
      </w:r>
    </w:p>
    <w:p w14:paraId="10AB23EB"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 This Agreement may be amended only by a written amendment signed by both Parties. Where an amendment is subject to publication in the Register of Contracts, it shall become effective no earlier than the date of its publication.</w:t>
      </w:r>
    </w:p>
    <w:p w14:paraId="10AB23EC"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 The Agreement is concluded in electronic form. If this Agreement is concluded in paper form, it shall be drawn up in three counterparts with the validity of the original, with the Contractor receiving one and the Client two of them.</w:t>
      </w:r>
    </w:p>
    <w:p w14:paraId="10AB23ED"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This Agreement shall enter into force on the date it is signed by the </w:t>
      </w:r>
      <w:proofErr w:type="spellStart"/>
      <w:r>
        <w:rPr>
          <w:rFonts w:ascii="Times New Roman" w:eastAsia="Times New Roman" w:hAnsi="Times New Roman" w:cs="Times New Roman"/>
          <w:sz w:val="22"/>
          <w:szCs w:val="22"/>
        </w:rPr>
        <w:t>authorised</w:t>
      </w:r>
      <w:proofErr w:type="spellEnd"/>
      <w:r>
        <w:rPr>
          <w:rFonts w:ascii="Times New Roman" w:eastAsia="Times New Roman" w:hAnsi="Times New Roman" w:cs="Times New Roman"/>
          <w:sz w:val="22"/>
          <w:szCs w:val="22"/>
        </w:rPr>
        <w:t xml:space="preserve"> representatives of both Parties. As the Agreement is subject to publication in the Register of Contracts pursuant to Act No. 340/2015 Coll., it shall become effective on the date of its publication in the Register of Contracts. The Client shall arrange publication without undue delay, no later than five (5) business days after signature, and shall provide the Contractor with confirmation of publication. The Contractor shall not be required to commence performance before the Agreement becomes effective.</w:t>
      </w:r>
    </w:p>
    <w:p w14:paraId="10AB23EE"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 The Contractor consents to publication of this Agreement to the extent required by Act No. 340/2015 Coll., on the Register of Contracts, and to disclosure required under Act No. 106/1999 Coll., on Free Access to Information, as amended. The Client is responsible for publication and for applying any redactions required or permitted by applicable law, including the protection of personal data and third-party confidential information. The Contractor acknowledges the financial-control obligations applicable to public funds and shall provide cooperation reasonably required under Act No. 320/2001 Coll., on Financial Control, as amended.</w:t>
      </w:r>
    </w:p>
    <w:p w14:paraId="10AB23EF" w14:textId="77777777" w:rsidR="00A862C6" w:rsidRDefault="006C6030">
      <w:pPr>
        <w:spacing w:before="240" w:after="240" w:line="276"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8. The Parties have read this Agreement, agree with its content, and declare that it has been freely negotiated.</w:t>
      </w:r>
    </w:p>
    <w:p w14:paraId="10AB23F0" w14:textId="77777777" w:rsidR="00A862C6" w:rsidRDefault="006C6030">
      <w:pPr>
        <w:spacing w:after="120"/>
        <w:jc w:val="both"/>
      </w:pPr>
      <w:r>
        <w:rPr>
          <w:rFonts w:ascii="Times New Roman" w:eastAsia="Times New Roman" w:hAnsi="Times New Roman" w:cs="Times New Roman"/>
          <w:sz w:val="22"/>
          <w:szCs w:val="22"/>
        </w:rPr>
        <w:lastRenderedPageBreak/>
        <w:t>9. If any provision of this Agreement is held invalid or unenforceable, the remaining provisions shall remain in effect. The Parties shall replace the affected provision with a valid provision that most closely reflects its commercial purpose.</w:t>
      </w:r>
    </w:p>
    <w:p w14:paraId="10AB23F1" w14:textId="77777777" w:rsidR="00A862C6" w:rsidRDefault="006C6030">
      <w:pPr>
        <w:spacing w:after="120"/>
        <w:jc w:val="both"/>
      </w:pPr>
      <w:r>
        <w:rPr>
          <w:rFonts w:ascii="Times New Roman" w:eastAsia="Times New Roman" w:hAnsi="Times New Roman" w:cs="Times New Roman"/>
          <w:sz w:val="22"/>
          <w:szCs w:val="22"/>
        </w:rPr>
        <w:t>10. This Agreement is executed in the English language. Each Party confirms that it understands its contents. If a Czech translation is prepared for administrative purposes, the English version shall prevail unless the Parties expressly agree otherwise in writing.</w:t>
      </w:r>
    </w:p>
    <w:p w14:paraId="10AB23F2" w14:textId="77777777" w:rsidR="00A862C6" w:rsidRDefault="006C6030">
      <w:pPr>
        <w:spacing w:after="120"/>
        <w:jc w:val="both"/>
      </w:pPr>
      <w:r>
        <w:rPr>
          <w:rFonts w:ascii="Times New Roman" w:eastAsia="Times New Roman" w:hAnsi="Times New Roman" w:cs="Times New Roman"/>
          <w:sz w:val="22"/>
          <w:szCs w:val="22"/>
        </w:rPr>
        <w:t>11. Annex No. 1 forms an integral part of this Agreement.</w:t>
      </w:r>
    </w:p>
    <w:p w14:paraId="10AB23F3" w14:textId="77777777" w:rsidR="00A862C6" w:rsidRDefault="00A862C6">
      <w:pPr>
        <w:spacing w:before="240" w:after="240" w:line="276" w:lineRule="auto"/>
        <w:jc w:val="both"/>
        <w:rPr>
          <w:rFonts w:ascii="Times New Roman" w:eastAsia="Times New Roman" w:hAnsi="Times New Roman" w:cs="Times New Roman"/>
          <w:sz w:val="22"/>
          <w:szCs w:val="22"/>
        </w:rPr>
      </w:pPr>
    </w:p>
    <w:tbl>
      <w:tblPr>
        <w:tblStyle w:val="a0"/>
        <w:tblW w:w="8784" w:type="dxa"/>
        <w:jc w:val="center"/>
        <w:tblInd w:w="0" w:type="dxa"/>
        <w:tblLayout w:type="fixed"/>
        <w:tblLook w:val="0400" w:firstRow="0" w:lastRow="0" w:firstColumn="0" w:lastColumn="0" w:noHBand="0" w:noVBand="1"/>
      </w:tblPr>
      <w:tblGrid>
        <w:gridCol w:w="4392"/>
        <w:gridCol w:w="4392"/>
      </w:tblGrid>
      <w:tr w:rsidR="00A862C6" w14:paraId="10AB23F6" w14:textId="77777777">
        <w:trPr>
          <w:cantSplit/>
          <w:jc w:val="center"/>
        </w:trPr>
        <w:tc>
          <w:tcPr>
            <w:tcW w:w="4392" w:type="dxa"/>
            <w:tcBorders>
              <w:top w:val="nil"/>
              <w:left w:val="nil"/>
              <w:bottom w:val="nil"/>
              <w:right w:val="nil"/>
            </w:tcBorders>
            <w:tcMar>
              <w:top w:w="100" w:type="dxa"/>
              <w:left w:w="120" w:type="dxa"/>
              <w:bottom w:w="100" w:type="dxa"/>
              <w:right w:w="120" w:type="dxa"/>
            </w:tcMar>
            <w:vAlign w:val="center"/>
          </w:tcPr>
          <w:p w14:paraId="10AB23F4" w14:textId="77777777" w:rsidR="00A862C6" w:rsidRPr="00755719" w:rsidRDefault="006C6030">
            <w:pPr>
              <w:rPr>
                <w:lang w:val="fr-FR"/>
              </w:rPr>
            </w:pPr>
            <w:proofErr w:type="gramStart"/>
            <w:r w:rsidRPr="00755719">
              <w:rPr>
                <w:rFonts w:ascii="Times New Roman" w:eastAsia="Times New Roman" w:hAnsi="Times New Roman" w:cs="Times New Roman"/>
                <w:sz w:val="22"/>
                <w:szCs w:val="22"/>
                <w:lang w:val="fr-FR"/>
              </w:rPr>
              <w:t>Client:</w:t>
            </w:r>
            <w:proofErr w:type="gramEnd"/>
            <w:r w:rsidRPr="00755719">
              <w:rPr>
                <w:rFonts w:ascii="Times New Roman" w:eastAsia="Times New Roman" w:hAnsi="Times New Roman" w:cs="Times New Roman"/>
                <w:sz w:val="22"/>
                <w:szCs w:val="22"/>
                <w:lang w:val="fr-FR"/>
              </w:rPr>
              <w:t xml:space="preserve"> </w:t>
            </w:r>
            <w:proofErr w:type="spellStart"/>
            <w:r w:rsidRPr="00755719">
              <w:rPr>
                <w:rFonts w:ascii="Times New Roman" w:eastAsia="Times New Roman" w:hAnsi="Times New Roman" w:cs="Times New Roman"/>
                <w:sz w:val="22"/>
                <w:szCs w:val="22"/>
                <w:lang w:val="fr-FR"/>
              </w:rPr>
              <w:t>Česká</w:t>
            </w:r>
            <w:proofErr w:type="spellEnd"/>
            <w:r w:rsidRPr="00755719">
              <w:rPr>
                <w:rFonts w:ascii="Times New Roman" w:eastAsia="Times New Roman" w:hAnsi="Times New Roman" w:cs="Times New Roman"/>
                <w:sz w:val="22"/>
                <w:szCs w:val="22"/>
                <w:lang w:val="fr-FR"/>
              </w:rPr>
              <w:t xml:space="preserve"> </w:t>
            </w:r>
            <w:proofErr w:type="spellStart"/>
            <w:r w:rsidRPr="00755719">
              <w:rPr>
                <w:rFonts w:ascii="Times New Roman" w:eastAsia="Times New Roman" w:hAnsi="Times New Roman" w:cs="Times New Roman"/>
                <w:sz w:val="22"/>
                <w:szCs w:val="22"/>
                <w:lang w:val="fr-FR"/>
              </w:rPr>
              <w:t>zemědělská</w:t>
            </w:r>
            <w:proofErr w:type="spellEnd"/>
            <w:r w:rsidRPr="00755719">
              <w:rPr>
                <w:rFonts w:ascii="Times New Roman" w:eastAsia="Times New Roman" w:hAnsi="Times New Roman" w:cs="Times New Roman"/>
                <w:sz w:val="22"/>
                <w:szCs w:val="22"/>
                <w:lang w:val="fr-FR"/>
              </w:rPr>
              <w:t xml:space="preserve"> </w:t>
            </w:r>
            <w:proofErr w:type="spellStart"/>
            <w:r w:rsidRPr="00755719">
              <w:rPr>
                <w:rFonts w:ascii="Times New Roman" w:eastAsia="Times New Roman" w:hAnsi="Times New Roman" w:cs="Times New Roman"/>
                <w:sz w:val="22"/>
                <w:szCs w:val="22"/>
                <w:lang w:val="fr-FR"/>
              </w:rPr>
              <w:t>univerzita</w:t>
            </w:r>
            <w:proofErr w:type="spellEnd"/>
            <w:r w:rsidRPr="00755719">
              <w:rPr>
                <w:rFonts w:ascii="Times New Roman" w:eastAsia="Times New Roman" w:hAnsi="Times New Roman" w:cs="Times New Roman"/>
                <w:sz w:val="22"/>
                <w:szCs w:val="22"/>
                <w:lang w:val="fr-FR"/>
              </w:rPr>
              <w:t xml:space="preserve"> v </w:t>
            </w:r>
            <w:proofErr w:type="spellStart"/>
            <w:r w:rsidRPr="00755719">
              <w:rPr>
                <w:rFonts w:ascii="Times New Roman" w:eastAsia="Times New Roman" w:hAnsi="Times New Roman" w:cs="Times New Roman"/>
                <w:sz w:val="22"/>
                <w:szCs w:val="22"/>
                <w:lang w:val="fr-FR"/>
              </w:rPr>
              <w:t>Praze</w:t>
            </w:r>
            <w:proofErr w:type="spellEnd"/>
          </w:p>
        </w:tc>
        <w:tc>
          <w:tcPr>
            <w:tcW w:w="4392" w:type="dxa"/>
            <w:tcBorders>
              <w:top w:val="nil"/>
              <w:left w:val="nil"/>
              <w:bottom w:val="nil"/>
              <w:right w:val="nil"/>
            </w:tcBorders>
            <w:tcMar>
              <w:top w:w="100" w:type="dxa"/>
              <w:left w:w="120" w:type="dxa"/>
              <w:bottom w:w="100" w:type="dxa"/>
              <w:right w:w="120" w:type="dxa"/>
            </w:tcMar>
            <w:vAlign w:val="center"/>
          </w:tcPr>
          <w:p w14:paraId="10AB23F5" w14:textId="77777777" w:rsidR="00A862C6" w:rsidRDefault="006C6030">
            <w:r>
              <w:rPr>
                <w:rFonts w:ascii="Times New Roman" w:eastAsia="Times New Roman" w:hAnsi="Times New Roman" w:cs="Times New Roman"/>
                <w:sz w:val="22"/>
                <w:szCs w:val="22"/>
              </w:rPr>
              <w:t xml:space="preserve">Contractor: </w:t>
            </w:r>
            <w:proofErr w:type="spellStart"/>
            <w:r>
              <w:rPr>
                <w:rFonts w:ascii="Times New Roman" w:eastAsia="Times New Roman" w:hAnsi="Times New Roman" w:cs="Times New Roman"/>
                <w:sz w:val="22"/>
                <w:szCs w:val="22"/>
              </w:rPr>
              <w:t>Yups</w:t>
            </w:r>
            <w:proofErr w:type="spellEnd"/>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s.r.o.</w:t>
            </w:r>
            <w:proofErr w:type="spellEnd"/>
          </w:p>
        </w:tc>
      </w:tr>
      <w:tr w:rsidR="00A862C6" w14:paraId="10AB23F9" w14:textId="77777777">
        <w:trPr>
          <w:cantSplit/>
          <w:jc w:val="center"/>
        </w:trPr>
        <w:tc>
          <w:tcPr>
            <w:tcW w:w="4392" w:type="dxa"/>
            <w:tcBorders>
              <w:top w:val="nil"/>
              <w:left w:val="nil"/>
              <w:bottom w:val="nil"/>
              <w:right w:val="nil"/>
            </w:tcBorders>
            <w:tcMar>
              <w:top w:w="100" w:type="dxa"/>
              <w:left w:w="120" w:type="dxa"/>
              <w:bottom w:w="100" w:type="dxa"/>
              <w:right w:w="120" w:type="dxa"/>
            </w:tcMar>
            <w:vAlign w:val="center"/>
          </w:tcPr>
          <w:p w14:paraId="10AB23F7" w14:textId="217122EA" w:rsidR="00A862C6" w:rsidRDefault="006C6030">
            <w:r>
              <w:rPr>
                <w:rFonts w:ascii="Times New Roman" w:eastAsia="Times New Roman" w:hAnsi="Times New Roman" w:cs="Times New Roman"/>
                <w:sz w:val="22"/>
                <w:szCs w:val="22"/>
              </w:rPr>
              <w:t>Represented by: Ing. Vladimír Albrecht Bursar</w:t>
            </w:r>
          </w:p>
        </w:tc>
        <w:tc>
          <w:tcPr>
            <w:tcW w:w="4392" w:type="dxa"/>
            <w:tcBorders>
              <w:top w:val="nil"/>
              <w:left w:val="nil"/>
              <w:bottom w:val="nil"/>
              <w:right w:val="nil"/>
            </w:tcBorders>
            <w:tcMar>
              <w:top w:w="100" w:type="dxa"/>
              <w:left w:w="120" w:type="dxa"/>
              <w:bottom w:w="100" w:type="dxa"/>
              <w:right w:w="120" w:type="dxa"/>
            </w:tcMar>
            <w:vAlign w:val="center"/>
          </w:tcPr>
          <w:p w14:paraId="10AB23F8" w14:textId="77777777" w:rsidR="00A862C6" w:rsidRDefault="006C6030">
            <w:r>
              <w:rPr>
                <w:rFonts w:ascii="Times New Roman" w:eastAsia="Times New Roman" w:hAnsi="Times New Roman" w:cs="Times New Roman"/>
                <w:sz w:val="22"/>
                <w:szCs w:val="22"/>
              </w:rPr>
              <w:t xml:space="preserve">Represented by: Eleni </w:t>
            </w:r>
            <w:proofErr w:type="spellStart"/>
            <w:r>
              <w:rPr>
                <w:rFonts w:ascii="Times New Roman" w:eastAsia="Times New Roman" w:hAnsi="Times New Roman" w:cs="Times New Roman"/>
                <w:sz w:val="22"/>
                <w:szCs w:val="22"/>
              </w:rPr>
              <w:t>Mickovska</w:t>
            </w:r>
            <w:proofErr w:type="spellEnd"/>
            <w:r>
              <w:rPr>
                <w:rFonts w:ascii="Times New Roman" w:eastAsia="Times New Roman" w:hAnsi="Times New Roman" w:cs="Times New Roman"/>
                <w:sz w:val="22"/>
                <w:szCs w:val="22"/>
              </w:rPr>
              <w:t>, Managing Director</w:t>
            </w:r>
          </w:p>
        </w:tc>
      </w:tr>
      <w:tr w:rsidR="00A862C6" w14:paraId="10AB23FC" w14:textId="77777777">
        <w:trPr>
          <w:cantSplit/>
          <w:jc w:val="center"/>
        </w:trPr>
        <w:tc>
          <w:tcPr>
            <w:tcW w:w="4392" w:type="dxa"/>
            <w:tcBorders>
              <w:top w:val="nil"/>
              <w:left w:val="nil"/>
              <w:bottom w:val="nil"/>
              <w:right w:val="nil"/>
            </w:tcBorders>
            <w:tcMar>
              <w:top w:w="100" w:type="dxa"/>
              <w:left w:w="120" w:type="dxa"/>
              <w:bottom w:w="100" w:type="dxa"/>
              <w:right w:w="120" w:type="dxa"/>
            </w:tcMar>
            <w:vAlign w:val="center"/>
          </w:tcPr>
          <w:p w14:paraId="4E4BB68D" w14:textId="77777777" w:rsidR="00CE1DD1" w:rsidRDefault="00CE1DD1">
            <w:pPr>
              <w:rPr>
                <w:rFonts w:ascii="Times New Roman" w:eastAsia="Times New Roman" w:hAnsi="Times New Roman" w:cs="Times New Roman"/>
                <w:sz w:val="22"/>
                <w:szCs w:val="22"/>
              </w:rPr>
            </w:pPr>
          </w:p>
          <w:p w14:paraId="1112CB69" w14:textId="77777777" w:rsidR="007C6A56" w:rsidRDefault="007C6A56">
            <w:pPr>
              <w:rPr>
                <w:rFonts w:ascii="Times New Roman" w:eastAsia="Times New Roman" w:hAnsi="Times New Roman" w:cs="Times New Roman"/>
                <w:sz w:val="22"/>
                <w:szCs w:val="22"/>
              </w:rPr>
            </w:pPr>
          </w:p>
          <w:p w14:paraId="69EC776C" w14:textId="77777777" w:rsidR="007C6A56" w:rsidRDefault="007C6A56">
            <w:pPr>
              <w:rPr>
                <w:rFonts w:ascii="Times New Roman" w:eastAsia="Times New Roman" w:hAnsi="Times New Roman" w:cs="Times New Roman"/>
                <w:sz w:val="22"/>
                <w:szCs w:val="22"/>
              </w:rPr>
            </w:pPr>
          </w:p>
          <w:p w14:paraId="10AB23FA" w14:textId="191230F2" w:rsidR="00A862C6" w:rsidRDefault="006C6030">
            <w:r>
              <w:rPr>
                <w:rFonts w:ascii="Times New Roman" w:eastAsia="Times New Roman" w:hAnsi="Times New Roman" w:cs="Times New Roman"/>
                <w:sz w:val="22"/>
                <w:szCs w:val="22"/>
              </w:rPr>
              <w:t>Signature: __________________________</w:t>
            </w:r>
          </w:p>
        </w:tc>
        <w:tc>
          <w:tcPr>
            <w:tcW w:w="4392" w:type="dxa"/>
            <w:tcBorders>
              <w:top w:val="nil"/>
              <w:left w:val="nil"/>
              <w:bottom w:val="nil"/>
              <w:right w:val="nil"/>
            </w:tcBorders>
            <w:tcMar>
              <w:top w:w="100" w:type="dxa"/>
              <w:left w:w="120" w:type="dxa"/>
              <w:bottom w:w="100" w:type="dxa"/>
              <w:right w:w="120" w:type="dxa"/>
            </w:tcMar>
            <w:vAlign w:val="center"/>
          </w:tcPr>
          <w:p w14:paraId="12763DD2" w14:textId="77777777" w:rsidR="00CE1DD1" w:rsidRDefault="00CE1DD1">
            <w:pPr>
              <w:rPr>
                <w:rFonts w:ascii="Times New Roman" w:eastAsia="Times New Roman" w:hAnsi="Times New Roman" w:cs="Times New Roman"/>
                <w:sz w:val="22"/>
                <w:szCs w:val="22"/>
              </w:rPr>
            </w:pPr>
          </w:p>
          <w:p w14:paraId="1A045B67" w14:textId="77777777" w:rsidR="007C6A56" w:rsidRDefault="007C6A56">
            <w:pPr>
              <w:rPr>
                <w:rFonts w:ascii="Times New Roman" w:eastAsia="Times New Roman" w:hAnsi="Times New Roman" w:cs="Times New Roman"/>
                <w:sz w:val="22"/>
                <w:szCs w:val="22"/>
              </w:rPr>
            </w:pPr>
          </w:p>
          <w:p w14:paraId="2FA2BB1A" w14:textId="77777777" w:rsidR="007C6A56" w:rsidRDefault="007C6A56">
            <w:pPr>
              <w:rPr>
                <w:rFonts w:ascii="Times New Roman" w:eastAsia="Times New Roman" w:hAnsi="Times New Roman" w:cs="Times New Roman"/>
                <w:sz w:val="22"/>
                <w:szCs w:val="22"/>
              </w:rPr>
            </w:pPr>
          </w:p>
          <w:p w14:paraId="10AB23FB" w14:textId="34335077" w:rsidR="00A862C6" w:rsidRDefault="006C6030">
            <w:r>
              <w:rPr>
                <w:rFonts w:ascii="Times New Roman" w:eastAsia="Times New Roman" w:hAnsi="Times New Roman" w:cs="Times New Roman"/>
                <w:sz w:val="22"/>
                <w:szCs w:val="22"/>
              </w:rPr>
              <w:t>Signature: __________________________</w:t>
            </w:r>
          </w:p>
        </w:tc>
      </w:tr>
      <w:tr w:rsidR="00A862C6" w14:paraId="10AB23FF" w14:textId="77777777" w:rsidTr="007C6A56">
        <w:trPr>
          <w:cantSplit/>
          <w:trHeight w:val="993"/>
          <w:jc w:val="center"/>
        </w:trPr>
        <w:tc>
          <w:tcPr>
            <w:tcW w:w="4392" w:type="dxa"/>
            <w:tcBorders>
              <w:top w:val="nil"/>
              <w:left w:val="nil"/>
              <w:bottom w:val="nil"/>
              <w:right w:val="nil"/>
            </w:tcBorders>
            <w:tcMar>
              <w:top w:w="100" w:type="dxa"/>
              <w:left w:w="120" w:type="dxa"/>
              <w:bottom w:w="100" w:type="dxa"/>
              <w:right w:w="120" w:type="dxa"/>
            </w:tcMar>
            <w:vAlign w:val="center"/>
          </w:tcPr>
          <w:p w14:paraId="2C8474F3" w14:textId="77777777" w:rsidR="00CE1DD1" w:rsidRDefault="00CE1DD1">
            <w:pPr>
              <w:rPr>
                <w:rFonts w:ascii="Times New Roman" w:eastAsia="Times New Roman" w:hAnsi="Times New Roman" w:cs="Times New Roman"/>
                <w:sz w:val="22"/>
                <w:szCs w:val="22"/>
              </w:rPr>
            </w:pPr>
          </w:p>
          <w:p w14:paraId="10AB23FD" w14:textId="49A726B3" w:rsidR="00A862C6" w:rsidRDefault="006C6030">
            <w:r>
              <w:rPr>
                <w:rFonts w:ascii="Times New Roman" w:eastAsia="Times New Roman" w:hAnsi="Times New Roman" w:cs="Times New Roman"/>
                <w:sz w:val="22"/>
                <w:szCs w:val="22"/>
              </w:rPr>
              <w:t>Date: ______________________________</w:t>
            </w:r>
          </w:p>
        </w:tc>
        <w:tc>
          <w:tcPr>
            <w:tcW w:w="4392" w:type="dxa"/>
            <w:tcBorders>
              <w:top w:val="nil"/>
              <w:left w:val="nil"/>
              <w:bottom w:val="nil"/>
              <w:right w:val="nil"/>
            </w:tcBorders>
            <w:tcMar>
              <w:top w:w="100" w:type="dxa"/>
              <w:left w:w="120" w:type="dxa"/>
              <w:bottom w:w="100" w:type="dxa"/>
              <w:right w:w="120" w:type="dxa"/>
            </w:tcMar>
            <w:vAlign w:val="center"/>
          </w:tcPr>
          <w:p w14:paraId="550F3988" w14:textId="77777777" w:rsidR="00CE1DD1" w:rsidRDefault="00CE1DD1">
            <w:pPr>
              <w:rPr>
                <w:rFonts w:ascii="Times New Roman" w:eastAsia="Times New Roman" w:hAnsi="Times New Roman" w:cs="Times New Roman"/>
                <w:sz w:val="22"/>
                <w:szCs w:val="22"/>
              </w:rPr>
            </w:pPr>
          </w:p>
          <w:p w14:paraId="10AB23FE" w14:textId="5D2E5211" w:rsidR="00A862C6" w:rsidRDefault="006C6030">
            <w:r>
              <w:rPr>
                <w:rFonts w:ascii="Times New Roman" w:eastAsia="Times New Roman" w:hAnsi="Times New Roman" w:cs="Times New Roman"/>
                <w:sz w:val="22"/>
                <w:szCs w:val="22"/>
              </w:rPr>
              <w:t>Date: ______________________________</w:t>
            </w:r>
          </w:p>
        </w:tc>
      </w:tr>
    </w:tbl>
    <w:p w14:paraId="10AB2400" w14:textId="77777777" w:rsidR="00A862C6" w:rsidRDefault="006C6030">
      <w:r>
        <w:br w:type="page"/>
      </w:r>
    </w:p>
    <w:p w14:paraId="10AB2401" w14:textId="77777777" w:rsidR="00A862C6" w:rsidRDefault="006C6030">
      <w:pPr>
        <w:spacing w:after="80"/>
        <w:jc w:val="center"/>
      </w:pPr>
      <w:r>
        <w:rPr>
          <w:rFonts w:ascii="Times New Roman" w:eastAsia="Times New Roman" w:hAnsi="Times New Roman" w:cs="Times New Roman"/>
          <w:b/>
          <w:bCs/>
        </w:rPr>
        <w:lastRenderedPageBreak/>
        <w:t>ANNEX NO. 1</w:t>
      </w:r>
    </w:p>
    <w:p w14:paraId="10AB2402" w14:textId="77777777" w:rsidR="00A862C6" w:rsidRDefault="006C6030">
      <w:pPr>
        <w:spacing w:after="240"/>
        <w:jc w:val="center"/>
      </w:pPr>
      <w:r>
        <w:rPr>
          <w:rFonts w:ascii="Times New Roman" w:eastAsia="Times New Roman" w:hAnsi="Times New Roman" w:cs="Times New Roman"/>
          <w:b/>
          <w:bCs/>
        </w:rPr>
        <w:t>SEASONAL SERVICE CAPACITY AND VALUES</w:t>
      </w:r>
    </w:p>
    <w:p w14:paraId="10AB2403" w14:textId="77777777" w:rsidR="00A862C6" w:rsidRDefault="006C6030">
      <w:pPr>
        <w:spacing w:after="160"/>
        <w:jc w:val="both"/>
      </w:pPr>
      <w:r>
        <w:rPr>
          <w:rFonts w:ascii="Times New Roman" w:eastAsia="Times New Roman" w:hAnsi="Times New Roman" w:cs="Times New Roman"/>
          <w:sz w:val="20"/>
          <w:szCs w:val="20"/>
        </w:rPr>
        <w:t>The following monthly service capacity applies to University Recruitment Operations under Article II, paragraph 2.1. All values are exclusive of VAT.</w:t>
      </w:r>
    </w:p>
    <w:tbl>
      <w:tblPr>
        <w:tblStyle w:val="a1"/>
        <w:tblW w:w="8914"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240"/>
        <w:gridCol w:w="1325"/>
        <w:gridCol w:w="1512"/>
        <w:gridCol w:w="1325"/>
        <w:gridCol w:w="1512"/>
      </w:tblGrid>
      <w:tr w:rsidR="00A862C6" w14:paraId="10AB2409" w14:textId="77777777">
        <w:trPr>
          <w:cantSplit/>
          <w:tblHeader/>
          <w:jc w:val="center"/>
        </w:trPr>
        <w:tc>
          <w:tcPr>
            <w:tcW w:w="3240" w:type="dxa"/>
            <w:shd w:val="clear" w:color="auto" w:fill="D9EAD3"/>
            <w:tcMar>
              <w:top w:w="90" w:type="dxa"/>
              <w:left w:w="100" w:type="dxa"/>
              <w:bottom w:w="90" w:type="dxa"/>
              <w:right w:w="100" w:type="dxa"/>
            </w:tcMar>
            <w:vAlign w:val="center"/>
          </w:tcPr>
          <w:p w14:paraId="10AB2404" w14:textId="77777777" w:rsidR="00A862C6" w:rsidRDefault="006C6030">
            <w:r>
              <w:rPr>
                <w:rFonts w:ascii="Times New Roman" w:eastAsia="Times New Roman" w:hAnsi="Times New Roman" w:cs="Times New Roman"/>
                <w:b/>
                <w:bCs/>
                <w:sz w:val="18"/>
                <w:szCs w:val="18"/>
              </w:rPr>
              <w:t>University Recruitment Operations</w:t>
            </w:r>
          </w:p>
        </w:tc>
        <w:tc>
          <w:tcPr>
            <w:tcW w:w="1325" w:type="dxa"/>
            <w:shd w:val="clear" w:color="auto" w:fill="D9EAD3"/>
            <w:tcMar>
              <w:top w:w="90" w:type="dxa"/>
              <w:left w:w="100" w:type="dxa"/>
              <w:bottom w:w="90" w:type="dxa"/>
              <w:right w:w="100" w:type="dxa"/>
            </w:tcMar>
            <w:vAlign w:val="center"/>
          </w:tcPr>
          <w:p w14:paraId="10AB2405" w14:textId="77777777" w:rsidR="00A862C6" w:rsidRDefault="006C6030">
            <w:pPr>
              <w:jc w:val="center"/>
            </w:pPr>
            <w:r>
              <w:rPr>
                <w:rFonts w:ascii="Times New Roman" w:eastAsia="Times New Roman" w:hAnsi="Times New Roman" w:cs="Times New Roman"/>
                <w:b/>
                <w:bCs/>
                <w:sz w:val="18"/>
                <w:szCs w:val="18"/>
              </w:rPr>
              <w:t>High-Season hours</w:t>
            </w:r>
          </w:p>
        </w:tc>
        <w:tc>
          <w:tcPr>
            <w:tcW w:w="1512" w:type="dxa"/>
            <w:shd w:val="clear" w:color="auto" w:fill="D9EAD3"/>
            <w:tcMar>
              <w:top w:w="90" w:type="dxa"/>
              <w:left w:w="100" w:type="dxa"/>
              <w:bottom w:w="90" w:type="dxa"/>
              <w:right w:w="100" w:type="dxa"/>
            </w:tcMar>
            <w:vAlign w:val="center"/>
          </w:tcPr>
          <w:p w14:paraId="10AB2406" w14:textId="77777777" w:rsidR="00A862C6" w:rsidRDefault="006C6030">
            <w:pPr>
              <w:jc w:val="center"/>
            </w:pPr>
            <w:r>
              <w:rPr>
                <w:rFonts w:ascii="Times New Roman" w:eastAsia="Times New Roman" w:hAnsi="Times New Roman" w:cs="Times New Roman"/>
                <w:b/>
                <w:bCs/>
                <w:sz w:val="18"/>
                <w:szCs w:val="18"/>
              </w:rPr>
              <w:t>High-Season value</w:t>
            </w:r>
          </w:p>
        </w:tc>
        <w:tc>
          <w:tcPr>
            <w:tcW w:w="1325" w:type="dxa"/>
            <w:shd w:val="clear" w:color="auto" w:fill="D9EAD3"/>
            <w:tcMar>
              <w:top w:w="90" w:type="dxa"/>
              <w:left w:w="100" w:type="dxa"/>
              <w:bottom w:w="90" w:type="dxa"/>
              <w:right w:w="100" w:type="dxa"/>
            </w:tcMar>
            <w:vAlign w:val="center"/>
          </w:tcPr>
          <w:p w14:paraId="10AB2407" w14:textId="77777777" w:rsidR="00A862C6" w:rsidRDefault="006C6030">
            <w:pPr>
              <w:jc w:val="center"/>
            </w:pPr>
            <w:r>
              <w:rPr>
                <w:rFonts w:ascii="Times New Roman" w:eastAsia="Times New Roman" w:hAnsi="Times New Roman" w:cs="Times New Roman"/>
                <w:b/>
                <w:bCs/>
                <w:sz w:val="18"/>
                <w:szCs w:val="18"/>
              </w:rPr>
              <w:t>Low-Season hours</w:t>
            </w:r>
          </w:p>
        </w:tc>
        <w:tc>
          <w:tcPr>
            <w:tcW w:w="1512" w:type="dxa"/>
            <w:shd w:val="clear" w:color="auto" w:fill="D9EAD3"/>
            <w:tcMar>
              <w:top w:w="90" w:type="dxa"/>
              <w:left w:w="100" w:type="dxa"/>
              <w:bottom w:w="90" w:type="dxa"/>
              <w:right w:w="100" w:type="dxa"/>
            </w:tcMar>
            <w:vAlign w:val="center"/>
          </w:tcPr>
          <w:p w14:paraId="10AB2408" w14:textId="77777777" w:rsidR="00A862C6" w:rsidRDefault="006C6030">
            <w:pPr>
              <w:jc w:val="center"/>
            </w:pPr>
            <w:r>
              <w:rPr>
                <w:rFonts w:ascii="Times New Roman" w:eastAsia="Times New Roman" w:hAnsi="Times New Roman" w:cs="Times New Roman"/>
                <w:b/>
                <w:bCs/>
                <w:sz w:val="18"/>
                <w:szCs w:val="18"/>
              </w:rPr>
              <w:t>Low-Season value</w:t>
            </w:r>
          </w:p>
        </w:tc>
      </w:tr>
      <w:tr w:rsidR="00A862C6" w14:paraId="10AB240F" w14:textId="77777777">
        <w:trPr>
          <w:cantSplit/>
          <w:jc w:val="center"/>
        </w:trPr>
        <w:tc>
          <w:tcPr>
            <w:tcW w:w="3240" w:type="dxa"/>
            <w:tcMar>
              <w:top w:w="90" w:type="dxa"/>
              <w:left w:w="100" w:type="dxa"/>
              <w:bottom w:w="90" w:type="dxa"/>
              <w:right w:w="100" w:type="dxa"/>
            </w:tcMar>
            <w:vAlign w:val="center"/>
          </w:tcPr>
          <w:p w14:paraId="10AB240A" w14:textId="77777777" w:rsidR="00A862C6" w:rsidRDefault="006C6030">
            <w:r>
              <w:rPr>
                <w:rFonts w:ascii="Times New Roman" w:eastAsia="Times New Roman" w:hAnsi="Times New Roman" w:cs="Times New Roman"/>
                <w:sz w:val="18"/>
                <w:szCs w:val="18"/>
              </w:rPr>
              <w:t xml:space="preserve">CZU brand campaign management and </w:t>
            </w:r>
            <w:proofErr w:type="spellStart"/>
            <w:r>
              <w:rPr>
                <w:rFonts w:ascii="Times New Roman" w:eastAsia="Times New Roman" w:hAnsi="Times New Roman" w:cs="Times New Roman"/>
                <w:sz w:val="18"/>
                <w:szCs w:val="18"/>
              </w:rPr>
              <w:t>optimisation</w:t>
            </w:r>
            <w:proofErr w:type="spellEnd"/>
          </w:p>
        </w:tc>
        <w:tc>
          <w:tcPr>
            <w:tcW w:w="1325" w:type="dxa"/>
            <w:tcMar>
              <w:top w:w="90" w:type="dxa"/>
              <w:left w:w="100" w:type="dxa"/>
              <w:bottom w:w="90" w:type="dxa"/>
              <w:right w:w="100" w:type="dxa"/>
            </w:tcMar>
            <w:vAlign w:val="center"/>
          </w:tcPr>
          <w:p w14:paraId="10AB240B" w14:textId="77777777" w:rsidR="00A862C6" w:rsidRDefault="006C6030">
            <w:pPr>
              <w:jc w:val="center"/>
            </w:pPr>
            <w:r>
              <w:rPr>
                <w:rFonts w:ascii="Times New Roman" w:eastAsia="Times New Roman" w:hAnsi="Times New Roman" w:cs="Times New Roman"/>
                <w:sz w:val="18"/>
                <w:szCs w:val="18"/>
              </w:rPr>
              <w:t>12</w:t>
            </w:r>
          </w:p>
        </w:tc>
        <w:tc>
          <w:tcPr>
            <w:tcW w:w="1512" w:type="dxa"/>
            <w:tcMar>
              <w:top w:w="90" w:type="dxa"/>
              <w:left w:w="100" w:type="dxa"/>
              <w:bottom w:w="90" w:type="dxa"/>
              <w:right w:w="100" w:type="dxa"/>
            </w:tcMar>
            <w:vAlign w:val="center"/>
          </w:tcPr>
          <w:p w14:paraId="10AB240C" w14:textId="77777777" w:rsidR="00A862C6" w:rsidRDefault="006C6030">
            <w:pPr>
              <w:jc w:val="center"/>
            </w:pPr>
            <w:r>
              <w:rPr>
                <w:rFonts w:ascii="Times New Roman" w:eastAsia="Times New Roman" w:hAnsi="Times New Roman" w:cs="Times New Roman"/>
                <w:sz w:val="18"/>
                <w:szCs w:val="18"/>
              </w:rPr>
              <w:t>CZK 18,000</w:t>
            </w:r>
          </w:p>
        </w:tc>
        <w:tc>
          <w:tcPr>
            <w:tcW w:w="1325" w:type="dxa"/>
            <w:tcMar>
              <w:top w:w="90" w:type="dxa"/>
              <w:left w:w="100" w:type="dxa"/>
              <w:bottom w:w="90" w:type="dxa"/>
              <w:right w:w="100" w:type="dxa"/>
            </w:tcMar>
            <w:vAlign w:val="center"/>
          </w:tcPr>
          <w:p w14:paraId="10AB240D" w14:textId="77777777" w:rsidR="00A862C6" w:rsidRDefault="006C6030">
            <w:pPr>
              <w:jc w:val="center"/>
            </w:pPr>
            <w:r>
              <w:rPr>
                <w:rFonts w:ascii="Times New Roman" w:eastAsia="Times New Roman" w:hAnsi="Times New Roman" w:cs="Times New Roman"/>
                <w:sz w:val="18"/>
                <w:szCs w:val="18"/>
              </w:rPr>
              <w:t>5</w:t>
            </w:r>
          </w:p>
        </w:tc>
        <w:tc>
          <w:tcPr>
            <w:tcW w:w="1512" w:type="dxa"/>
            <w:tcMar>
              <w:top w:w="90" w:type="dxa"/>
              <w:left w:w="100" w:type="dxa"/>
              <w:bottom w:w="90" w:type="dxa"/>
              <w:right w:w="100" w:type="dxa"/>
            </w:tcMar>
            <w:vAlign w:val="center"/>
          </w:tcPr>
          <w:p w14:paraId="10AB240E" w14:textId="77777777" w:rsidR="00A862C6" w:rsidRDefault="006C6030">
            <w:pPr>
              <w:jc w:val="center"/>
            </w:pPr>
            <w:r>
              <w:rPr>
                <w:rFonts w:ascii="Times New Roman" w:eastAsia="Times New Roman" w:hAnsi="Times New Roman" w:cs="Times New Roman"/>
                <w:sz w:val="18"/>
                <w:szCs w:val="18"/>
              </w:rPr>
              <w:t>CZK 7,500</w:t>
            </w:r>
          </w:p>
        </w:tc>
      </w:tr>
      <w:tr w:rsidR="00A862C6" w14:paraId="10AB2415" w14:textId="77777777">
        <w:trPr>
          <w:cantSplit/>
          <w:jc w:val="center"/>
        </w:trPr>
        <w:tc>
          <w:tcPr>
            <w:tcW w:w="3240" w:type="dxa"/>
            <w:tcMar>
              <w:top w:w="90" w:type="dxa"/>
              <w:left w:w="100" w:type="dxa"/>
              <w:bottom w:w="90" w:type="dxa"/>
              <w:right w:w="100" w:type="dxa"/>
            </w:tcMar>
            <w:vAlign w:val="center"/>
          </w:tcPr>
          <w:p w14:paraId="10AB2410" w14:textId="77777777" w:rsidR="00A862C6" w:rsidRDefault="006C6030">
            <w:r>
              <w:rPr>
                <w:rFonts w:ascii="Times New Roman" w:eastAsia="Times New Roman" w:hAnsi="Times New Roman" w:cs="Times New Roman"/>
                <w:sz w:val="18"/>
                <w:szCs w:val="18"/>
              </w:rPr>
              <w:t>Recruitment dashboard – Looker Studio</w:t>
            </w:r>
          </w:p>
        </w:tc>
        <w:tc>
          <w:tcPr>
            <w:tcW w:w="1325" w:type="dxa"/>
            <w:tcMar>
              <w:top w:w="90" w:type="dxa"/>
              <w:left w:w="100" w:type="dxa"/>
              <w:bottom w:w="90" w:type="dxa"/>
              <w:right w:w="100" w:type="dxa"/>
            </w:tcMar>
            <w:vAlign w:val="center"/>
          </w:tcPr>
          <w:p w14:paraId="10AB2411" w14:textId="77777777" w:rsidR="00A862C6" w:rsidRDefault="006C6030">
            <w:pPr>
              <w:jc w:val="center"/>
            </w:pPr>
            <w:r>
              <w:rPr>
                <w:rFonts w:ascii="Times New Roman" w:eastAsia="Times New Roman" w:hAnsi="Times New Roman" w:cs="Times New Roman"/>
                <w:sz w:val="18"/>
                <w:szCs w:val="18"/>
              </w:rPr>
              <w:t>3</w:t>
            </w:r>
          </w:p>
        </w:tc>
        <w:tc>
          <w:tcPr>
            <w:tcW w:w="1512" w:type="dxa"/>
            <w:tcMar>
              <w:top w:w="90" w:type="dxa"/>
              <w:left w:w="100" w:type="dxa"/>
              <w:bottom w:w="90" w:type="dxa"/>
              <w:right w:w="100" w:type="dxa"/>
            </w:tcMar>
            <w:vAlign w:val="center"/>
          </w:tcPr>
          <w:p w14:paraId="10AB2412" w14:textId="77777777" w:rsidR="00A862C6" w:rsidRDefault="006C6030">
            <w:pPr>
              <w:jc w:val="center"/>
            </w:pPr>
            <w:r>
              <w:rPr>
                <w:rFonts w:ascii="Times New Roman" w:eastAsia="Times New Roman" w:hAnsi="Times New Roman" w:cs="Times New Roman"/>
                <w:sz w:val="18"/>
                <w:szCs w:val="18"/>
              </w:rPr>
              <w:t>CZK 4,500</w:t>
            </w:r>
          </w:p>
        </w:tc>
        <w:tc>
          <w:tcPr>
            <w:tcW w:w="1325" w:type="dxa"/>
            <w:tcMar>
              <w:top w:w="90" w:type="dxa"/>
              <w:left w:w="100" w:type="dxa"/>
              <w:bottom w:w="90" w:type="dxa"/>
              <w:right w:w="100" w:type="dxa"/>
            </w:tcMar>
            <w:vAlign w:val="center"/>
          </w:tcPr>
          <w:p w14:paraId="10AB2413" w14:textId="77777777" w:rsidR="00A862C6" w:rsidRDefault="006C6030">
            <w:pPr>
              <w:jc w:val="center"/>
            </w:pPr>
            <w:r>
              <w:rPr>
                <w:rFonts w:ascii="Times New Roman" w:eastAsia="Times New Roman" w:hAnsi="Times New Roman" w:cs="Times New Roman"/>
                <w:sz w:val="18"/>
                <w:szCs w:val="18"/>
              </w:rPr>
              <w:t>1</w:t>
            </w:r>
          </w:p>
        </w:tc>
        <w:tc>
          <w:tcPr>
            <w:tcW w:w="1512" w:type="dxa"/>
            <w:tcMar>
              <w:top w:w="90" w:type="dxa"/>
              <w:left w:w="100" w:type="dxa"/>
              <w:bottom w:w="90" w:type="dxa"/>
              <w:right w:w="100" w:type="dxa"/>
            </w:tcMar>
            <w:vAlign w:val="center"/>
          </w:tcPr>
          <w:p w14:paraId="10AB2414" w14:textId="77777777" w:rsidR="00A862C6" w:rsidRDefault="006C6030">
            <w:pPr>
              <w:jc w:val="center"/>
            </w:pPr>
            <w:r>
              <w:rPr>
                <w:rFonts w:ascii="Times New Roman" w:eastAsia="Times New Roman" w:hAnsi="Times New Roman" w:cs="Times New Roman"/>
                <w:sz w:val="18"/>
                <w:szCs w:val="18"/>
              </w:rPr>
              <w:t>CZK 1,500</w:t>
            </w:r>
          </w:p>
        </w:tc>
      </w:tr>
      <w:tr w:rsidR="00A862C6" w14:paraId="10AB241B" w14:textId="77777777">
        <w:trPr>
          <w:cantSplit/>
          <w:jc w:val="center"/>
        </w:trPr>
        <w:tc>
          <w:tcPr>
            <w:tcW w:w="3240" w:type="dxa"/>
            <w:tcMar>
              <w:top w:w="90" w:type="dxa"/>
              <w:left w:w="100" w:type="dxa"/>
              <w:bottom w:w="90" w:type="dxa"/>
              <w:right w:w="100" w:type="dxa"/>
            </w:tcMar>
            <w:vAlign w:val="center"/>
          </w:tcPr>
          <w:p w14:paraId="10AB2416" w14:textId="77777777" w:rsidR="00A862C6" w:rsidRDefault="006C6030">
            <w:r>
              <w:rPr>
                <w:rFonts w:ascii="Times New Roman" w:eastAsia="Times New Roman" w:hAnsi="Times New Roman" w:cs="Times New Roman"/>
                <w:sz w:val="18"/>
                <w:szCs w:val="18"/>
              </w:rPr>
              <w:t>Monthly reporting</w:t>
            </w:r>
          </w:p>
        </w:tc>
        <w:tc>
          <w:tcPr>
            <w:tcW w:w="1325" w:type="dxa"/>
            <w:tcMar>
              <w:top w:w="90" w:type="dxa"/>
              <w:left w:w="100" w:type="dxa"/>
              <w:bottom w:w="90" w:type="dxa"/>
              <w:right w:w="100" w:type="dxa"/>
            </w:tcMar>
            <w:vAlign w:val="center"/>
          </w:tcPr>
          <w:p w14:paraId="10AB2417" w14:textId="77777777" w:rsidR="00A862C6" w:rsidRDefault="006C6030">
            <w:pPr>
              <w:jc w:val="center"/>
            </w:pPr>
            <w:r>
              <w:rPr>
                <w:rFonts w:ascii="Times New Roman" w:eastAsia="Times New Roman" w:hAnsi="Times New Roman" w:cs="Times New Roman"/>
                <w:sz w:val="18"/>
                <w:szCs w:val="18"/>
              </w:rPr>
              <w:t>7</w:t>
            </w:r>
          </w:p>
        </w:tc>
        <w:tc>
          <w:tcPr>
            <w:tcW w:w="1512" w:type="dxa"/>
            <w:tcMar>
              <w:top w:w="90" w:type="dxa"/>
              <w:left w:w="100" w:type="dxa"/>
              <w:bottom w:w="90" w:type="dxa"/>
              <w:right w:w="100" w:type="dxa"/>
            </w:tcMar>
            <w:vAlign w:val="center"/>
          </w:tcPr>
          <w:p w14:paraId="10AB2418" w14:textId="77777777" w:rsidR="00A862C6" w:rsidRDefault="006C6030">
            <w:pPr>
              <w:jc w:val="center"/>
            </w:pPr>
            <w:r>
              <w:rPr>
                <w:rFonts w:ascii="Times New Roman" w:eastAsia="Times New Roman" w:hAnsi="Times New Roman" w:cs="Times New Roman"/>
                <w:sz w:val="18"/>
                <w:szCs w:val="18"/>
              </w:rPr>
              <w:t>CZK 10,500</w:t>
            </w:r>
          </w:p>
        </w:tc>
        <w:tc>
          <w:tcPr>
            <w:tcW w:w="1325" w:type="dxa"/>
            <w:tcMar>
              <w:top w:w="90" w:type="dxa"/>
              <w:left w:w="100" w:type="dxa"/>
              <w:bottom w:w="90" w:type="dxa"/>
              <w:right w:w="100" w:type="dxa"/>
            </w:tcMar>
            <w:vAlign w:val="center"/>
          </w:tcPr>
          <w:p w14:paraId="10AB2419" w14:textId="77777777" w:rsidR="00A862C6" w:rsidRDefault="006C6030">
            <w:pPr>
              <w:jc w:val="center"/>
            </w:pPr>
            <w:r>
              <w:rPr>
                <w:rFonts w:ascii="Times New Roman" w:eastAsia="Times New Roman" w:hAnsi="Times New Roman" w:cs="Times New Roman"/>
                <w:sz w:val="18"/>
                <w:szCs w:val="18"/>
              </w:rPr>
              <w:t>1</w:t>
            </w:r>
          </w:p>
        </w:tc>
        <w:tc>
          <w:tcPr>
            <w:tcW w:w="1512" w:type="dxa"/>
            <w:tcMar>
              <w:top w:w="90" w:type="dxa"/>
              <w:left w:w="100" w:type="dxa"/>
              <w:bottom w:w="90" w:type="dxa"/>
              <w:right w:w="100" w:type="dxa"/>
            </w:tcMar>
            <w:vAlign w:val="center"/>
          </w:tcPr>
          <w:p w14:paraId="10AB241A" w14:textId="77777777" w:rsidR="00A862C6" w:rsidRDefault="006C6030">
            <w:pPr>
              <w:jc w:val="center"/>
            </w:pPr>
            <w:r>
              <w:rPr>
                <w:rFonts w:ascii="Times New Roman" w:eastAsia="Times New Roman" w:hAnsi="Times New Roman" w:cs="Times New Roman"/>
                <w:sz w:val="18"/>
                <w:szCs w:val="18"/>
              </w:rPr>
              <w:t>CZK 1,500</w:t>
            </w:r>
          </w:p>
        </w:tc>
      </w:tr>
      <w:tr w:rsidR="00A862C6" w14:paraId="10AB2421" w14:textId="77777777">
        <w:trPr>
          <w:cantSplit/>
          <w:jc w:val="center"/>
        </w:trPr>
        <w:tc>
          <w:tcPr>
            <w:tcW w:w="3240" w:type="dxa"/>
            <w:tcMar>
              <w:top w:w="90" w:type="dxa"/>
              <w:left w:w="100" w:type="dxa"/>
              <w:bottom w:w="90" w:type="dxa"/>
              <w:right w:w="100" w:type="dxa"/>
            </w:tcMar>
            <w:vAlign w:val="center"/>
          </w:tcPr>
          <w:p w14:paraId="10AB241C" w14:textId="77777777" w:rsidR="00A862C6" w:rsidRDefault="006C6030">
            <w:r>
              <w:rPr>
                <w:rFonts w:ascii="Times New Roman" w:eastAsia="Times New Roman" w:hAnsi="Times New Roman" w:cs="Times New Roman"/>
                <w:sz w:val="18"/>
                <w:szCs w:val="18"/>
              </w:rPr>
              <w:t>Recruitment intelligence</w:t>
            </w:r>
          </w:p>
        </w:tc>
        <w:tc>
          <w:tcPr>
            <w:tcW w:w="1325" w:type="dxa"/>
            <w:tcMar>
              <w:top w:w="90" w:type="dxa"/>
              <w:left w:w="100" w:type="dxa"/>
              <w:bottom w:w="90" w:type="dxa"/>
              <w:right w:w="100" w:type="dxa"/>
            </w:tcMar>
            <w:vAlign w:val="center"/>
          </w:tcPr>
          <w:p w14:paraId="10AB241D" w14:textId="77777777" w:rsidR="00A862C6" w:rsidRDefault="006C6030">
            <w:pPr>
              <w:jc w:val="center"/>
            </w:pPr>
            <w:r>
              <w:rPr>
                <w:rFonts w:ascii="Times New Roman" w:eastAsia="Times New Roman" w:hAnsi="Times New Roman" w:cs="Times New Roman"/>
                <w:sz w:val="18"/>
                <w:szCs w:val="18"/>
              </w:rPr>
              <w:t>6</w:t>
            </w:r>
          </w:p>
        </w:tc>
        <w:tc>
          <w:tcPr>
            <w:tcW w:w="1512" w:type="dxa"/>
            <w:tcMar>
              <w:top w:w="90" w:type="dxa"/>
              <w:left w:w="100" w:type="dxa"/>
              <w:bottom w:w="90" w:type="dxa"/>
              <w:right w:w="100" w:type="dxa"/>
            </w:tcMar>
            <w:vAlign w:val="center"/>
          </w:tcPr>
          <w:p w14:paraId="10AB241E" w14:textId="77777777" w:rsidR="00A862C6" w:rsidRDefault="006C6030">
            <w:pPr>
              <w:jc w:val="center"/>
            </w:pPr>
            <w:r>
              <w:rPr>
                <w:rFonts w:ascii="Times New Roman" w:eastAsia="Times New Roman" w:hAnsi="Times New Roman" w:cs="Times New Roman"/>
                <w:sz w:val="18"/>
                <w:szCs w:val="18"/>
              </w:rPr>
              <w:t>CZK 9,000</w:t>
            </w:r>
          </w:p>
        </w:tc>
        <w:tc>
          <w:tcPr>
            <w:tcW w:w="1325" w:type="dxa"/>
            <w:tcMar>
              <w:top w:w="90" w:type="dxa"/>
              <w:left w:w="100" w:type="dxa"/>
              <w:bottom w:w="90" w:type="dxa"/>
              <w:right w:w="100" w:type="dxa"/>
            </w:tcMar>
            <w:vAlign w:val="center"/>
          </w:tcPr>
          <w:p w14:paraId="10AB241F" w14:textId="77777777" w:rsidR="00A862C6" w:rsidRDefault="006C6030">
            <w:pPr>
              <w:jc w:val="center"/>
            </w:pPr>
            <w:r>
              <w:rPr>
                <w:rFonts w:ascii="Times New Roman" w:eastAsia="Times New Roman" w:hAnsi="Times New Roman" w:cs="Times New Roman"/>
                <w:sz w:val="18"/>
                <w:szCs w:val="18"/>
              </w:rPr>
              <w:t>2</w:t>
            </w:r>
          </w:p>
        </w:tc>
        <w:tc>
          <w:tcPr>
            <w:tcW w:w="1512" w:type="dxa"/>
            <w:tcMar>
              <w:top w:w="90" w:type="dxa"/>
              <w:left w:w="100" w:type="dxa"/>
              <w:bottom w:w="90" w:type="dxa"/>
              <w:right w:w="100" w:type="dxa"/>
            </w:tcMar>
            <w:vAlign w:val="center"/>
          </w:tcPr>
          <w:p w14:paraId="10AB2420" w14:textId="77777777" w:rsidR="00A862C6" w:rsidRDefault="006C6030">
            <w:pPr>
              <w:jc w:val="center"/>
            </w:pPr>
            <w:r>
              <w:rPr>
                <w:rFonts w:ascii="Times New Roman" w:eastAsia="Times New Roman" w:hAnsi="Times New Roman" w:cs="Times New Roman"/>
                <w:sz w:val="18"/>
                <w:szCs w:val="18"/>
              </w:rPr>
              <w:t>CZK 3,000</w:t>
            </w:r>
          </w:p>
        </w:tc>
      </w:tr>
      <w:tr w:rsidR="00A862C6" w14:paraId="10AB2427" w14:textId="77777777">
        <w:trPr>
          <w:cantSplit/>
          <w:jc w:val="center"/>
        </w:trPr>
        <w:tc>
          <w:tcPr>
            <w:tcW w:w="3240" w:type="dxa"/>
            <w:tcMar>
              <w:top w:w="90" w:type="dxa"/>
              <w:left w:w="100" w:type="dxa"/>
              <w:bottom w:w="90" w:type="dxa"/>
              <w:right w:w="100" w:type="dxa"/>
            </w:tcMar>
            <w:vAlign w:val="center"/>
          </w:tcPr>
          <w:p w14:paraId="10AB2422" w14:textId="77777777" w:rsidR="00A862C6" w:rsidRDefault="006C6030">
            <w:r>
              <w:rPr>
                <w:rFonts w:ascii="Times New Roman" w:eastAsia="Times New Roman" w:hAnsi="Times New Roman" w:cs="Times New Roman"/>
                <w:sz w:val="18"/>
                <w:szCs w:val="18"/>
              </w:rPr>
              <w:t>Strategic consultations</w:t>
            </w:r>
          </w:p>
        </w:tc>
        <w:tc>
          <w:tcPr>
            <w:tcW w:w="1325" w:type="dxa"/>
            <w:tcMar>
              <w:top w:w="90" w:type="dxa"/>
              <w:left w:w="100" w:type="dxa"/>
              <w:bottom w:w="90" w:type="dxa"/>
              <w:right w:w="100" w:type="dxa"/>
            </w:tcMar>
            <w:vAlign w:val="center"/>
          </w:tcPr>
          <w:p w14:paraId="10AB2423" w14:textId="77777777" w:rsidR="00A862C6" w:rsidRDefault="006C6030">
            <w:pPr>
              <w:jc w:val="center"/>
            </w:pPr>
            <w:r>
              <w:rPr>
                <w:rFonts w:ascii="Times New Roman" w:eastAsia="Times New Roman" w:hAnsi="Times New Roman" w:cs="Times New Roman"/>
                <w:sz w:val="18"/>
                <w:szCs w:val="18"/>
              </w:rPr>
              <w:t>3</w:t>
            </w:r>
          </w:p>
        </w:tc>
        <w:tc>
          <w:tcPr>
            <w:tcW w:w="1512" w:type="dxa"/>
            <w:tcMar>
              <w:top w:w="90" w:type="dxa"/>
              <w:left w:w="100" w:type="dxa"/>
              <w:bottom w:w="90" w:type="dxa"/>
              <w:right w:w="100" w:type="dxa"/>
            </w:tcMar>
            <w:vAlign w:val="center"/>
          </w:tcPr>
          <w:p w14:paraId="10AB2424" w14:textId="77777777" w:rsidR="00A862C6" w:rsidRDefault="006C6030">
            <w:pPr>
              <w:jc w:val="center"/>
            </w:pPr>
            <w:r>
              <w:rPr>
                <w:rFonts w:ascii="Times New Roman" w:eastAsia="Times New Roman" w:hAnsi="Times New Roman" w:cs="Times New Roman"/>
                <w:sz w:val="18"/>
                <w:szCs w:val="18"/>
              </w:rPr>
              <w:t>CZK 4,500</w:t>
            </w:r>
          </w:p>
        </w:tc>
        <w:tc>
          <w:tcPr>
            <w:tcW w:w="1325" w:type="dxa"/>
            <w:tcMar>
              <w:top w:w="90" w:type="dxa"/>
              <w:left w:w="100" w:type="dxa"/>
              <w:bottom w:w="90" w:type="dxa"/>
              <w:right w:w="100" w:type="dxa"/>
            </w:tcMar>
            <w:vAlign w:val="center"/>
          </w:tcPr>
          <w:p w14:paraId="10AB2425" w14:textId="77777777" w:rsidR="00A862C6" w:rsidRDefault="006C6030">
            <w:pPr>
              <w:jc w:val="center"/>
            </w:pPr>
            <w:r>
              <w:rPr>
                <w:rFonts w:ascii="Times New Roman" w:eastAsia="Times New Roman" w:hAnsi="Times New Roman" w:cs="Times New Roman"/>
                <w:sz w:val="18"/>
                <w:szCs w:val="18"/>
              </w:rPr>
              <w:t>4</w:t>
            </w:r>
          </w:p>
        </w:tc>
        <w:tc>
          <w:tcPr>
            <w:tcW w:w="1512" w:type="dxa"/>
            <w:tcMar>
              <w:top w:w="90" w:type="dxa"/>
              <w:left w:w="100" w:type="dxa"/>
              <w:bottom w:w="90" w:type="dxa"/>
              <w:right w:w="100" w:type="dxa"/>
            </w:tcMar>
            <w:vAlign w:val="center"/>
          </w:tcPr>
          <w:p w14:paraId="10AB2426" w14:textId="77777777" w:rsidR="00A862C6" w:rsidRDefault="006C6030">
            <w:pPr>
              <w:jc w:val="center"/>
            </w:pPr>
            <w:r>
              <w:rPr>
                <w:rFonts w:ascii="Times New Roman" w:eastAsia="Times New Roman" w:hAnsi="Times New Roman" w:cs="Times New Roman"/>
                <w:sz w:val="18"/>
                <w:szCs w:val="18"/>
              </w:rPr>
              <w:t>CZK 6,000</w:t>
            </w:r>
          </w:p>
        </w:tc>
      </w:tr>
      <w:tr w:rsidR="00A862C6" w14:paraId="10AB242D" w14:textId="77777777">
        <w:trPr>
          <w:cantSplit/>
          <w:jc w:val="center"/>
        </w:trPr>
        <w:tc>
          <w:tcPr>
            <w:tcW w:w="3240" w:type="dxa"/>
            <w:tcMar>
              <w:top w:w="90" w:type="dxa"/>
              <w:left w:w="100" w:type="dxa"/>
              <w:bottom w:w="90" w:type="dxa"/>
              <w:right w:w="100" w:type="dxa"/>
            </w:tcMar>
            <w:vAlign w:val="center"/>
          </w:tcPr>
          <w:p w14:paraId="10AB2428" w14:textId="77777777" w:rsidR="00A862C6" w:rsidRDefault="006C6030">
            <w:r>
              <w:rPr>
                <w:rFonts w:ascii="Times New Roman" w:eastAsia="Times New Roman" w:hAnsi="Times New Roman" w:cs="Times New Roman"/>
                <w:sz w:val="18"/>
                <w:szCs w:val="18"/>
              </w:rPr>
              <w:t>Coordination with the Rectorate</w:t>
            </w:r>
          </w:p>
        </w:tc>
        <w:tc>
          <w:tcPr>
            <w:tcW w:w="1325" w:type="dxa"/>
            <w:tcMar>
              <w:top w:w="90" w:type="dxa"/>
              <w:left w:w="100" w:type="dxa"/>
              <w:bottom w:w="90" w:type="dxa"/>
              <w:right w:w="100" w:type="dxa"/>
            </w:tcMar>
            <w:vAlign w:val="center"/>
          </w:tcPr>
          <w:p w14:paraId="10AB2429" w14:textId="77777777" w:rsidR="00A862C6" w:rsidRDefault="006C6030">
            <w:pPr>
              <w:jc w:val="center"/>
            </w:pPr>
            <w:r>
              <w:rPr>
                <w:rFonts w:ascii="Times New Roman" w:eastAsia="Times New Roman" w:hAnsi="Times New Roman" w:cs="Times New Roman"/>
                <w:sz w:val="18"/>
                <w:szCs w:val="18"/>
              </w:rPr>
              <w:t>5</w:t>
            </w:r>
          </w:p>
        </w:tc>
        <w:tc>
          <w:tcPr>
            <w:tcW w:w="1512" w:type="dxa"/>
            <w:tcMar>
              <w:top w:w="90" w:type="dxa"/>
              <w:left w:w="100" w:type="dxa"/>
              <w:bottom w:w="90" w:type="dxa"/>
              <w:right w:w="100" w:type="dxa"/>
            </w:tcMar>
            <w:vAlign w:val="center"/>
          </w:tcPr>
          <w:p w14:paraId="10AB242A" w14:textId="77777777" w:rsidR="00A862C6" w:rsidRDefault="006C6030">
            <w:pPr>
              <w:jc w:val="center"/>
            </w:pPr>
            <w:r>
              <w:rPr>
                <w:rFonts w:ascii="Times New Roman" w:eastAsia="Times New Roman" w:hAnsi="Times New Roman" w:cs="Times New Roman"/>
                <w:sz w:val="18"/>
                <w:szCs w:val="18"/>
              </w:rPr>
              <w:t>CZK 7,500</w:t>
            </w:r>
          </w:p>
        </w:tc>
        <w:tc>
          <w:tcPr>
            <w:tcW w:w="1325" w:type="dxa"/>
            <w:tcMar>
              <w:top w:w="90" w:type="dxa"/>
              <w:left w:w="100" w:type="dxa"/>
              <w:bottom w:w="90" w:type="dxa"/>
              <w:right w:w="100" w:type="dxa"/>
            </w:tcMar>
            <w:vAlign w:val="center"/>
          </w:tcPr>
          <w:p w14:paraId="10AB242B" w14:textId="77777777" w:rsidR="00A862C6" w:rsidRDefault="006C6030">
            <w:pPr>
              <w:jc w:val="center"/>
            </w:pPr>
            <w:r>
              <w:rPr>
                <w:rFonts w:ascii="Times New Roman" w:eastAsia="Times New Roman" w:hAnsi="Times New Roman" w:cs="Times New Roman"/>
                <w:sz w:val="18"/>
                <w:szCs w:val="18"/>
              </w:rPr>
              <w:t>2</w:t>
            </w:r>
          </w:p>
        </w:tc>
        <w:tc>
          <w:tcPr>
            <w:tcW w:w="1512" w:type="dxa"/>
            <w:tcMar>
              <w:top w:w="90" w:type="dxa"/>
              <w:left w:w="100" w:type="dxa"/>
              <w:bottom w:w="90" w:type="dxa"/>
              <w:right w:w="100" w:type="dxa"/>
            </w:tcMar>
            <w:vAlign w:val="center"/>
          </w:tcPr>
          <w:p w14:paraId="10AB242C" w14:textId="77777777" w:rsidR="00A862C6" w:rsidRDefault="006C6030">
            <w:pPr>
              <w:jc w:val="center"/>
            </w:pPr>
            <w:r>
              <w:rPr>
                <w:rFonts w:ascii="Times New Roman" w:eastAsia="Times New Roman" w:hAnsi="Times New Roman" w:cs="Times New Roman"/>
                <w:sz w:val="18"/>
                <w:szCs w:val="18"/>
              </w:rPr>
              <w:t>CZK 3,000</w:t>
            </w:r>
          </w:p>
        </w:tc>
      </w:tr>
      <w:tr w:rsidR="00A862C6" w14:paraId="10AB2433" w14:textId="77777777">
        <w:trPr>
          <w:cantSplit/>
          <w:jc w:val="center"/>
        </w:trPr>
        <w:tc>
          <w:tcPr>
            <w:tcW w:w="3240" w:type="dxa"/>
            <w:tcMar>
              <w:top w:w="90" w:type="dxa"/>
              <w:left w:w="100" w:type="dxa"/>
              <w:bottom w:w="90" w:type="dxa"/>
              <w:right w:w="100" w:type="dxa"/>
            </w:tcMar>
            <w:vAlign w:val="center"/>
          </w:tcPr>
          <w:p w14:paraId="10AB242E" w14:textId="77777777" w:rsidR="00A862C6" w:rsidRDefault="006C6030">
            <w:r>
              <w:rPr>
                <w:rFonts w:ascii="Times New Roman" w:eastAsia="Times New Roman" w:hAnsi="Times New Roman" w:cs="Times New Roman"/>
                <w:sz w:val="18"/>
                <w:szCs w:val="18"/>
              </w:rPr>
              <w:t>Planning for upcoming recruitment campaigns</w:t>
            </w:r>
          </w:p>
        </w:tc>
        <w:tc>
          <w:tcPr>
            <w:tcW w:w="1325" w:type="dxa"/>
            <w:tcMar>
              <w:top w:w="90" w:type="dxa"/>
              <w:left w:w="100" w:type="dxa"/>
              <w:bottom w:w="90" w:type="dxa"/>
              <w:right w:w="100" w:type="dxa"/>
            </w:tcMar>
            <w:vAlign w:val="center"/>
          </w:tcPr>
          <w:p w14:paraId="10AB242F" w14:textId="77777777" w:rsidR="00A862C6" w:rsidRDefault="006C6030">
            <w:pPr>
              <w:jc w:val="center"/>
            </w:pPr>
            <w:r>
              <w:rPr>
                <w:rFonts w:ascii="Times New Roman" w:eastAsia="Times New Roman" w:hAnsi="Times New Roman" w:cs="Times New Roman"/>
                <w:sz w:val="18"/>
                <w:szCs w:val="18"/>
              </w:rPr>
              <w:t>7</w:t>
            </w:r>
          </w:p>
        </w:tc>
        <w:tc>
          <w:tcPr>
            <w:tcW w:w="1512" w:type="dxa"/>
            <w:tcMar>
              <w:top w:w="90" w:type="dxa"/>
              <w:left w:w="100" w:type="dxa"/>
              <w:bottom w:w="90" w:type="dxa"/>
              <w:right w:w="100" w:type="dxa"/>
            </w:tcMar>
            <w:vAlign w:val="center"/>
          </w:tcPr>
          <w:p w14:paraId="10AB2430" w14:textId="77777777" w:rsidR="00A862C6" w:rsidRDefault="006C6030">
            <w:pPr>
              <w:jc w:val="center"/>
            </w:pPr>
            <w:r>
              <w:rPr>
                <w:rFonts w:ascii="Times New Roman" w:eastAsia="Times New Roman" w:hAnsi="Times New Roman" w:cs="Times New Roman"/>
                <w:sz w:val="18"/>
                <w:szCs w:val="18"/>
              </w:rPr>
              <w:t>CZK 10,500</w:t>
            </w:r>
          </w:p>
        </w:tc>
        <w:tc>
          <w:tcPr>
            <w:tcW w:w="1325" w:type="dxa"/>
            <w:tcMar>
              <w:top w:w="90" w:type="dxa"/>
              <w:left w:w="100" w:type="dxa"/>
              <w:bottom w:w="90" w:type="dxa"/>
              <w:right w:w="100" w:type="dxa"/>
            </w:tcMar>
            <w:vAlign w:val="center"/>
          </w:tcPr>
          <w:p w14:paraId="10AB2431" w14:textId="77777777" w:rsidR="00A862C6" w:rsidRDefault="006C6030">
            <w:pPr>
              <w:jc w:val="center"/>
            </w:pPr>
            <w:r>
              <w:rPr>
                <w:rFonts w:ascii="Times New Roman" w:eastAsia="Times New Roman" w:hAnsi="Times New Roman" w:cs="Times New Roman"/>
                <w:sz w:val="18"/>
                <w:szCs w:val="18"/>
              </w:rPr>
              <w:t>2</w:t>
            </w:r>
          </w:p>
        </w:tc>
        <w:tc>
          <w:tcPr>
            <w:tcW w:w="1512" w:type="dxa"/>
            <w:tcMar>
              <w:top w:w="90" w:type="dxa"/>
              <w:left w:w="100" w:type="dxa"/>
              <w:bottom w:w="90" w:type="dxa"/>
              <w:right w:w="100" w:type="dxa"/>
            </w:tcMar>
            <w:vAlign w:val="center"/>
          </w:tcPr>
          <w:p w14:paraId="10AB2432" w14:textId="77777777" w:rsidR="00A862C6" w:rsidRDefault="006C6030">
            <w:pPr>
              <w:jc w:val="center"/>
            </w:pPr>
            <w:r>
              <w:rPr>
                <w:rFonts w:ascii="Times New Roman" w:eastAsia="Times New Roman" w:hAnsi="Times New Roman" w:cs="Times New Roman"/>
                <w:sz w:val="18"/>
                <w:szCs w:val="18"/>
              </w:rPr>
              <w:t>CZK 3,000</w:t>
            </w:r>
          </w:p>
        </w:tc>
      </w:tr>
      <w:tr w:rsidR="00A862C6" w14:paraId="10AB2439" w14:textId="77777777">
        <w:trPr>
          <w:cantSplit/>
          <w:jc w:val="center"/>
        </w:trPr>
        <w:tc>
          <w:tcPr>
            <w:tcW w:w="3240" w:type="dxa"/>
            <w:tcMar>
              <w:top w:w="90" w:type="dxa"/>
              <w:left w:w="100" w:type="dxa"/>
              <w:bottom w:w="90" w:type="dxa"/>
              <w:right w:w="100" w:type="dxa"/>
            </w:tcMar>
            <w:vAlign w:val="center"/>
          </w:tcPr>
          <w:p w14:paraId="10AB2434" w14:textId="77777777" w:rsidR="00A862C6" w:rsidRDefault="006C6030">
            <w:r>
              <w:rPr>
                <w:rFonts w:ascii="Times New Roman" w:eastAsia="Times New Roman" w:hAnsi="Times New Roman" w:cs="Times New Roman"/>
                <w:sz w:val="18"/>
                <w:szCs w:val="18"/>
              </w:rPr>
              <w:t>Cross-faculty coordination and knowledge transfer</w:t>
            </w:r>
          </w:p>
        </w:tc>
        <w:tc>
          <w:tcPr>
            <w:tcW w:w="1325" w:type="dxa"/>
            <w:tcMar>
              <w:top w:w="90" w:type="dxa"/>
              <w:left w:w="100" w:type="dxa"/>
              <w:bottom w:w="90" w:type="dxa"/>
              <w:right w:w="100" w:type="dxa"/>
            </w:tcMar>
            <w:vAlign w:val="center"/>
          </w:tcPr>
          <w:p w14:paraId="10AB2435" w14:textId="77777777" w:rsidR="00A862C6" w:rsidRDefault="006C6030">
            <w:pPr>
              <w:jc w:val="center"/>
            </w:pPr>
            <w:r>
              <w:rPr>
                <w:rFonts w:ascii="Times New Roman" w:eastAsia="Times New Roman" w:hAnsi="Times New Roman" w:cs="Times New Roman"/>
                <w:sz w:val="18"/>
                <w:szCs w:val="18"/>
              </w:rPr>
              <w:t>6</w:t>
            </w:r>
          </w:p>
        </w:tc>
        <w:tc>
          <w:tcPr>
            <w:tcW w:w="1512" w:type="dxa"/>
            <w:tcMar>
              <w:top w:w="90" w:type="dxa"/>
              <w:left w:w="100" w:type="dxa"/>
              <w:bottom w:w="90" w:type="dxa"/>
              <w:right w:w="100" w:type="dxa"/>
            </w:tcMar>
            <w:vAlign w:val="center"/>
          </w:tcPr>
          <w:p w14:paraId="10AB2436" w14:textId="77777777" w:rsidR="00A862C6" w:rsidRDefault="006C6030">
            <w:pPr>
              <w:jc w:val="center"/>
            </w:pPr>
            <w:r>
              <w:rPr>
                <w:rFonts w:ascii="Times New Roman" w:eastAsia="Times New Roman" w:hAnsi="Times New Roman" w:cs="Times New Roman"/>
                <w:sz w:val="18"/>
                <w:szCs w:val="18"/>
              </w:rPr>
              <w:t>CZK 9,000</w:t>
            </w:r>
          </w:p>
        </w:tc>
        <w:tc>
          <w:tcPr>
            <w:tcW w:w="1325" w:type="dxa"/>
            <w:tcMar>
              <w:top w:w="90" w:type="dxa"/>
              <w:left w:w="100" w:type="dxa"/>
              <w:bottom w:w="90" w:type="dxa"/>
              <w:right w:w="100" w:type="dxa"/>
            </w:tcMar>
            <w:vAlign w:val="center"/>
          </w:tcPr>
          <w:p w14:paraId="10AB2437" w14:textId="77777777" w:rsidR="00A862C6" w:rsidRDefault="006C6030">
            <w:pPr>
              <w:jc w:val="center"/>
            </w:pPr>
            <w:r>
              <w:rPr>
                <w:rFonts w:ascii="Times New Roman" w:eastAsia="Times New Roman" w:hAnsi="Times New Roman" w:cs="Times New Roman"/>
                <w:sz w:val="18"/>
                <w:szCs w:val="18"/>
              </w:rPr>
              <w:t>0</w:t>
            </w:r>
          </w:p>
        </w:tc>
        <w:tc>
          <w:tcPr>
            <w:tcW w:w="1512" w:type="dxa"/>
            <w:tcMar>
              <w:top w:w="90" w:type="dxa"/>
              <w:left w:w="100" w:type="dxa"/>
              <w:bottom w:w="90" w:type="dxa"/>
              <w:right w:w="100" w:type="dxa"/>
            </w:tcMar>
            <w:vAlign w:val="center"/>
          </w:tcPr>
          <w:p w14:paraId="10AB2438" w14:textId="77777777" w:rsidR="00A862C6" w:rsidRDefault="006C6030">
            <w:pPr>
              <w:jc w:val="center"/>
            </w:pPr>
            <w:r>
              <w:rPr>
                <w:rFonts w:ascii="Times New Roman" w:eastAsia="Times New Roman" w:hAnsi="Times New Roman" w:cs="Times New Roman"/>
                <w:sz w:val="18"/>
                <w:szCs w:val="18"/>
              </w:rPr>
              <w:t>CZK 0</w:t>
            </w:r>
          </w:p>
        </w:tc>
      </w:tr>
      <w:tr w:rsidR="00A862C6" w14:paraId="10AB243F" w14:textId="77777777">
        <w:trPr>
          <w:cantSplit/>
          <w:jc w:val="center"/>
        </w:trPr>
        <w:tc>
          <w:tcPr>
            <w:tcW w:w="3240" w:type="dxa"/>
            <w:shd w:val="clear" w:color="auto" w:fill="EDEDED"/>
            <w:tcMar>
              <w:top w:w="90" w:type="dxa"/>
              <w:left w:w="100" w:type="dxa"/>
              <w:bottom w:w="90" w:type="dxa"/>
              <w:right w:w="100" w:type="dxa"/>
            </w:tcMar>
            <w:vAlign w:val="center"/>
          </w:tcPr>
          <w:p w14:paraId="10AB243A" w14:textId="77777777" w:rsidR="00A862C6" w:rsidRDefault="006C6030">
            <w:r>
              <w:rPr>
                <w:rFonts w:ascii="Times New Roman" w:eastAsia="Times New Roman" w:hAnsi="Times New Roman" w:cs="Times New Roman"/>
                <w:b/>
                <w:bCs/>
                <w:sz w:val="18"/>
                <w:szCs w:val="18"/>
              </w:rPr>
              <w:t>TOTAL</w:t>
            </w:r>
          </w:p>
        </w:tc>
        <w:tc>
          <w:tcPr>
            <w:tcW w:w="1325" w:type="dxa"/>
            <w:shd w:val="clear" w:color="auto" w:fill="EDEDED"/>
            <w:tcMar>
              <w:top w:w="90" w:type="dxa"/>
              <w:left w:w="100" w:type="dxa"/>
              <w:bottom w:w="90" w:type="dxa"/>
              <w:right w:w="100" w:type="dxa"/>
            </w:tcMar>
            <w:vAlign w:val="center"/>
          </w:tcPr>
          <w:p w14:paraId="10AB243B" w14:textId="77777777" w:rsidR="00A862C6" w:rsidRDefault="006C6030">
            <w:pPr>
              <w:jc w:val="center"/>
            </w:pPr>
            <w:r>
              <w:rPr>
                <w:rFonts w:ascii="Times New Roman" w:eastAsia="Times New Roman" w:hAnsi="Times New Roman" w:cs="Times New Roman"/>
                <w:b/>
                <w:bCs/>
                <w:sz w:val="18"/>
                <w:szCs w:val="18"/>
              </w:rPr>
              <w:t>49</w:t>
            </w:r>
          </w:p>
        </w:tc>
        <w:tc>
          <w:tcPr>
            <w:tcW w:w="1512" w:type="dxa"/>
            <w:shd w:val="clear" w:color="auto" w:fill="EDEDED"/>
            <w:tcMar>
              <w:top w:w="90" w:type="dxa"/>
              <w:left w:w="100" w:type="dxa"/>
              <w:bottom w:w="90" w:type="dxa"/>
              <w:right w:w="100" w:type="dxa"/>
            </w:tcMar>
            <w:vAlign w:val="center"/>
          </w:tcPr>
          <w:p w14:paraId="10AB243C" w14:textId="77777777" w:rsidR="00A862C6" w:rsidRDefault="006C6030">
            <w:pPr>
              <w:jc w:val="center"/>
            </w:pPr>
            <w:r>
              <w:rPr>
                <w:rFonts w:ascii="Times New Roman" w:eastAsia="Times New Roman" w:hAnsi="Times New Roman" w:cs="Times New Roman"/>
                <w:b/>
                <w:bCs/>
                <w:sz w:val="18"/>
                <w:szCs w:val="18"/>
              </w:rPr>
              <w:t>CZK 73,500</w:t>
            </w:r>
          </w:p>
        </w:tc>
        <w:tc>
          <w:tcPr>
            <w:tcW w:w="1325" w:type="dxa"/>
            <w:shd w:val="clear" w:color="auto" w:fill="EDEDED"/>
            <w:tcMar>
              <w:top w:w="90" w:type="dxa"/>
              <w:left w:w="100" w:type="dxa"/>
              <w:bottom w:w="90" w:type="dxa"/>
              <w:right w:w="100" w:type="dxa"/>
            </w:tcMar>
            <w:vAlign w:val="center"/>
          </w:tcPr>
          <w:p w14:paraId="10AB243D" w14:textId="77777777" w:rsidR="00A862C6" w:rsidRDefault="006C6030">
            <w:pPr>
              <w:jc w:val="center"/>
            </w:pPr>
            <w:r>
              <w:rPr>
                <w:rFonts w:ascii="Times New Roman" w:eastAsia="Times New Roman" w:hAnsi="Times New Roman" w:cs="Times New Roman"/>
                <w:b/>
                <w:bCs/>
                <w:sz w:val="18"/>
                <w:szCs w:val="18"/>
              </w:rPr>
              <w:t>17</w:t>
            </w:r>
          </w:p>
        </w:tc>
        <w:tc>
          <w:tcPr>
            <w:tcW w:w="1512" w:type="dxa"/>
            <w:shd w:val="clear" w:color="auto" w:fill="EDEDED"/>
            <w:tcMar>
              <w:top w:w="90" w:type="dxa"/>
              <w:left w:w="100" w:type="dxa"/>
              <w:bottom w:w="90" w:type="dxa"/>
              <w:right w:w="100" w:type="dxa"/>
            </w:tcMar>
            <w:vAlign w:val="center"/>
          </w:tcPr>
          <w:p w14:paraId="10AB243E" w14:textId="77777777" w:rsidR="00A862C6" w:rsidRDefault="006C6030">
            <w:pPr>
              <w:jc w:val="center"/>
            </w:pPr>
            <w:r>
              <w:rPr>
                <w:rFonts w:ascii="Times New Roman" w:eastAsia="Times New Roman" w:hAnsi="Times New Roman" w:cs="Times New Roman"/>
                <w:b/>
                <w:bCs/>
                <w:sz w:val="18"/>
                <w:szCs w:val="18"/>
              </w:rPr>
              <w:t>CZK 25,500</w:t>
            </w:r>
          </w:p>
        </w:tc>
      </w:tr>
    </w:tbl>
    <w:p w14:paraId="10AB2440" w14:textId="77777777" w:rsidR="00A862C6" w:rsidRDefault="006C6030">
      <w:pPr>
        <w:spacing w:before="160"/>
        <w:jc w:val="both"/>
      </w:pPr>
      <w:r>
        <w:rPr>
          <w:rFonts w:ascii="Times New Roman" w:eastAsia="Times New Roman" w:hAnsi="Times New Roman" w:cs="Times New Roman"/>
          <w:sz w:val="20"/>
          <w:szCs w:val="20"/>
        </w:rPr>
        <w:t xml:space="preserve">Reference calculation rate: CZK 1,500 per hour. The Fixed Monthly Fee remains payable in accordance with Article IV irrespective of the number of hours </w:t>
      </w:r>
      <w:proofErr w:type="gramStart"/>
      <w:r>
        <w:rPr>
          <w:rFonts w:ascii="Times New Roman" w:eastAsia="Times New Roman" w:hAnsi="Times New Roman" w:cs="Times New Roman"/>
          <w:sz w:val="20"/>
          <w:szCs w:val="20"/>
        </w:rPr>
        <w:t xml:space="preserve">actually </w:t>
      </w:r>
      <w:proofErr w:type="spellStart"/>
      <w:r>
        <w:rPr>
          <w:rFonts w:ascii="Times New Roman" w:eastAsia="Times New Roman" w:hAnsi="Times New Roman" w:cs="Times New Roman"/>
          <w:sz w:val="20"/>
          <w:szCs w:val="20"/>
        </w:rPr>
        <w:t>utilised</w:t>
      </w:r>
      <w:proofErr w:type="spellEnd"/>
      <w:proofErr w:type="gramEnd"/>
      <w:r>
        <w:rPr>
          <w:rFonts w:ascii="Times New Roman" w:eastAsia="Times New Roman" w:hAnsi="Times New Roman" w:cs="Times New Roman"/>
          <w:sz w:val="20"/>
          <w:szCs w:val="20"/>
        </w:rPr>
        <w:t>, and unused service capacity does not carry forward.</w:t>
      </w:r>
    </w:p>
    <w:sectPr w:rsidR="00A862C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71C95" w14:textId="77777777" w:rsidR="00331C77" w:rsidRDefault="00331C77">
      <w:r>
        <w:separator/>
      </w:r>
    </w:p>
  </w:endnote>
  <w:endnote w:type="continuationSeparator" w:id="0">
    <w:p w14:paraId="0121C9EF" w14:textId="77777777" w:rsidR="00331C77" w:rsidRDefault="00331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4B3F06A-E6FA-40B7-8978-D2E7B78EDD03}"/>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096A9BB4-92D9-49F7-BBEE-741A9F9CB4DF}"/>
    <w:embedBold r:id="rId3" w:fontKey="{6DFB4FB3-D6D7-4867-A26E-61E149371184}"/>
  </w:font>
  <w:font w:name="Georgia">
    <w:panose1 w:val="02040502050405020303"/>
    <w:charset w:val="EE"/>
    <w:family w:val="roman"/>
    <w:pitch w:val="variable"/>
    <w:sig w:usb0="00000287" w:usb1="00000000" w:usb2="00000000" w:usb3="00000000" w:csb0="0000009F" w:csb1="00000000"/>
    <w:embedItalic r:id="rId4" w:fontKey="{8B0505EF-A74E-497C-B696-EF54A135D37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5" w:fontKey="{450B4F60-EB2C-48AB-9844-91861578C9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2443" w14:textId="77777777" w:rsidR="00A862C6" w:rsidRDefault="00A862C6">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2444" w14:textId="7BA3258B" w:rsidR="00A862C6" w:rsidRDefault="006C6030">
    <w:pPr>
      <w:jc w:val="center"/>
    </w:pPr>
    <w:r>
      <w:rPr>
        <w:rFonts w:ascii="Times New Roman" w:eastAsia="Times New Roman" w:hAnsi="Times New Roman" w:cs="Times New Roman"/>
        <w:sz w:val="18"/>
        <w:szCs w:val="18"/>
      </w:rPr>
      <w:t xml:space="preserve">Page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PAGE</w:instrText>
    </w:r>
    <w:r>
      <w:rPr>
        <w:rFonts w:ascii="Times New Roman" w:eastAsia="Times New Roman" w:hAnsi="Times New Roman" w:cs="Times New Roman"/>
        <w:sz w:val="18"/>
        <w:szCs w:val="18"/>
      </w:rPr>
      <w:fldChar w:fldCharType="separate"/>
    </w:r>
    <w:r w:rsidR="00E36B0E">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r>
      <w:rPr>
        <w:rFonts w:ascii="Times New Roman" w:eastAsia="Times New Roman" w:hAnsi="Times New Roman" w:cs="Times New Roman"/>
        <w:sz w:val="18"/>
        <w:szCs w:val="18"/>
      </w:rPr>
      <w:t xml:space="preserve"> of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NUMPAGES</w:instrText>
    </w:r>
    <w:r>
      <w:rPr>
        <w:rFonts w:ascii="Times New Roman" w:eastAsia="Times New Roman" w:hAnsi="Times New Roman" w:cs="Times New Roman"/>
        <w:sz w:val="18"/>
        <w:szCs w:val="18"/>
      </w:rPr>
      <w:fldChar w:fldCharType="separate"/>
    </w:r>
    <w:r w:rsidR="00E36B0E">
      <w:rPr>
        <w:rFonts w:ascii="Times New Roman" w:eastAsia="Times New Roman" w:hAnsi="Times New Roman" w:cs="Times New Roman"/>
        <w:noProof/>
        <w:sz w:val="18"/>
        <w:szCs w:val="18"/>
      </w:rPr>
      <w:t>3</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2446" w14:textId="4BD04367" w:rsidR="00A862C6" w:rsidRDefault="006C6030">
    <w:pPr>
      <w:jc w:val="center"/>
    </w:pPr>
    <w:r>
      <w:rPr>
        <w:rFonts w:ascii="Times New Roman" w:eastAsia="Times New Roman" w:hAnsi="Times New Roman" w:cs="Times New Roman"/>
        <w:sz w:val="18"/>
        <w:szCs w:val="18"/>
      </w:rPr>
      <w:t xml:space="preserve">Page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PAGE</w:instrText>
    </w:r>
    <w:r>
      <w:rPr>
        <w:rFonts w:ascii="Times New Roman" w:eastAsia="Times New Roman" w:hAnsi="Times New Roman" w:cs="Times New Roman"/>
        <w:sz w:val="18"/>
        <w:szCs w:val="18"/>
      </w:rPr>
      <w:fldChar w:fldCharType="separate"/>
    </w:r>
    <w:r w:rsidR="00E36B0E">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eastAsia="Times New Roman" w:hAnsi="Times New Roman" w:cs="Times New Roman"/>
        <w:sz w:val="18"/>
        <w:szCs w:val="18"/>
      </w:rPr>
      <w:t xml:space="preserve"> of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NUMPAGES</w:instrText>
    </w:r>
    <w:r>
      <w:rPr>
        <w:rFonts w:ascii="Times New Roman" w:eastAsia="Times New Roman" w:hAnsi="Times New Roman" w:cs="Times New Roman"/>
        <w:sz w:val="18"/>
        <w:szCs w:val="18"/>
      </w:rPr>
      <w:fldChar w:fldCharType="separate"/>
    </w:r>
    <w:r w:rsidR="00E36B0E">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328B" w14:textId="77777777" w:rsidR="00331C77" w:rsidRDefault="00331C77">
      <w:r>
        <w:separator/>
      </w:r>
    </w:p>
  </w:footnote>
  <w:footnote w:type="continuationSeparator" w:id="0">
    <w:p w14:paraId="585730FF" w14:textId="77777777" w:rsidR="00331C77" w:rsidRDefault="00331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2441" w14:textId="77777777" w:rsidR="00A862C6" w:rsidRDefault="00A862C6">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2442" w14:textId="77777777" w:rsidR="00A862C6" w:rsidRDefault="00A862C6">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B2445" w14:textId="77777777" w:rsidR="00A862C6" w:rsidRDefault="006C6030">
    <w:pPr>
      <w:pBdr>
        <w:top w:val="nil"/>
        <w:left w:val="nil"/>
        <w:bottom w:val="nil"/>
        <w:right w:val="nil"/>
        <w:between w:val="nil"/>
      </w:pBdr>
      <w:tabs>
        <w:tab w:val="center" w:pos="4536"/>
        <w:tab w:val="right" w:pos="9072"/>
      </w:tabs>
      <w:jc w:val="right"/>
      <w:rPr>
        <w:color w:val="000000"/>
        <w:sz w:val="20"/>
        <w:szCs w:val="20"/>
      </w:rPr>
    </w:pPr>
    <w:r>
      <w:rPr>
        <w:color w:val="000000"/>
        <w:sz w:val="20"/>
        <w:szCs w:val="20"/>
      </w:rPr>
      <w:t>PO 1810/2026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24A9A"/>
    <w:multiLevelType w:val="multilevel"/>
    <w:tmpl w:val="70423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6931E3"/>
    <w:multiLevelType w:val="multilevel"/>
    <w:tmpl w:val="D8666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802FF9"/>
    <w:multiLevelType w:val="multilevel"/>
    <w:tmpl w:val="296C8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D377C4"/>
    <w:multiLevelType w:val="multilevel"/>
    <w:tmpl w:val="E974A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DE40568"/>
    <w:multiLevelType w:val="multilevel"/>
    <w:tmpl w:val="2E503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7665BC"/>
    <w:multiLevelType w:val="multilevel"/>
    <w:tmpl w:val="7124E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F1D7D39"/>
    <w:multiLevelType w:val="multilevel"/>
    <w:tmpl w:val="70C0DB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446592"/>
    <w:multiLevelType w:val="multilevel"/>
    <w:tmpl w:val="B4E43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AFB30B5"/>
    <w:multiLevelType w:val="multilevel"/>
    <w:tmpl w:val="9884A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4824757">
    <w:abstractNumId w:val="1"/>
  </w:num>
  <w:num w:numId="2" w16cid:durableId="432552765">
    <w:abstractNumId w:val="3"/>
  </w:num>
  <w:num w:numId="3" w16cid:durableId="494034115">
    <w:abstractNumId w:val="4"/>
  </w:num>
  <w:num w:numId="4" w16cid:durableId="100223907">
    <w:abstractNumId w:val="0"/>
  </w:num>
  <w:num w:numId="5" w16cid:durableId="1427531043">
    <w:abstractNumId w:val="8"/>
  </w:num>
  <w:num w:numId="6" w16cid:durableId="456263788">
    <w:abstractNumId w:val="2"/>
  </w:num>
  <w:num w:numId="7" w16cid:durableId="2115468742">
    <w:abstractNumId w:val="5"/>
  </w:num>
  <w:num w:numId="8" w16cid:durableId="2075350125">
    <w:abstractNumId w:val="7"/>
  </w:num>
  <w:num w:numId="9" w16cid:durableId="629282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2C6"/>
    <w:rsid w:val="00164CA8"/>
    <w:rsid w:val="0020632E"/>
    <w:rsid w:val="002838DC"/>
    <w:rsid w:val="00300097"/>
    <w:rsid w:val="00331C77"/>
    <w:rsid w:val="003A1537"/>
    <w:rsid w:val="004E07F1"/>
    <w:rsid w:val="006C6030"/>
    <w:rsid w:val="00755719"/>
    <w:rsid w:val="007C6A56"/>
    <w:rsid w:val="007F3C9E"/>
    <w:rsid w:val="0084233B"/>
    <w:rsid w:val="00872078"/>
    <w:rsid w:val="00A862C6"/>
    <w:rsid w:val="00B30B31"/>
    <w:rsid w:val="00B876E8"/>
    <w:rsid w:val="00C4187F"/>
    <w:rsid w:val="00CE1DD1"/>
    <w:rsid w:val="00D23072"/>
    <w:rsid w:val="00DC4161"/>
    <w:rsid w:val="00E1791B"/>
    <w:rsid w:val="00E34C56"/>
    <w:rsid w:val="00E36B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B22F8"/>
  <w15:docId w15:val="{F2A0B87B-06C9-4407-9C60-A97AA69D7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unhideWhenUsed/>
    <w:qFormat/>
    <w:pPr>
      <w:keepNext/>
      <w:keepLines/>
      <w:spacing w:before="360" w:after="80"/>
      <w:outlineLvl w:val="1"/>
    </w:pPr>
    <w:rPr>
      <w:b/>
      <w:bCs/>
      <w:sz w:val="36"/>
      <w:szCs w:val="36"/>
    </w:rPr>
  </w:style>
  <w:style w:type="paragraph" w:styleId="Nadpis3">
    <w:name w:val="heading 3"/>
    <w:basedOn w:val="Normln"/>
    <w:next w:val="Normln"/>
    <w:uiPriority w:val="9"/>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paragraph" w:styleId="Odstavecseseznamem">
    <w:name w:val="List Paragraph"/>
    <w:uiPriority w:val="34"/>
    <w:qFormat/>
    <w:rsid w:val="00F011F4"/>
    <w:pPr>
      <w:ind w:left="720"/>
      <w:contextualSpacing/>
    </w:pPr>
  </w:style>
  <w:style w:type="paragraph" w:styleId="Zhlav">
    <w:name w:val="header"/>
    <w:link w:val="ZhlavChar"/>
    <w:uiPriority w:val="99"/>
    <w:unhideWhenUsed/>
    <w:rsid w:val="00E725FB"/>
    <w:pPr>
      <w:tabs>
        <w:tab w:val="center" w:pos="4536"/>
        <w:tab w:val="right" w:pos="9072"/>
      </w:tabs>
    </w:pPr>
  </w:style>
  <w:style w:type="character" w:customStyle="1" w:styleId="ZhlavChar">
    <w:name w:val="Záhlaví Char"/>
    <w:basedOn w:val="Standardnpsmoodstavce"/>
    <w:link w:val="Zhlav"/>
    <w:uiPriority w:val="99"/>
    <w:rsid w:val="00E725FB"/>
  </w:style>
  <w:style w:type="paragraph" w:styleId="Zpat">
    <w:name w:val="footer"/>
    <w:link w:val="ZpatChar"/>
    <w:uiPriority w:val="99"/>
    <w:unhideWhenUsed/>
    <w:rsid w:val="00E725FB"/>
    <w:pPr>
      <w:tabs>
        <w:tab w:val="center" w:pos="4536"/>
        <w:tab w:val="right" w:pos="9072"/>
      </w:tabs>
    </w:pPr>
  </w:style>
  <w:style w:type="character" w:customStyle="1" w:styleId="ZpatChar">
    <w:name w:val="Zápatí Char"/>
    <w:basedOn w:val="Standardnpsmoodstavce"/>
    <w:link w:val="Zpat"/>
    <w:uiPriority w:val="99"/>
    <w:rsid w:val="00E725FB"/>
  </w:style>
  <w:style w:type="paragraph" w:styleId="Revize">
    <w:name w:val="Revision"/>
    <w:hidden/>
    <w:uiPriority w:val="99"/>
    <w:semiHidden/>
    <w:rsid w:val="00E725FB"/>
  </w:style>
  <w:style w:type="character" w:styleId="Odkaznakoment">
    <w:name w:val="annotation reference"/>
    <w:basedOn w:val="Standardnpsmoodstavce"/>
    <w:uiPriority w:val="99"/>
    <w:semiHidden/>
    <w:unhideWhenUsed/>
    <w:rsid w:val="00B33E45"/>
    <w:rPr>
      <w:sz w:val="16"/>
      <w:szCs w:val="16"/>
    </w:rPr>
  </w:style>
  <w:style w:type="paragraph" w:styleId="Textkomente">
    <w:name w:val="annotation text"/>
    <w:link w:val="TextkomenteChar"/>
    <w:uiPriority w:val="99"/>
    <w:unhideWhenUsed/>
    <w:rsid w:val="00B33E45"/>
    <w:rPr>
      <w:sz w:val="20"/>
      <w:szCs w:val="20"/>
    </w:rPr>
  </w:style>
  <w:style w:type="character" w:customStyle="1" w:styleId="TextkomenteChar">
    <w:name w:val="Text komentáře Char"/>
    <w:basedOn w:val="Standardnpsmoodstavce"/>
    <w:link w:val="Textkomente"/>
    <w:uiPriority w:val="99"/>
    <w:rsid w:val="00B33E45"/>
    <w:rPr>
      <w:sz w:val="20"/>
      <w:szCs w:val="20"/>
    </w:rPr>
  </w:style>
  <w:style w:type="paragraph" w:styleId="Pedmtkomente">
    <w:name w:val="annotation subject"/>
    <w:basedOn w:val="Textkomente"/>
    <w:next w:val="Textkomente"/>
    <w:link w:val="PedmtkomenteChar"/>
    <w:uiPriority w:val="99"/>
    <w:semiHidden/>
    <w:unhideWhenUsed/>
    <w:rsid w:val="00B33E45"/>
    <w:rPr>
      <w:b/>
      <w:bCs/>
    </w:rPr>
  </w:style>
  <w:style w:type="character" w:customStyle="1" w:styleId="PedmtkomenteChar">
    <w:name w:val="Předmět komentáře Char"/>
    <w:basedOn w:val="TextkomenteChar"/>
    <w:link w:val="Pedmtkomente"/>
    <w:uiPriority w:val="99"/>
    <w:semiHidden/>
    <w:rsid w:val="00B33E45"/>
    <w:rPr>
      <w:b/>
      <w:bCs/>
      <w:sz w:val="20"/>
      <w:szCs w:val="20"/>
    </w:rPr>
  </w:style>
  <w:style w:type="table" w:customStyle="1" w:styleId="a">
    <w:basedOn w:val="TableNormal2"/>
    <w:tblPr>
      <w:tblStyleRowBandSize w:val="1"/>
      <w:tblStyleColBandSize w:val="1"/>
    </w:tblPr>
  </w:style>
  <w:style w:type="paragraph" w:styleId="Podnadpis">
    <w:name w:val="Subtitle"/>
    <w:basedOn w:val="Normln"/>
    <w:next w:val="Normln"/>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30c55d-c059-4878-b03e-386dab4640e9">
      <Terms xmlns="http://schemas.microsoft.com/office/infopath/2007/PartnerControls"/>
    </lcf76f155ced4ddcb4097134ff3c332f>
    <Datum_x0020_p_x0159_ed_x00e1_n_x00ed__x0020_na_x0020_PO xmlns="5330c55d-c059-4878-b03e-386dab4640e9" xsi:nil="true"/>
    <TaxCatchAll xmlns="4e2797a0-1766-41ad-be59-caaf307804e4"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tnLQSW+OkkYHsXHZ+oVYhoB82w==">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</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C4AF71E7CDB8B2498C19C3D40F1FCB65" ma:contentTypeVersion="19" ma:contentTypeDescription="Vytvoří nový dokument" ma:contentTypeScope="" ma:versionID="98768ee23cdcfc987ea85c3635927960">
  <xsd:schema xmlns:xsd="http://www.w3.org/2001/XMLSchema" xmlns:xs="http://www.w3.org/2001/XMLSchema" xmlns:p="http://schemas.microsoft.com/office/2006/metadata/properties" xmlns:ns2="4e2797a0-1766-41ad-be59-caaf307804e4" xmlns:ns3="5330c55d-c059-4878-b03e-386dab4640e9" targetNamespace="http://schemas.microsoft.com/office/2006/metadata/properties" ma:root="true" ma:fieldsID="11bbb879a806fe062516592afd6bed7f" ns2:_="" ns3:_="">
    <xsd:import namespace="4e2797a0-1766-41ad-be59-caaf307804e4"/>
    <xsd:import namespace="5330c55d-c059-4878-b03e-386dab4640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um_x0020_p_x0159_ed_x00e1_n_x00ed__x0020_na_x0020_PO"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797a0-1766-41ad-be59-caaf307804e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75a73ace-a8c8-4851-9e68-29b63c04abe2}" ma:internalName="TaxCatchAll" ma:showField="CatchAllData" ma:web="4e2797a0-1766-41ad-be59-caaf307804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30c55d-c059-4878-b03e-386dab4640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um_x0020_p_x0159_ed_x00e1_n_x00ed__x0020_na_x0020_PO" ma:index="12" nillable="true" ma:displayName="Datum předání na PO" ma:format="DateOnly" ma:internalName="Datum_x0020_p_x0159_ed_x00e1_n_x00ed__x0020_na_x0020_PO">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6104055d-a7a1-4227-823d-893947fae55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8A8D5-6729-415C-95F8-4DEF6284978C}">
  <ds:schemaRefs>
    <ds:schemaRef ds:uri="http://schemas.microsoft.com/sharepoint/v3/contenttype/forms"/>
  </ds:schemaRefs>
</ds:datastoreItem>
</file>

<file path=customXml/itemProps2.xml><?xml version="1.0" encoding="utf-8"?>
<ds:datastoreItem xmlns:ds="http://schemas.openxmlformats.org/officeDocument/2006/customXml" ds:itemID="{C45526FE-811D-4B43-A62B-D9F729EF9181}">
  <ds:schemaRefs>
    <ds:schemaRef ds:uri="http://schemas.microsoft.com/office/2006/metadata/properties"/>
    <ds:schemaRef ds:uri="http://schemas.microsoft.com/office/infopath/2007/PartnerControls"/>
    <ds:schemaRef ds:uri="5330c55d-c059-4878-b03e-386dab4640e9"/>
    <ds:schemaRef ds:uri="4e2797a0-1766-41ad-be59-caaf307804e4"/>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7FF17C5-3112-44D4-8083-02CB3148A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797a0-1766-41ad-be59-caaf307804e4"/>
    <ds:schemaRef ds:uri="5330c55d-c059-4878-b03e-386dab464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26a48e1-fc21-461a-b97f-ac5bd535f341}" enabled="0" method="" siteId="{f26a48e1-fc21-461a-b97f-ac5bd535f341}"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6644</Words>
  <Characters>39203</Characters>
  <Application>Microsoft Office Word</Application>
  <DocSecurity>0</DocSecurity>
  <Lines>326</Lines>
  <Paragraphs>91</Paragraphs>
  <ScaleCrop>false</ScaleCrop>
  <Company/>
  <LinksUpToDate>false</LinksUpToDate>
  <CharactersWithSpaces>45756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Yups s.r.o.</dc:creator>
  <cp:lastModifiedBy>Starostová Petra</cp:lastModifiedBy>
  <cp:revision>7</cp:revision>
  <dcterms:created xsi:type="dcterms:W3CDTF">2026-09-30T08:10:00Z</dcterms:created>
  <dcterms:modified xsi:type="dcterms:W3CDTF">2026-10-07T08:50:00Z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0x010100C4AF71E7CDB8B2498C19C3D40F1FCB65</vt:lpwstr>
  </property>
  <property fmtid="{D5CDD505-2E9C-101B-9397-08002B2CF9AE}" pid="3" name="MediaServiceImageTags">
    <vt:lpwstr/>
  </property>
  <property fmtid="{D5CDD505-2E9C-101B-9397-08002B2CF9AE}" pid="4" name="GrammarlyDocumentId">
    <vt:lpwstr>e9b2117e-5a1d-4760-9e6a-fdecc1848c17</vt:lpwstr>
  </property>
</Properties>
</file>