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4DD1B" w14:textId="77777777" w:rsidR="00FB6BD2" w:rsidRDefault="00FB6BD2" w:rsidP="00FB6BD2">
      <w:pPr>
        <w:tabs>
          <w:tab w:val="num" w:pos="0"/>
        </w:tabs>
        <w:spacing w:after="120"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>
        <w:rPr>
          <w:rFonts w:eastAsia="Times New Roman"/>
          <w:b/>
          <w:sz w:val="28"/>
          <w:szCs w:val="28"/>
          <w:lang w:eastAsia="cs-CZ"/>
        </w:rPr>
        <w:t>Dodatek č. 1</w:t>
      </w:r>
    </w:p>
    <w:p w14:paraId="77F343A0" w14:textId="77777777" w:rsidR="00B97E21" w:rsidRDefault="00B97E21" w:rsidP="00B97E21">
      <w:pPr>
        <w:tabs>
          <w:tab w:val="num" w:pos="0"/>
        </w:tabs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344131">
        <w:rPr>
          <w:rFonts w:eastAsia="Times New Roman"/>
          <w:b/>
          <w:sz w:val="24"/>
          <w:szCs w:val="24"/>
          <w:lang w:eastAsia="cs-CZ"/>
        </w:rPr>
        <w:t xml:space="preserve">ke Smlouvě o </w:t>
      </w:r>
      <w:r>
        <w:rPr>
          <w:rFonts w:eastAsia="Times New Roman"/>
          <w:b/>
          <w:sz w:val="24"/>
          <w:szCs w:val="24"/>
          <w:lang w:eastAsia="cs-CZ"/>
        </w:rPr>
        <w:t xml:space="preserve">dílo a o postoupení užívacích práv </w:t>
      </w:r>
      <w:r w:rsidRPr="00124BAB">
        <w:rPr>
          <w:rFonts w:eastAsia="Times New Roman"/>
          <w:b/>
          <w:sz w:val="24"/>
          <w:szCs w:val="24"/>
          <w:lang w:eastAsia="cs-CZ"/>
        </w:rPr>
        <w:t xml:space="preserve">uzavřené dne </w:t>
      </w:r>
      <w:proofErr w:type="gramStart"/>
      <w:r>
        <w:rPr>
          <w:rFonts w:eastAsia="Times New Roman"/>
          <w:b/>
          <w:sz w:val="24"/>
          <w:szCs w:val="24"/>
          <w:lang w:eastAsia="cs-CZ"/>
        </w:rPr>
        <w:t>14.07.2008</w:t>
      </w:r>
      <w:proofErr w:type="gramEnd"/>
      <w:r w:rsidRPr="00124BAB">
        <w:rPr>
          <w:rFonts w:eastAsia="Times New Roman"/>
          <w:b/>
          <w:sz w:val="24"/>
          <w:szCs w:val="24"/>
          <w:lang w:eastAsia="cs-CZ"/>
        </w:rPr>
        <w:t>,</w:t>
      </w:r>
    </w:p>
    <w:p w14:paraId="38D2DEFE" w14:textId="77777777" w:rsidR="00311724" w:rsidRPr="00124BAB" w:rsidRDefault="00311724" w:rsidP="00B97E21">
      <w:pPr>
        <w:tabs>
          <w:tab w:val="num" w:pos="0"/>
        </w:tabs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9"/>
        <w:gridCol w:w="4893"/>
      </w:tblGrid>
      <w:tr w:rsidR="00FB6BD2" w:rsidRPr="00BB11D5" w14:paraId="1105DAE6" w14:textId="77777777" w:rsidTr="00B50ACF">
        <w:tc>
          <w:tcPr>
            <w:tcW w:w="4179" w:type="dxa"/>
          </w:tcPr>
          <w:p w14:paraId="00AE4D5D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Název:</w:t>
            </w:r>
          </w:p>
        </w:tc>
        <w:tc>
          <w:tcPr>
            <w:tcW w:w="4893" w:type="dxa"/>
          </w:tcPr>
          <w:p w14:paraId="39DA9152" w14:textId="77777777" w:rsidR="00FB6BD2" w:rsidRPr="00954CE5" w:rsidRDefault="00954CE5" w:rsidP="006D77BC">
            <w:pPr>
              <w:spacing w:after="0"/>
              <w:jc w:val="both"/>
              <w:rPr>
                <w:rFonts w:cs="Calibri"/>
                <w:b/>
              </w:rPr>
            </w:pPr>
            <w:r w:rsidRPr="00954CE5">
              <w:rPr>
                <w:rFonts w:cs="Calibri"/>
                <w:b/>
              </w:rPr>
              <w:t>Zlínský kraj</w:t>
            </w:r>
          </w:p>
        </w:tc>
      </w:tr>
      <w:tr w:rsidR="00B97E21" w:rsidRPr="00BB11D5" w14:paraId="62E74BCB" w14:textId="77777777" w:rsidTr="00B50ACF">
        <w:tc>
          <w:tcPr>
            <w:tcW w:w="4179" w:type="dxa"/>
          </w:tcPr>
          <w:p w14:paraId="28AB5BE9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Zastoupený:</w:t>
            </w:r>
          </w:p>
        </w:tc>
        <w:tc>
          <w:tcPr>
            <w:tcW w:w="4893" w:type="dxa"/>
          </w:tcPr>
          <w:p w14:paraId="50F1AF84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MVDr. Stanislavem </w:t>
            </w:r>
            <w:proofErr w:type="spellStart"/>
            <w:r>
              <w:rPr>
                <w:rFonts w:cs="Calibri"/>
              </w:rPr>
              <w:t>Mišákem</w:t>
            </w:r>
            <w:proofErr w:type="spellEnd"/>
            <w:r>
              <w:rPr>
                <w:rFonts w:cs="Calibri"/>
              </w:rPr>
              <w:t>, hejtmanem</w:t>
            </w:r>
          </w:p>
        </w:tc>
      </w:tr>
      <w:tr w:rsidR="00B97E21" w:rsidRPr="00BB11D5" w14:paraId="61C509D0" w14:textId="77777777" w:rsidTr="00B50ACF">
        <w:tc>
          <w:tcPr>
            <w:tcW w:w="4179" w:type="dxa"/>
          </w:tcPr>
          <w:p w14:paraId="5E5399B7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Sídlo:</w:t>
            </w:r>
            <w:r w:rsidRPr="00BB11D5">
              <w:rPr>
                <w:rFonts w:cs="Calibri"/>
              </w:rPr>
              <w:tab/>
            </w:r>
          </w:p>
        </w:tc>
        <w:tc>
          <w:tcPr>
            <w:tcW w:w="4893" w:type="dxa"/>
          </w:tcPr>
          <w:p w14:paraId="483CDBB2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tř. Tomáše Bati 21, 760 01 Zlín</w:t>
            </w:r>
          </w:p>
        </w:tc>
      </w:tr>
      <w:tr w:rsidR="00B97E21" w:rsidRPr="00BB11D5" w14:paraId="7AA58F7C" w14:textId="77777777" w:rsidTr="00B50ACF">
        <w:tc>
          <w:tcPr>
            <w:tcW w:w="4179" w:type="dxa"/>
          </w:tcPr>
          <w:p w14:paraId="5F165BB5" w14:textId="77777777" w:rsidR="00B97E21" w:rsidRPr="00954CE5" w:rsidRDefault="00B97E21" w:rsidP="00B97E21">
            <w:pPr>
              <w:spacing w:after="0"/>
              <w:jc w:val="both"/>
              <w:rPr>
                <w:rFonts w:cs="Calibri"/>
                <w:b/>
              </w:rPr>
            </w:pPr>
            <w:r w:rsidRPr="00BB11D5">
              <w:rPr>
                <w:rFonts w:cs="Calibri"/>
              </w:rPr>
              <w:t>IČO:</w:t>
            </w:r>
          </w:p>
        </w:tc>
        <w:tc>
          <w:tcPr>
            <w:tcW w:w="4893" w:type="dxa"/>
          </w:tcPr>
          <w:p w14:paraId="77C92536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70891320</w:t>
            </w:r>
          </w:p>
        </w:tc>
      </w:tr>
      <w:tr w:rsidR="00B97E21" w:rsidRPr="00BB11D5" w14:paraId="50EDB99E" w14:textId="77777777" w:rsidTr="00B50ACF">
        <w:tc>
          <w:tcPr>
            <w:tcW w:w="4179" w:type="dxa"/>
          </w:tcPr>
          <w:p w14:paraId="3C7E8674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DIČ:</w:t>
            </w:r>
          </w:p>
        </w:tc>
        <w:tc>
          <w:tcPr>
            <w:tcW w:w="4893" w:type="dxa"/>
          </w:tcPr>
          <w:p w14:paraId="5CF8D419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CZ70891320</w:t>
            </w:r>
          </w:p>
        </w:tc>
      </w:tr>
      <w:tr w:rsidR="00B97E21" w:rsidRPr="00BB11D5" w14:paraId="6319A9DE" w14:textId="77777777" w:rsidTr="00B50ACF">
        <w:tc>
          <w:tcPr>
            <w:tcW w:w="4179" w:type="dxa"/>
          </w:tcPr>
          <w:p w14:paraId="4AF6C9E0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 xml:space="preserve">Bankovní spojení:  </w:t>
            </w:r>
          </w:p>
        </w:tc>
        <w:tc>
          <w:tcPr>
            <w:tcW w:w="4893" w:type="dxa"/>
          </w:tcPr>
          <w:p w14:paraId="78AB6A4B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>
              <w:rPr>
                <w:iCs/>
              </w:rPr>
              <w:t>Česká spořitelna, a.s.</w:t>
            </w:r>
          </w:p>
        </w:tc>
      </w:tr>
      <w:tr w:rsidR="00B97E21" w:rsidRPr="00BB11D5" w14:paraId="629AE684" w14:textId="77777777" w:rsidTr="00B50ACF">
        <w:tc>
          <w:tcPr>
            <w:tcW w:w="4179" w:type="dxa"/>
          </w:tcPr>
          <w:p w14:paraId="6A9695C5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Číslo účtu:</w:t>
            </w:r>
            <w:r w:rsidRPr="00BB11D5">
              <w:rPr>
                <w:rFonts w:cs="Calibri"/>
              </w:rPr>
              <w:tab/>
            </w:r>
          </w:p>
        </w:tc>
        <w:tc>
          <w:tcPr>
            <w:tcW w:w="4893" w:type="dxa"/>
          </w:tcPr>
          <w:p w14:paraId="2DFC8487" w14:textId="77777777" w:rsidR="00B97E21" w:rsidRDefault="00B97E21" w:rsidP="00B97E21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2786182/0800</w:t>
            </w:r>
          </w:p>
          <w:p w14:paraId="4B750057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</w:p>
        </w:tc>
      </w:tr>
      <w:tr w:rsidR="00B97E21" w:rsidRPr="00BB11D5" w14:paraId="1B13954B" w14:textId="77777777" w:rsidTr="00B50ACF">
        <w:tc>
          <w:tcPr>
            <w:tcW w:w="4179" w:type="dxa"/>
          </w:tcPr>
          <w:p w14:paraId="6B8A38C8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Kontaktní osoba ve věcech technických:</w:t>
            </w:r>
          </w:p>
        </w:tc>
        <w:tc>
          <w:tcPr>
            <w:tcW w:w="4893" w:type="dxa"/>
          </w:tcPr>
          <w:p w14:paraId="30B140E6" w14:textId="77777777" w:rsidR="00B97E21" w:rsidRPr="00954CE5" w:rsidRDefault="00B97E21" w:rsidP="00B97E21">
            <w:pPr>
              <w:spacing w:after="0"/>
              <w:jc w:val="both"/>
              <w:rPr>
                <w:rFonts w:cs="Calibri"/>
              </w:rPr>
            </w:pPr>
            <w:r w:rsidRPr="00954CE5">
              <w:rPr>
                <w:rFonts w:cs="Calibri"/>
              </w:rPr>
              <w:t>Ing. Zdeněk Vaculík</w:t>
            </w:r>
          </w:p>
        </w:tc>
      </w:tr>
      <w:tr w:rsidR="00B97E21" w:rsidRPr="00BB11D5" w14:paraId="64E5451D" w14:textId="77777777" w:rsidTr="00B50ACF">
        <w:tc>
          <w:tcPr>
            <w:tcW w:w="4179" w:type="dxa"/>
          </w:tcPr>
          <w:p w14:paraId="59531AA3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 xml:space="preserve">Telefon:  </w:t>
            </w:r>
          </w:p>
        </w:tc>
        <w:tc>
          <w:tcPr>
            <w:tcW w:w="4893" w:type="dxa"/>
          </w:tcPr>
          <w:p w14:paraId="6431C87D" w14:textId="77777777" w:rsidR="00B97E21" w:rsidRPr="00954CE5" w:rsidRDefault="00B97E21" w:rsidP="00B97E21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+420 </w:t>
            </w:r>
            <w:r w:rsidRPr="00954CE5">
              <w:rPr>
                <w:rFonts w:cs="Calibri"/>
              </w:rPr>
              <w:t>577 043 255</w:t>
            </w:r>
          </w:p>
        </w:tc>
      </w:tr>
      <w:tr w:rsidR="00B97E21" w:rsidRPr="00BB11D5" w14:paraId="3C8E5324" w14:textId="77777777" w:rsidTr="00B50ACF">
        <w:tc>
          <w:tcPr>
            <w:tcW w:w="4179" w:type="dxa"/>
          </w:tcPr>
          <w:p w14:paraId="4A996458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E-mail:</w:t>
            </w:r>
          </w:p>
        </w:tc>
        <w:tc>
          <w:tcPr>
            <w:tcW w:w="4893" w:type="dxa"/>
          </w:tcPr>
          <w:p w14:paraId="79AB52A4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  <w:highlight w:val="cyan"/>
              </w:rPr>
            </w:pPr>
            <w:r w:rsidRPr="00954CE5">
              <w:rPr>
                <w:rFonts w:cs="Calibri"/>
              </w:rPr>
              <w:t>zdenek.vaculík@kr-zlinsky.cz</w:t>
            </w:r>
          </w:p>
        </w:tc>
      </w:tr>
      <w:tr w:rsidR="00B97E21" w:rsidRPr="00BB11D5" w14:paraId="0B5F30CA" w14:textId="77777777" w:rsidTr="00B50ACF">
        <w:tc>
          <w:tcPr>
            <w:tcW w:w="9072" w:type="dxa"/>
            <w:gridSpan w:val="2"/>
          </w:tcPr>
          <w:p w14:paraId="3B1865C5" w14:textId="77777777" w:rsidR="00B97E21" w:rsidRDefault="00B97E21" w:rsidP="00B97E21">
            <w:pPr>
              <w:spacing w:after="0"/>
              <w:rPr>
                <w:rFonts w:cs="Calibri"/>
                <w:b/>
              </w:rPr>
            </w:pPr>
          </w:p>
          <w:p w14:paraId="3204FA4E" w14:textId="77777777" w:rsidR="00B97E21" w:rsidRPr="00BB11D5" w:rsidRDefault="00B97E21" w:rsidP="00B97E21">
            <w:pPr>
              <w:spacing w:after="0"/>
              <w:rPr>
                <w:rFonts w:cs="Calibri"/>
                <w:b/>
              </w:rPr>
            </w:pPr>
            <w:r w:rsidRPr="00BB11D5">
              <w:rPr>
                <w:rFonts w:cs="Calibri"/>
                <w:b/>
              </w:rPr>
              <w:t xml:space="preserve"> (dále </w:t>
            </w:r>
            <w:proofErr w:type="gramStart"/>
            <w:r w:rsidRPr="00BB11D5">
              <w:rPr>
                <w:rFonts w:cs="Calibri"/>
                <w:b/>
              </w:rPr>
              <w:t>jen ,,nabyvatel</w:t>
            </w:r>
            <w:proofErr w:type="gramEnd"/>
            <w:r w:rsidRPr="00BB11D5">
              <w:rPr>
                <w:rFonts w:cs="Calibri"/>
                <w:b/>
              </w:rPr>
              <w:t>“)</w:t>
            </w:r>
          </w:p>
          <w:p w14:paraId="04033D9C" w14:textId="77777777" w:rsidR="00B97E21" w:rsidRPr="00BB11D5" w:rsidRDefault="00B97E21" w:rsidP="00B97E21">
            <w:pPr>
              <w:spacing w:after="0"/>
              <w:jc w:val="both"/>
              <w:rPr>
                <w:rFonts w:cs="Calibri"/>
                <w:highlight w:val="green"/>
              </w:rPr>
            </w:pPr>
          </w:p>
        </w:tc>
      </w:tr>
    </w:tbl>
    <w:p w14:paraId="5DDF61D0" w14:textId="77777777" w:rsidR="00FB6BD2" w:rsidRPr="00BB11D5" w:rsidRDefault="00FB6BD2" w:rsidP="00FB6BD2">
      <w:pPr>
        <w:spacing w:before="100"/>
        <w:jc w:val="both"/>
        <w:rPr>
          <w:rFonts w:cs="Calibri"/>
          <w:b/>
        </w:rPr>
      </w:pPr>
      <w:r w:rsidRPr="00BB11D5">
        <w:rPr>
          <w:rFonts w:cs="Calibri"/>
          <w:b/>
        </w:rPr>
        <w:t>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883"/>
      </w:tblGrid>
      <w:tr w:rsidR="00FB6BD2" w:rsidRPr="00BB11D5" w14:paraId="3CC4B4D6" w14:textId="77777777" w:rsidTr="006D77BC">
        <w:tc>
          <w:tcPr>
            <w:tcW w:w="4248" w:type="dxa"/>
          </w:tcPr>
          <w:p w14:paraId="5DB85DC0" w14:textId="77777777" w:rsidR="00FB6BD2" w:rsidRPr="00BB11D5" w:rsidRDefault="00BB11D5" w:rsidP="006D77B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Název:</w:t>
            </w:r>
          </w:p>
        </w:tc>
        <w:tc>
          <w:tcPr>
            <w:tcW w:w="4964" w:type="dxa"/>
          </w:tcPr>
          <w:p w14:paraId="04F16BE4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BB11D5">
              <w:rPr>
                <w:b/>
                <w:bCs/>
                <w:color w:val="000000"/>
              </w:rPr>
              <w:t>Wolters</w:t>
            </w:r>
            <w:proofErr w:type="spellEnd"/>
            <w:r w:rsidRPr="00BB11D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B11D5">
              <w:rPr>
                <w:b/>
                <w:bCs/>
                <w:color w:val="000000"/>
              </w:rPr>
              <w:t>Kluwer</w:t>
            </w:r>
            <w:proofErr w:type="spellEnd"/>
            <w:r w:rsidRPr="00BB11D5">
              <w:rPr>
                <w:b/>
                <w:bCs/>
                <w:color w:val="000000"/>
              </w:rPr>
              <w:t xml:space="preserve">, a.s. </w:t>
            </w:r>
          </w:p>
        </w:tc>
      </w:tr>
      <w:tr w:rsidR="00FB6BD2" w:rsidRPr="00BB11D5" w14:paraId="74847735" w14:textId="77777777" w:rsidTr="006D77BC">
        <w:tc>
          <w:tcPr>
            <w:tcW w:w="4248" w:type="dxa"/>
          </w:tcPr>
          <w:p w14:paraId="615A599F" w14:textId="77777777" w:rsidR="00FB6BD2" w:rsidRPr="00BB11D5" w:rsidRDefault="00BB11D5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Zastoupený:</w:t>
            </w:r>
          </w:p>
        </w:tc>
        <w:tc>
          <w:tcPr>
            <w:tcW w:w="4964" w:type="dxa"/>
          </w:tcPr>
          <w:p w14:paraId="622D0778" w14:textId="0C6D5F78" w:rsidR="00FB6BD2" w:rsidRPr="00BB11D5" w:rsidRDefault="00957CB4" w:rsidP="006D77B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XXXX</w:t>
            </w:r>
            <w:r w:rsidR="00BB11D5" w:rsidRPr="00BB11D5">
              <w:rPr>
                <w:rFonts w:cs="Calibri"/>
              </w:rPr>
              <w:t>, v plné moci</w:t>
            </w:r>
          </w:p>
        </w:tc>
      </w:tr>
      <w:tr w:rsidR="00FB6BD2" w:rsidRPr="00BB11D5" w14:paraId="223BD327" w14:textId="77777777" w:rsidTr="00954CE5">
        <w:tc>
          <w:tcPr>
            <w:tcW w:w="4248" w:type="dxa"/>
            <w:shd w:val="clear" w:color="auto" w:fill="auto"/>
          </w:tcPr>
          <w:p w14:paraId="18DE2CAF" w14:textId="77777777" w:rsidR="00FB6BD2" w:rsidRPr="00BB11D5" w:rsidRDefault="00954CE5" w:rsidP="006D77B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Sídlo:</w:t>
            </w:r>
          </w:p>
        </w:tc>
        <w:tc>
          <w:tcPr>
            <w:tcW w:w="4964" w:type="dxa"/>
            <w:shd w:val="clear" w:color="auto" w:fill="auto"/>
          </w:tcPr>
          <w:p w14:paraId="1E64F5F1" w14:textId="77777777" w:rsidR="00FB6BD2" w:rsidRPr="00BB11D5" w:rsidRDefault="00E43760" w:rsidP="00954CE5">
            <w:pPr>
              <w:spacing w:after="0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sz w:val="20"/>
              </w:rPr>
              <w:t xml:space="preserve">U Nákladového nádraží 3146/6, 130 00 Praha 3 </w:t>
            </w:r>
          </w:p>
        </w:tc>
      </w:tr>
      <w:tr w:rsidR="00FB6BD2" w:rsidRPr="00BB11D5" w14:paraId="5EAB80C7" w14:textId="77777777" w:rsidTr="00954CE5">
        <w:tc>
          <w:tcPr>
            <w:tcW w:w="4248" w:type="dxa"/>
            <w:shd w:val="clear" w:color="auto" w:fill="auto"/>
          </w:tcPr>
          <w:p w14:paraId="6C204646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 xml:space="preserve">Právní forma: </w:t>
            </w:r>
          </w:p>
        </w:tc>
        <w:tc>
          <w:tcPr>
            <w:tcW w:w="4964" w:type="dxa"/>
            <w:shd w:val="clear" w:color="auto" w:fill="auto"/>
          </w:tcPr>
          <w:p w14:paraId="2D34D3BB" w14:textId="77777777" w:rsidR="00FB6BD2" w:rsidRPr="00BB11D5" w:rsidRDefault="00424E57" w:rsidP="00FB6BD2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obchodní</w:t>
            </w:r>
            <w:r w:rsidR="00FB6BD2" w:rsidRPr="00BB11D5">
              <w:rPr>
                <w:rFonts w:cs="Calibri"/>
              </w:rPr>
              <w:t xml:space="preserve"> společnost zapsaná v OR</w:t>
            </w:r>
          </w:p>
        </w:tc>
      </w:tr>
      <w:tr w:rsidR="00FB6BD2" w:rsidRPr="00BB11D5" w14:paraId="062A7D53" w14:textId="77777777" w:rsidTr="006D77BC">
        <w:tc>
          <w:tcPr>
            <w:tcW w:w="4248" w:type="dxa"/>
          </w:tcPr>
          <w:p w14:paraId="747835F2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IČO:</w:t>
            </w:r>
          </w:p>
        </w:tc>
        <w:tc>
          <w:tcPr>
            <w:tcW w:w="4964" w:type="dxa"/>
          </w:tcPr>
          <w:p w14:paraId="42BA7515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 xml:space="preserve">63077639 </w:t>
            </w:r>
          </w:p>
        </w:tc>
      </w:tr>
      <w:tr w:rsidR="00FB6BD2" w:rsidRPr="00BB11D5" w14:paraId="21C2556E" w14:textId="77777777" w:rsidTr="006D77BC">
        <w:tc>
          <w:tcPr>
            <w:tcW w:w="4248" w:type="dxa"/>
          </w:tcPr>
          <w:p w14:paraId="271692B3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DIČ:</w:t>
            </w:r>
          </w:p>
        </w:tc>
        <w:tc>
          <w:tcPr>
            <w:tcW w:w="4964" w:type="dxa"/>
          </w:tcPr>
          <w:p w14:paraId="2806A3B0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 xml:space="preserve">CZ63077639 </w:t>
            </w:r>
          </w:p>
        </w:tc>
      </w:tr>
      <w:tr w:rsidR="00FB6BD2" w:rsidRPr="00BB11D5" w14:paraId="7B4B8D79" w14:textId="77777777" w:rsidTr="006D77BC">
        <w:tc>
          <w:tcPr>
            <w:tcW w:w="4248" w:type="dxa"/>
          </w:tcPr>
          <w:p w14:paraId="3754232B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Obchodní rejstřík:</w:t>
            </w:r>
          </w:p>
        </w:tc>
        <w:tc>
          <w:tcPr>
            <w:tcW w:w="4964" w:type="dxa"/>
          </w:tcPr>
          <w:p w14:paraId="31D60A07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t>vedený MS v Praze, oddíl B, vložka 9659</w:t>
            </w:r>
          </w:p>
        </w:tc>
      </w:tr>
      <w:tr w:rsidR="00FB6BD2" w:rsidRPr="00BB11D5" w14:paraId="2244830C" w14:textId="77777777" w:rsidTr="006D77BC">
        <w:tc>
          <w:tcPr>
            <w:tcW w:w="4248" w:type="dxa"/>
          </w:tcPr>
          <w:p w14:paraId="1C7F607B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 xml:space="preserve">Bankovní spojení:    </w:t>
            </w:r>
          </w:p>
        </w:tc>
        <w:tc>
          <w:tcPr>
            <w:tcW w:w="4964" w:type="dxa"/>
          </w:tcPr>
          <w:p w14:paraId="5DA51C88" w14:textId="77777777" w:rsidR="00FB6BD2" w:rsidRPr="00BB11D5" w:rsidRDefault="00E43760" w:rsidP="006D77BC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E80338">
              <w:rPr>
                <w:rFonts w:ascii="Arial" w:hAnsi="Arial" w:cs="Arial"/>
                <w:color w:val="000000"/>
                <w:sz w:val="20"/>
              </w:rPr>
              <w:t>UniCredit</w:t>
            </w:r>
            <w:proofErr w:type="spellEnd"/>
            <w:r w:rsidRPr="00E80338">
              <w:rPr>
                <w:rFonts w:ascii="Arial" w:hAnsi="Arial" w:cs="Arial"/>
                <w:color w:val="000000"/>
                <w:sz w:val="20"/>
              </w:rPr>
              <w:t xml:space="preserve"> Bank Czech Republic and Slovakia, a.s.</w:t>
            </w:r>
          </w:p>
        </w:tc>
      </w:tr>
      <w:tr w:rsidR="00FB6BD2" w:rsidRPr="00BB11D5" w14:paraId="2A2F1008" w14:textId="77777777" w:rsidTr="006D77BC">
        <w:tc>
          <w:tcPr>
            <w:tcW w:w="4248" w:type="dxa"/>
          </w:tcPr>
          <w:p w14:paraId="39641D94" w14:textId="77777777" w:rsidR="00FB6BD2" w:rsidRPr="00BB11D5" w:rsidRDefault="00FB6BD2" w:rsidP="00BB11D5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Číslo účtu:</w:t>
            </w:r>
            <w:r w:rsidRPr="00BB11D5">
              <w:rPr>
                <w:rFonts w:cs="Calibri"/>
              </w:rPr>
              <w:tab/>
            </w:r>
          </w:p>
        </w:tc>
        <w:tc>
          <w:tcPr>
            <w:tcW w:w="4964" w:type="dxa"/>
          </w:tcPr>
          <w:p w14:paraId="50CF95C6" w14:textId="21356223" w:rsidR="00FB6BD2" w:rsidRPr="00BB11D5" w:rsidRDefault="00957CB4" w:rsidP="006D77B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XXXX</w:t>
            </w:r>
          </w:p>
          <w:p w14:paraId="46B1B30F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</w:p>
        </w:tc>
      </w:tr>
      <w:tr w:rsidR="00FB6BD2" w:rsidRPr="00BB11D5" w14:paraId="43A0B10C" w14:textId="77777777" w:rsidTr="006D77BC">
        <w:tc>
          <w:tcPr>
            <w:tcW w:w="4248" w:type="dxa"/>
          </w:tcPr>
          <w:p w14:paraId="6A86C49E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>Kontaktní osoba:</w:t>
            </w:r>
          </w:p>
        </w:tc>
        <w:tc>
          <w:tcPr>
            <w:tcW w:w="4964" w:type="dxa"/>
          </w:tcPr>
          <w:p w14:paraId="4F31C6B3" w14:textId="126AFAED" w:rsidR="00FB6BD2" w:rsidRPr="00BB11D5" w:rsidRDefault="00957CB4" w:rsidP="006D77B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XXXX</w:t>
            </w:r>
            <w:r w:rsidR="00487195">
              <w:rPr>
                <w:rFonts w:cs="Calibri"/>
              </w:rPr>
              <w:t xml:space="preserve">, </w:t>
            </w:r>
            <w:proofErr w:type="spellStart"/>
            <w:r w:rsidR="00487195">
              <w:rPr>
                <w:rFonts w:cs="Calibri"/>
              </w:rPr>
              <w:t>Key</w:t>
            </w:r>
            <w:proofErr w:type="spellEnd"/>
            <w:r w:rsidR="00487195">
              <w:rPr>
                <w:rFonts w:cs="Calibri"/>
              </w:rPr>
              <w:t xml:space="preserve"> </w:t>
            </w:r>
            <w:proofErr w:type="spellStart"/>
            <w:r w:rsidR="00487195">
              <w:rPr>
                <w:rFonts w:cs="Calibri"/>
              </w:rPr>
              <w:t>Account</w:t>
            </w:r>
            <w:proofErr w:type="spellEnd"/>
            <w:r w:rsidR="00487195">
              <w:rPr>
                <w:rFonts w:cs="Calibri"/>
              </w:rPr>
              <w:t xml:space="preserve"> </w:t>
            </w:r>
            <w:proofErr w:type="spellStart"/>
            <w:r w:rsidR="00487195">
              <w:rPr>
                <w:rFonts w:cs="Calibri"/>
              </w:rPr>
              <w:t>Manager</w:t>
            </w:r>
            <w:proofErr w:type="spellEnd"/>
          </w:p>
        </w:tc>
      </w:tr>
      <w:tr w:rsidR="00FB6BD2" w:rsidRPr="00BB11D5" w14:paraId="7E846DF4" w14:textId="77777777" w:rsidTr="006D77BC">
        <w:tc>
          <w:tcPr>
            <w:tcW w:w="4248" w:type="dxa"/>
          </w:tcPr>
          <w:p w14:paraId="06B4E20B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 xml:space="preserve">Telefon: </w:t>
            </w:r>
          </w:p>
        </w:tc>
        <w:tc>
          <w:tcPr>
            <w:tcW w:w="4964" w:type="dxa"/>
          </w:tcPr>
          <w:p w14:paraId="64507AD0" w14:textId="2A9052E7" w:rsidR="00FB6BD2" w:rsidRPr="00BB11D5" w:rsidRDefault="00957CB4" w:rsidP="006D77B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XXXX</w:t>
            </w:r>
          </w:p>
        </w:tc>
      </w:tr>
      <w:tr w:rsidR="00FB6BD2" w:rsidRPr="00BB11D5" w14:paraId="71AD9583" w14:textId="77777777" w:rsidTr="006D77BC">
        <w:tc>
          <w:tcPr>
            <w:tcW w:w="4248" w:type="dxa"/>
          </w:tcPr>
          <w:p w14:paraId="397B152A" w14:textId="77777777" w:rsidR="00FB6BD2" w:rsidRPr="00BB11D5" w:rsidRDefault="00FB6BD2" w:rsidP="00424E57">
            <w:pPr>
              <w:spacing w:after="0"/>
              <w:jc w:val="both"/>
              <w:rPr>
                <w:rFonts w:cs="Calibri"/>
              </w:rPr>
            </w:pPr>
            <w:r w:rsidRPr="00BB11D5">
              <w:rPr>
                <w:rFonts w:cs="Calibri"/>
              </w:rPr>
              <w:t xml:space="preserve">E-mail: </w:t>
            </w:r>
          </w:p>
        </w:tc>
        <w:tc>
          <w:tcPr>
            <w:tcW w:w="4964" w:type="dxa"/>
          </w:tcPr>
          <w:p w14:paraId="41E7B8E9" w14:textId="326FE542" w:rsidR="00FB6BD2" w:rsidRPr="00BB11D5" w:rsidRDefault="00957CB4" w:rsidP="00E43760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XXXX</w:t>
            </w:r>
          </w:p>
        </w:tc>
      </w:tr>
      <w:tr w:rsidR="00FB6BD2" w:rsidRPr="00BB11D5" w14:paraId="286EE5B5" w14:textId="77777777" w:rsidTr="006D77BC">
        <w:tc>
          <w:tcPr>
            <w:tcW w:w="4248" w:type="dxa"/>
          </w:tcPr>
          <w:p w14:paraId="2B4DBEBF" w14:textId="77777777" w:rsidR="00424E57" w:rsidRDefault="00424E57" w:rsidP="00FB6BD2">
            <w:pPr>
              <w:jc w:val="both"/>
              <w:rPr>
                <w:rFonts w:cs="Calibri"/>
                <w:b/>
              </w:rPr>
            </w:pPr>
          </w:p>
          <w:p w14:paraId="609B7E7A" w14:textId="77777777" w:rsidR="00EC31AA" w:rsidRPr="00BB11D5" w:rsidRDefault="00FB6BD2" w:rsidP="00FB6BD2">
            <w:pPr>
              <w:jc w:val="both"/>
              <w:rPr>
                <w:rFonts w:cs="Calibri"/>
                <w:b/>
              </w:rPr>
            </w:pPr>
            <w:r w:rsidRPr="00BB11D5">
              <w:rPr>
                <w:rFonts w:cs="Calibri"/>
                <w:b/>
              </w:rPr>
              <w:t>(dále jen „poskytovatel“)</w:t>
            </w:r>
          </w:p>
          <w:p w14:paraId="484FE709" w14:textId="77777777" w:rsidR="00BB11D5" w:rsidRPr="00BB11D5" w:rsidRDefault="00BB11D5" w:rsidP="006D77BC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4964" w:type="dxa"/>
          </w:tcPr>
          <w:p w14:paraId="3C5F2082" w14:textId="77777777" w:rsidR="00FB6BD2" w:rsidRPr="00BB11D5" w:rsidRDefault="00FB6BD2" w:rsidP="006D77BC">
            <w:pPr>
              <w:spacing w:after="0"/>
              <w:jc w:val="both"/>
              <w:rPr>
                <w:rFonts w:cs="Calibri"/>
              </w:rPr>
            </w:pPr>
          </w:p>
        </w:tc>
      </w:tr>
    </w:tbl>
    <w:p w14:paraId="416F195C" w14:textId="77777777" w:rsidR="00FB6BD2" w:rsidRPr="001F4FF5" w:rsidRDefault="00FB6BD2" w:rsidP="00424E57">
      <w:pPr>
        <w:pStyle w:val="seznam-western"/>
        <w:numPr>
          <w:ilvl w:val="0"/>
          <w:numId w:val="1"/>
        </w:numPr>
        <w:spacing w:before="0" w:beforeAutospacing="0" w:after="120"/>
        <w:jc w:val="center"/>
        <w:outlineLvl w:val="0"/>
        <w:rPr>
          <w:rFonts w:ascii="Calibri" w:hAnsi="Calibri"/>
          <w:b/>
          <w:sz w:val="28"/>
          <w:szCs w:val="28"/>
        </w:rPr>
      </w:pPr>
      <w:r w:rsidRPr="001F4FF5">
        <w:rPr>
          <w:rFonts w:ascii="Calibri" w:hAnsi="Calibri"/>
          <w:b/>
          <w:sz w:val="28"/>
          <w:szCs w:val="28"/>
        </w:rPr>
        <w:t>Účel dodatku</w:t>
      </w:r>
    </w:p>
    <w:p w14:paraId="5E2CB8A2" w14:textId="77777777" w:rsidR="00E21A9C" w:rsidRDefault="00FB6BD2" w:rsidP="00C51553">
      <w:pPr>
        <w:pStyle w:val="seznam-western"/>
        <w:spacing w:before="240" w:beforeAutospacing="0" w:after="120"/>
        <w:outlineLvl w:val="0"/>
        <w:rPr>
          <w:rFonts w:ascii="Calibri" w:hAnsi="Calibri"/>
          <w:sz w:val="22"/>
          <w:szCs w:val="22"/>
        </w:rPr>
      </w:pPr>
      <w:r w:rsidRPr="00856BFE">
        <w:rPr>
          <w:rFonts w:ascii="Calibri" w:hAnsi="Calibri"/>
          <w:sz w:val="22"/>
          <w:szCs w:val="22"/>
        </w:rPr>
        <w:t xml:space="preserve">Smluvní strany uzavřely dne </w:t>
      </w:r>
      <w:proofErr w:type="gramStart"/>
      <w:r w:rsidR="00B50ACF">
        <w:rPr>
          <w:rFonts w:ascii="Calibri" w:hAnsi="Calibri"/>
          <w:sz w:val="22"/>
          <w:szCs w:val="22"/>
        </w:rPr>
        <w:t>14.07.2008</w:t>
      </w:r>
      <w:proofErr w:type="gramEnd"/>
      <w:r w:rsidR="00B50ACF">
        <w:rPr>
          <w:rFonts w:ascii="Calibri" w:hAnsi="Calibri"/>
          <w:sz w:val="22"/>
          <w:szCs w:val="22"/>
        </w:rPr>
        <w:t xml:space="preserve"> </w:t>
      </w:r>
      <w:r w:rsidR="00424E57">
        <w:rPr>
          <w:rFonts w:ascii="Calibri" w:hAnsi="Calibri"/>
          <w:sz w:val="22"/>
          <w:szCs w:val="22"/>
        </w:rPr>
        <w:t>S</w:t>
      </w:r>
      <w:r w:rsidRPr="00856BFE">
        <w:rPr>
          <w:rFonts w:ascii="Calibri" w:hAnsi="Calibri"/>
          <w:sz w:val="22"/>
          <w:szCs w:val="22"/>
        </w:rPr>
        <w:t xml:space="preserve">mlouvu o </w:t>
      </w:r>
      <w:r w:rsidR="00B50ACF">
        <w:rPr>
          <w:rFonts w:ascii="Calibri" w:hAnsi="Calibri"/>
          <w:sz w:val="22"/>
          <w:szCs w:val="22"/>
        </w:rPr>
        <w:t>dílo a o postoupení užívacích práv</w:t>
      </w:r>
      <w:r w:rsidR="00523A87">
        <w:rPr>
          <w:rFonts w:ascii="Calibri" w:hAnsi="Calibri"/>
          <w:sz w:val="22"/>
          <w:szCs w:val="22"/>
        </w:rPr>
        <w:t xml:space="preserve"> </w:t>
      </w:r>
      <w:r w:rsidRPr="00856BFE">
        <w:rPr>
          <w:rFonts w:ascii="Calibri" w:hAnsi="Calibri"/>
          <w:sz w:val="22"/>
          <w:szCs w:val="22"/>
        </w:rPr>
        <w:t xml:space="preserve">(dále jen „smlouva“) </w:t>
      </w:r>
      <w:r w:rsidR="00935812" w:rsidRPr="00856BFE">
        <w:rPr>
          <w:rFonts w:ascii="Calibri" w:hAnsi="Calibri" w:cs="Arial"/>
          <w:sz w:val="22"/>
          <w:szCs w:val="22"/>
        </w:rPr>
        <w:t xml:space="preserve">vedenou pod číslem </w:t>
      </w:r>
      <w:r w:rsidR="00C30257">
        <w:rPr>
          <w:rFonts w:ascii="Calibri" w:hAnsi="Calibri" w:cs="Arial"/>
          <w:sz w:val="22"/>
          <w:szCs w:val="22"/>
        </w:rPr>
        <w:t xml:space="preserve">jednacím </w:t>
      </w:r>
      <w:r w:rsidR="00B50ACF">
        <w:rPr>
          <w:rFonts w:ascii="Calibri" w:hAnsi="Calibri" w:cs="Arial"/>
          <w:sz w:val="22"/>
          <w:szCs w:val="22"/>
        </w:rPr>
        <w:t>S-9211/07/KAX</w:t>
      </w:r>
      <w:r w:rsidR="00935812" w:rsidRPr="00856BFE">
        <w:rPr>
          <w:rFonts w:ascii="Calibri" w:hAnsi="Calibri" w:cs="Arial"/>
          <w:sz w:val="22"/>
          <w:szCs w:val="22"/>
        </w:rPr>
        <w:t xml:space="preserve"> </w:t>
      </w:r>
      <w:r w:rsidRPr="00856BFE">
        <w:rPr>
          <w:rFonts w:ascii="Calibri" w:hAnsi="Calibri"/>
          <w:sz w:val="22"/>
          <w:szCs w:val="22"/>
        </w:rPr>
        <w:t xml:space="preserve">za účelem </w:t>
      </w:r>
      <w:r w:rsidR="006E5AE5" w:rsidRPr="00856BFE">
        <w:rPr>
          <w:rFonts w:ascii="Calibri" w:hAnsi="Calibri"/>
          <w:sz w:val="22"/>
          <w:szCs w:val="22"/>
        </w:rPr>
        <w:t xml:space="preserve">řádného uspokojení potřeby nabyvatele spočívajícího v získání a užívání </w:t>
      </w:r>
      <w:r w:rsidR="00C30257">
        <w:rPr>
          <w:rFonts w:ascii="Calibri" w:hAnsi="Calibri"/>
          <w:sz w:val="22"/>
          <w:szCs w:val="22"/>
        </w:rPr>
        <w:t xml:space="preserve">právního informačního systému ASPI </w:t>
      </w:r>
      <w:r w:rsidR="00C30257" w:rsidRPr="00856BFE">
        <w:rPr>
          <w:rFonts w:ascii="Calibri" w:hAnsi="Calibri"/>
          <w:sz w:val="22"/>
          <w:szCs w:val="22"/>
        </w:rPr>
        <w:t xml:space="preserve">(dále jen ,,PIS“) </w:t>
      </w:r>
      <w:r w:rsidR="006E5AE5" w:rsidRPr="00856BFE">
        <w:rPr>
          <w:rFonts w:ascii="Calibri" w:hAnsi="Calibri"/>
          <w:sz w:val="22"/>
          <w:szCs w:val="22"/>
        </w:rPr>
        <w:t xml:space="preserve"> splňujícího veškeré požadavky, které jsou na něj kladeny. </w:t>
      </w:r>
    </w:p>
    <w:p w14:paraId="74B4135D" w14:textId="3A37F72E" w:rsidR="0075302B" w:rsidRDefault="00FB6BD2" w:rsidP="00C51553">
      <w:pPr>
        <w:pStyle w:val="seznam-western"/>
        <w:spacing w:before="240" w:beforeAutospacing="0" w:after="120"/>
        <w:outlineLvl w:val="0"/>
        <w:rPr>
          <w:rFonts w:ascii="Calibri" w:hAnsi="Calibri"/>
          <w:sz w:val="22"/>
          <w:szCs w:val="22"/>
        </w:rPr>
      </w:pPr>
      <w:r w:rsidRPr="00856BFE">
        <w:rPr>
          <w:rFonts w:ascii="Calibri" w:hAnsi="Calibri"/>
          <w:sz w:val="22"/>
          <w:szCs w:val="22"/>
        </w:rPr>
        <w:t xml:space="preserve">Tento dodatek uzavírají smluvní strany za </w:t>
      </w:r>
      <w:r w:rsidR="000525CE">
        <w:rPr>
          <w:rFonts w:ascii="Calibri" w:hAnsi="Calibri"/>
          <w:sz w:val="22"/>
          <w:szCs w:val="22"/>
        </w:rPr>
        <w:t>účelem</w:t>
      </w:r>
      <w:r w:rsidR="0075302B">
        <w:rPr>
          <w:rFonts w:ascii="Calibri" w:hAnsi="Calibri"/>
          <w:sz w:val="22"/>
          <w:szCs w:val="22"/>
        </w:rPr>
        <w:t xml:space="preserve"> </w:t>
      </w:r>
      <w:r w:rsidR="00EC31AA">
        <w:rPr>
          <w:rFonts w:ascii="Calibri" w:hAnsi="Calibri"/>
          <w:sz w:val="22"/>
          <w:szCs w:val="22"/>
        </w:rPr>
        <w:t>rozšíření</w:t>
      </w:r>
      <w:r w:rsidR="0075302B">
        <w:rPr>
          <w:rFonts w:ascii="Calibri" w:hAnsi="Calibri"/>
          <w:sz w:val="22"/>
          <w:szCs w:val="22"/>
        </w:rPr>
        <w:t xml:space="preserve"> </w:t>
      </w:r>
      <w:r w:rsidR="007543F8">
        <w:rPr>
          <w:rFonts w:ascii="Calibri" w:hAnsi="Calibri"/>
          <w:sz w:val="22"/>
          <w:szCs w:val="22"/>
        </w:rPr>
        <w:t xml:space="preserve">celkového </w:t>
      </w:r>
      <w:r w:rsidR="0075302B">
        <w:rPr>
          <w:rFonts w:ascii="Calibri" w:hAnsi="Calibri"/>
          <w:sz w:val="22"/>
          <w:szCs w:val="22"/>
        </w:rPr>
        <w:t>počtu koncových pracovních stanic z</w:t>
      </w:r>
      <w:r w:rsidR="004F26B3">
        <w:rPr>
          <w:rFonts w:ascii="Calibri" w:hAnsi="Calibri"/>
          <w:sz w:val="22"/>
          <w:szCs w:val="22"/>
        </w:rPr>
        <w:t xml:space="preserve"> 90</w:t>
      </w:r>
      <w:r w:rsidR="0075302B">
        <w:rPr>
          <w:rFonts w:ascii="Calibri" w:hAnsi="Calibri"/>
          <w:sz w:val="22"/>
          <w:szCs w:val="22"/>
        </w:rPr>
        <w:t xml:space="preserve"> na</w:t>
      </w:r>
      <w:r w:rsidR="004F26B3">
        <w:rPr>
          <w:rFonts w:ascii="Calibri" w:hAnsi="Calibri"/>
          <w:sz w:val="22"/>
          <w:szCs w:val="22"/>
        </w:rPr>
        <w:t xml:space="preserve"> 1</w:t>
      </w:r>
      <w:r w:rsidR="00054A68">
        <w:rPr>
          <w:rFonts w:ascii="Calibri" w:hAnsi="Calibri"/>
          <w:sz w:val="22"/>
          <w:szCs w:val="22"/>
        </w:rPr>
        <w:t>20</w:t>
      </w:r>
      <w:r w:rsidR="004F26B3">
        <w:rPr>
          <w:rFonts w:ascii="Calibri" w:hAnsi="Calibri"/>
          <w:sz w:val="22"/>
          <w:szCs w:val="22"/>
        </w:rPr>
        <w:t xml:space="preserve"> </w:t>
      </w:r>
      <w:r w:rsidR="007C0A17">
        <w:rPr>
          <w:rFonts w:ascii="Calibri" w:hAnsi="Calibri"/>
          <w:sz w:val="22"/>
          <w:szCs w:val="22"/>
        </w:rPr>
        <w:t xml:space="preserve">a </w:t>
      </w:r>
      <w:r w:rsidR="0075302B">
        <w:rPr>
          <w:rFonts w:ascii="Calibri" w:hAnsi="Calibri"/>
          <w:sz w:val="22"/>
          <w:szCs w:val="22"/>
        </w:rPr>
        <w:t xml:space="preserve">dále za účelem změny výše </w:t>
      </w:r>
      <w:r w:rsidR="0075302B" w:rsidRPr="00856BFE">
        <w:rPr>
          <w:rFonts w:ascii="Calibri" w:hAnsi="Calibri"/>
          <w:sz w:val="22"/>
          <w:szCs w:val="22"/>
        </w:rPr>
        <w:t>odměny</w:t>
      </w:r>
      <w:r w:rsidR="0075302B">
        <w:rPr>
          <w:rFonts w:ascii="Calibri" w:hAnsi="Calibri"/>
          <w:sz w:val="22"/>
          <w:szCs w:val="22"/>
        </w:rPr>
        <w:t xml:space="preserve"> placené</w:t>
      </w:r>
      <w:r w:rsidR="0075302B" w:rsidRPr="00856BFE">
        <w:rPr>
          <w:rFonts w:ascii="Calibri" w:hAnsi="Calibri"/>
          <w:sz w:val="22"/>
          <w:szCs w:val="22"/>
        </w:rPr>
        <w:t xml:space="preserve"> nabyvatelem</w:t>
      </w:r>
      <w:r w:rsidR="0075302B">
        <w:rPr>
          <w:rFonts w:ascii="Calibri" w:hAnsi="Calibri"/>
          <w:sz w:val="22"/>
          <w:szCs w:val="22"/>
        </w:rPr>
        <w:t xml:space="preserve"> za poskytované služby</w:t>
      </w:r>
      <w:r w:rsidR="007C0A17">
        <w:rPr>
          <w:rFonts w:ascii="Calibri" w:hAnsi="Calibri"/>
          <w:sz w:val="22"/>
          <w:szCs w:val="22"/>
        </w:rPr>
        <w:t>.</w:t>
      </w:r>
    </w:p>
    <w:p w14:paraId="3B57C1EF" w14:textId="77777777" w:rsidR="00E950F2" w:rsidRDefault="00E950F2" w:rsidP="0075302B">
      <w:pPr>
        <w:pStyle w:val="seznam-western"/>
        <w:spacing w:after="120"/>
        <w:outlineLvl w:val="0"/>
        <w:rPr>
          <w:rFonts w:ascii="Calibri" w:hAnsi="Calibri"/>
          <w:sz w:val="22"/>
          <w:szCs w:val="22"/>
        </w:rPr>
      </w:pPr>
    </w:p>
    <w:p w14:paraId="30B7BE13" w14:textId="77777777" w:rsidR="00B22297" w:rsidRPr="001F4FF5" w:rsidRDefault="00B22297" w:rsidP="0021231C">
      <w:pPr>
        <w:pStyle w:val="seznam-western"/>
        <w:numPr>
          <w:ilvl w:val="0"/>
          <w:numId w:val="1"/>
        </w:numPr>
        <w:spacing w:before="240" w:beforeAutospacing="0" w:after="120"/>
        <w:ind w:left="567" w:hanging="567"/>
        <w:jc w:val="center"/>
        <w:outlineLvl w:val="0"/>
        <w:rPr>
          <w:rFonts w:ascii="Calibri" w:hAnsi="Calibri"/>
          <w:b/>
          <w:color w:val="000000"/>
          <w:sz w:val="28"/>
          <w:szCs w:val="28"/>
        </w:rPr>
      </w:pPr>
      <w:r w:rsidRPr="001F4FF5">
        <w:rPr>
          <w:rFonts w:ascii="Calibri" w:hAnsi="Calibri"/>
          <w:b/>
          <w:bCs/>
          <w:color w:val="000000"/>
          <w:sz w:val="28"/>
          <w:szCs w:val="28"/>
        </w:rPr>
        <w:t>Předmět dodatku</w:t>
      </w:r>
    </w:p>
    <w:p w14:paraId="1403A6FD" w14:textId="77777777" w:rsidR="00B22297" w:rsidRPr="00856BFE" w:rsidRDefault="00EC31AA" w:rsidP="00B22297">
      <w:pPr>
        <w:pStyle w:val="seznam-western"/>
        <w:numPr>
          <w:ilvl w:val="0"/>
          <w:numId w:val="2"/>
        </w:numPr>
        <w:spacing w:before="0" w:beforeAutospacing="0" w:after="120"/>
        <w:jc w:val="left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Článek</w:t>
      </w:r>
      <w:r w:rsidR="006212CE">
        <w:rPr>
          <w:rFonts w:ascii="Calibri" w:hAnsi="Calibri"/>
          <w:bCs/>
          <w:color w:val="000000"/>
          <w:sz w:val="22"/>
          <w:szCs w:val="22"/>
        </w:rPr>
        <w:t xml:space="preserve"> I.</w:t>
      </w:r>
      <w:r w:rsidR="005E42AD">
        <w:rPr>
          <w:rFonts w:ascii="Calibri" w:hAnsi="Calibri"/>
          <w:bCs/>
          <w:color w:val="000000"/>
          <w:sz w:val="22"/>
          <w:szCs w:val="22"/>
        </w:rPr>
        <w:t xml:space="preserve">, odst. 1 a </w:t>
      </w:r>
      <w:r w:rsidR="00F71CE6">
        <w:rPr>
          <w:rFonts w:ascii="Calibri" w:hAnsi="Calibri"/>
          <w:bCs/>
          <w:color w:val="000000"/>
          <w:sz w:val="22"/>
          <w:szCs w:val="22"/>
        </w:rPr>
        <w:t xml:space="preserve">část </w:t>
      </w:r>
      <w:r w:rsidR="005E42AD">
        <w:rPr>
          <w:rFonts w:ascii="Calibri" w:hAnsi="Calibri"/>
          <w:bCs/>
          <w:color w:val="000000"/>
          <w:sz w:val="22"/>
          <w:szCs w:val="22"/>
        </w:rPr>
        <w:t>čl. IV. odst. 3.</w:t>
      </w:r>
      <w:r w:rsidR="00B22297" w:rsidRPr="00856BFE">
        <w:rPr>
          <w:rFonts w:ascii="Calibri" w:hAnsi="Calibri"/>
          <w:bCs/>
          <w:color w:val="000000"/>
          <w:sz w:val="22"/>
          <w:szCs w:val="22"/>
        </w:rPr>
        <w:t xml:space="preserve"> smlouvy se</w:t>
      </w:r>
      <w:r>
        <w:rPr>
          <w:rFonts w:ascii="Calibri" w:hAnsi="Calibri"/>
          <w:bCs/>
          <w:color w:val="000000"/>
          <w:sz w:val="22"/>
          <w:szCs w:val="22"/>
        </w:rPr>
        <w:t xml:space="preserve"> mění tak, že stávající </w:t>
      </w:r>
      <w:r w:rsidR="00B22297" w:rsidRPr="00856BFE">
        <w:rPr>
          <w:rFonts w:ascii="Calibri" w:hAnsi="Calibri"/>
          <w:bCs/>
          <w:color w:val="000000"/>
          <w:sz w:val="22"/>
          <w:szCs w:val="22"/>
        </w:rPr>
        <w:t xml:space="preserve">ve znění: </w:t>
      </w:r>
    </w:p>
    <w:p w14:paraId="6B29E158" w14:textId="77777777" w:rsidR="006212CE" w:rsidRDefault="00B22297" w:rsidP="00C05D3F">
      <w:pPr>
        <w:pStyle w:val="seznam-western"/>
        <w:spacing w:before="0" w:beforeAutospacing="0" w:after="120"/>
        <w:ind w:left="284"/>
        <w:outlineLvl w:val="0"/>
        <w:rPr>
          <w:rFonts w:ascii="Calibri" w:hAnsi="Calibri"/>
          <w:i/>
          <w:sz w:val="22"/>
          <w:szCs w:val="22"/>
        </w:rPr>
      </w:pPr>
      <w:r w:rsidRPr="00856BFE">
        <w:rPr>
          <w:rFonts w:ascii="Calibri" w:hAnsi="Calibri"/>
          <w:sz w:val="22"/>
          <w:szCs w:val="22"/>
        </w:rPr>
        <w:t>„</w:t>
      </w:r>
      <w:r w:rsidR="006212CE">
        <w:rPr>
          <w:rFonts w:ascii="Calibri" w:hAnsi="Calibri"/>
          <w:i/>
          <w:sz w:val="22"/>
          <w:szCs w:val="22"/>
        </w:rPr>
        <w:t xml:space="preserve">“Předmětem plnění dle této Smlouvy je závazek zhotovitele provést práce a vytvořit dílo spočívající v průběžně aktualizované databázi právních informací ASPI v elektronické podobě, obsahující právní předpisy, literaturu, judikaturu, volitelné aplikace a podsystémy „Předpisy EU </w:t>
      </w:r>
      <w:r w:rsidR="006212CE">
        <w:rPr>
          <w:rFonts w:ascii="Calibri" w:hAnsi="Calibri"/>
          <w:i/>
          <w:sz w:val="22"/>
          <w:szCs w:val="22"/>
          <w:lang w:val="en-US"/>
        </w:rPr>
        <w:t>&amp;</w:t>
      </w:r>
      <w:r w:rsidR="006212CE">
        <w:rPr>
          <w:rFonts w:ascii="Calibri" w:hAnsi="Calibri"/>
          <w:i/>
          <w:sz w:val="22"/>
          <w:szCs w:val="22"/>
        </w:rPr>
        <w:t xml:space="preserve"> judikatura ESD“, „Usnesení vlády“, „</w:t>
      </w:r>
      <w:proofErr w:type="spellStart"/>
      <w:r w:rsidR="006212CE">
        <w:rPr>
          <w:rFonts w:ascii="Calibri" w:hAnsi="Calibri"/>
          <w:i/>
          <w:sz w:val="22"/>
          <w:szCs w:val="22"/>
        </w:rPr>
        <w:t>MuniASPI</w:t>
      </w:r>
      <w:proofErr w:type="spellEnd"/>
      <w:r w:rsidR="006212CE">
        <w:rPr>
          <w:rFonts w:ascii="Calibri" w:hAnsi="Calibri"/>
          <w:i/>
          <w:sz w:val="22"/>
          <w:szCs w:val="22"/>
        </w:rPr>
        <w:t>“ a „Veřejnoprávní smlouvy Obcí“, dále závazek dílo objednateli předat a převést na něj užívací práva k dílu. Číslo licence KP278.“</w:t>
      </w:r>
    </w:p>
    <w:p w14:paraId="40B6D7F7" w14:textId="77777777" w:rsidR="009250AD" w:rsidRDefault="009250AD" w:rsidP="00C05D3F">
      <w:pPr>
        <w:pStyle w:val="seznam-western"/>
        <w:spacing w:before="0" w:beforeAutospacing="0" w:after="120"/>
        <w:ind w:left="284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41880741" w14:textId="77777777" w:rsidR="005E42AD" w:rsidRPr="00C05D3F" w:rsidRDefault="005E42AD" w:rsidP="00C05D3F">
      <w:pPr>
        <w:pStyle w:val="seznam-western"/>
        <w:spacing w:before="0" w:beforeAutospacing="0" w:after="120"/>
        <w:ind w:left="284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 w:rsidRPr="00C05D3F">
        <w:rPr>
          <w:rFonts w:ascii="Calibri" w:hAnsi="Calibri"/>
          <w:i/>
          <w:sz w:val="22"/>
          <w:szCs w:val="22"/>
        </w:rPr>
        <w:t>Užívací práva, převedená zhotovitelem na objednatele v souladu s touto smlouvou, jsou omezena výhradně na objednatele s právem instalace databáze ASPI-serveru v jedné počítačové síti na jednom jediném počítači (server) a právem využití přístupových licencí v celkovém počtu 90 (slovy: devadesát), prostřednictvím ASPI-klientů na uživatelských počítačích této počítačové sítě. Na všech těchto počítačích musí být nastaveno správné reálné datum a čas</w:t>
      </w:r>
      <w:r>
        <w:rPr>
          <w:rFonts w:ascii="Calibri" w:hAnsi="Calibri"/>
          <w:i/>
          <w:sz w:val="22"/>
          <w:szCs w:val="22"/>
        </w:rPr>
        <w:t>.</w:t>
      </w:r>
      <w:r w:rsidRPr="00C05D3F">
        <w:rPr>
          <w:rFonts w:ascii="Calibri" w:hAnsi="Calibri"/>
          <w:i/>
          <w:sz w:val="22"/>
          <w:szCs w:val="22"/>
        </w:rPr>
        <w:t>“</w:t>
      </w:r>
    </w:p>
    <w:p w14:paraId="1A8B315E" w14:textId="77777777" w:rsidR="00C90BCC" w:rsidRDefault="006212CE" w:rsidP="00C05D3F">
      <w:pPr>
        <w:pStyle w:val="seznam-western"/>
        <w:spacing w:before="0" w:beforeAutospacing="0" w:after="120"/>
        <w:ind w:left="720" w:hanging="436"/>
        <w:outlineLvl w:val="0"/>
        <w:rPr>
          <w:rFonts w:ascii="Calibri" w:hAnsi="Calibri"/>
          <w:i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</w:rPr>
        <w:t>s</w:t>
      </w:r>
      <w:r w:rsidR="00C90BCC">
        <w:rPr>
          <w:rFonts w:ascii="Calibri" w:hAnsi="Calibri"/>
          <w:i/>
          <w:sz w:val="22"/>
          <w:szCs w:val="22"/>
        </w:rPr>
        <w:t>e ruší</w:t>
      </w:r>
      <w:proofErr w:type="gramEnd"/>
      <w:r w:rsidR="00C90BCC">
        <w:rPr>
          <w:rFonts w:ascii="Calibri" w:hAnsi="Calibri"/>
          <w:i/>
          <w:sz w:val="22"/>
          <w:szCs w:val="22"/>
        </w:rPr>
        <w:t xml:space="preserve"> a nahrazuje se novým </w:t>
      </w:r>
      <w:r w:rsidR="00F71CE6">
        <w:rPr>
          <w:rFonts w:ascii="Calibri" w:hAnsi="Calibri"/>
          <w:i/>
          <w:sz w:val="22"/>
          <w:szCs w:val="22"/>
        </w:rPr>
        <w:t xml:space="preserve">společným </w:t>
      </w:r>
      <w:r w:rsidR="00C90BCC">
        <w:rPr>
          <w:rFonts w:ascii="Calibri" w:hAnsi="Calibri"/>
          <w:i/>
          <w:sz w:val="22"/>
          <w:szCs w:val="22"/>
        </w:rPr>
        <w:t>odstavcem ve znění:</w:t>
      </w:r>
    </w:p>
    <w:p w14:paraId="68F19413" w14:textId="77777777" w:rsidR="005E42AD" w:rsidRPr="00C05D3F" w:rsidRDefault="005E42AD" w:rsidP="00175780">
      <w:pPr>
        <w:pStyle w:val="Default"/>
        <w:ind w:left="284"/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>
        <w:rPr>
          <w:rFonts w:asciiTheme="minorHAnsi" w:hAnsiTheme="minorHAnsi"/>
          <w:bCs/>
          <w:sz w:val="19"/>
          <w:szCs w:val="19"/>
        </w:rPr>
        <w:t>„</w:t>
      </w:r>
      <w:r w:rsidRPr="00C05D3F">
        <w:rPr>
          <w:rFonts w:asciiTheme="minorHAnsi" w:hAnsiTheme="minorHAnsi"/>
          <w:bCs/>
          <w:i/>
          <w:sz w:val="22"/>
          <w:szCs w:val="22"/>
        </w:rPr>
        <w:t>Předmětem plnění této smlouvy je poskytnutí užívacích práv k právnímu informačnímu systému ASPI v</w:t>
      </w:r>
      <w:r w:rsidR="0061362B" w:rsidRPr="00C05D3F">
        <w:rPr>
          <w:rFonts w:asciiTheme="minorHAnsi" w:hAnsiTheme="minorHAnsi"/>
          <w:bCs/>
          <w:i/>
          <w:sz w:val="22"/>
          <w:szCs w:val="22"/>
        </w:rPr>
        <w:t> níže uvedeném rozsahu.</w:t>
      </w:r>
      <w:r w:rsidRPr="00C05D3F">
        <w:rPr>
          <w:rFonts w:asciiTheme="minorHAnsi" w:hAnsiTheme="minorHAnsi"/>
          <w:bCs/>
          <w:i/>
          <w:sz w:val="22"/>
          <w:szCs w:val="22"/>
        </w:rPr>
        <w:t xml:space="preserve"> Plněním předmětu smlouvy se rozumí zřízení přístupu k  poskytovaným informacím a jeho pravidelnou aktualizací </w:t>
      </w:r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>a to formou ročního předplatného služby ASPI (dále jen „Systém ASPI“).</w:t>
      </w:r>
    </w:p>
    <w:p w14:paraId="16CA8E32" w14:textId="77777777" w:rsidR="005E42AD" w:rsidRPr="00C05D3F" w:rsidRDefault="005E42AD" w:rsidP="00175780">
      <w:pPr>
        <w:pStyle w:val="Default"/>
        <w:ind w:left="284"/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</w:p>
    <w:p w14:paraId="73BDE037" w14:textId="77777777" w:rsidR="005E42AD" w:rsidRPr="00C05D3F" w:rsidRDefault="005E42AD" w:rsidP="00175780">
      <w:pPr>
        <w:pStyle w:val="Default"/>
        <w:ind w:left="284"/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>Obsahem níže uvedených licencí je:</w:t>
      </w:r>
    </w:p>
    <w:p w14:paraId="564F85D4" w14:textId="77777777" w:rsidR="005E42AD" w:rsidRPr="00C05D3F" w:rsidRDefault="005E42AD" w:rsidP="00C05D3F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>ASPI základ</w:t>
      </w:r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 xml:space="preserve"> – obsahující platformu ASPI, předpisy ČR a EU, Judikaturu ČR a SDEU, základní literaturu (důvodové zprávy, sborníky, věstníky, bulletiny, vybraná periodika)</w:t>
      </w:r>
    </w:p>
    <w:p w14:paraId="43CE0CED" w14:textId="77777777" w:rsidR="005E42AD" w:rsidRPr="00C05D3F" w:rsidRDefault="00F32C3C" w:rsidP="00175780">
      <w:pPr>
        <w:pStyle w:val="Default"/>
        <w:ind w:left="284"/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     </w:t>
      </w:r>
      <w:r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 </w:t>
      </w:r>
      <w:r w:rsidR="0061362B"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>Au</w:t>
      </w:r>
      <w:r w:rsidR="005E42AD"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>torský obsah ASPI</w:t>
      </w:r>
      <w:r w:rsidR="005E42AD" w:rsidRPr="00C05D3F">
        <w:rPr>
          <w:rFonts w:asciiTheme="minorHAnsi" w:hAnsiTheme="minorHAnsi"/>
          <w:bCs/>
          <w:i/>
          <w:color w:val="auto"/>
          <w:sz w:val="22"/>
          <w:szCs w:val="22"/>
        </w:rPr>
        <w:t>, přehled titulů licence je blíže specifikován v Příloze č. 1</w:t>
      </w:r>
    </w:p>
    <w:p w14:paraId="52D2C40D" w14:textId="77777777" w:rsidR="005E42AD" w:rsidRPr="00C05D3F" w:rsidRDefault="00F32C3C" w:rsidP="00175780">
      <w:pPr>
        <w:pStyle w:val="Default"/>
        <w:ind w:left="284"/>
        <w:jc w:val="both"/>
        <w:rPr>
          <w:rFonts w:asciiTheme="minorHAnsi" w:hAnsiTheme="minorHAnsi"/>
          <w:bCs/>
          <w:i/>
          <w:sz w:val="22"/>
          <w:szCs w:val="22"/>
        </w:rPr>
      </w:pPr>
      <w:r w:rsidRPr="00C05D3F">
        <w:rPr>
          <w:rFonts w:asciiTheme="minorHAnsi" w:hAnsiTheme="minorHAnsi"/>
          <w:b/>
          <w:bCs/>
          <w:i/>
          <w:sz w:val="22"/>
          <w:szCs w:val="22"/>
        </w:rPr>
        <w:t xml:space="preserve">        </w:t>
      </w:r>
      <w:r w:rsidR="005E42AD" w:rsidRPr="00C05D3F">
        <w:rPr>
          <w:rFonts w:asciiTheme="minorHAnsi" w:hAnsiTheme="minorHAnsi"/>
          <w:b/>
          <w:bCs/>
          <w:i/>
          <w:sz w:val="22"/>
          <w:szCs w:val="22"/>
        </w:rPr>
        <w:t>Typ licence:</w:t>
      </w:r>
      <w:r w:rsidR="005E42AD" w:rsidRPr="00C05D3F">
        <w:rPr>
          <w:rFonts w:asciiTheme="minorHAnsi" w:hAnsiTheme="minorHAnsi"/>
          <w:bCs/>
          <w:i/>
          <w:sz w:val="22"/>
          <w:szCs w:val="22"/>
        </w:rPr>
        <w:t xml:space="preserve">  K/S lokální, počet uživatelů:   </w:t>
      </w:r>
      <w:r w:rsidR="0061362B" w:rsidRPr="00C05D3F">
        <w:rPr>
          <w:rFonts w:asciiTheme="minorHAnsi" w:hAnsiTheme="minorHAnsi"/>
          <w:bCs/>
          <w:i/>
          <w:sz w:val="22"/>
          <w:szCs w:val="22"/>
        </w:rPr>
        <w:t>9</w:t>
      </w:r>
      <w:r w:rsidR="005E42AD" w:rsidRPr="00C05D3F">
        <w:rPr>
          <w:rFonts w:asciiTheme="minorHAnsi" w:hAnsiTheme="minorHAnsi"/>
          <w:bCs/>
          <w:i/>
          <w:sz w:val="22"/>
          <w:szCs w:val="22"/>
        </w:rPr>
        <w:t>0</w:t>
      </w:r>
      <w:r w:rsidR="005E42AD" w:rsidRPr="00C05D3F">
        <w:rPr>
          <w:rFonts w:asciiTheme="minorHAnsi" w:hAnsiTheme="minorHAnsi"/>
          <w:bCs/>
          <w:i/>
          <w:sz w:val="22"/>
          <w:szCs w:val="22"/>
        </w:rPr>
        <w:tab/>
      </w:r>
    </w:p>
    <w:p w14:paraId="7AB80C66" w14:textId="77777777" w:rsidR="0061362B" w:rsidRDefault="0061362B" w:rsidP="00997058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>ASPI základ</w:t>
      </w:r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 xml:space="preserve"> – obsahující platformu ASPI, předpisy ČR a EU, Judikaturu ČR a SDEU, základní literaturu (důvodové zprávy, sborníky, věstníky, bulletiny, vybraná periodika)</w:t>
      </w:r>
      <w:r w:rsidR="00107A85">
        <w:rPr>
          <w:rFonts w:asciiTheme="minorHAnsi" w:hAnsiTheme="minorHAnsi"/>
          <w:bCs/>
          <w:i/>
          <w:color w:val="auto"/>
          <w:sz w:val="22"/>
          <w:szCs w:val="22"/>
        </w:rPr>
        <w:t>, přehled titu</w:t>
      </w:r>
      <w:r w:rsidR="008E23C0">
        <w:rPr>
          <w:rFonts w:asciiTheme="minorHAnsi" w:hAnsiTheme="minorHAnsi"/>
          <w:bCs/>
          <w:i/>
          <w:color w:val="auto"/>
          <w:sz w:val="22"/>
          <w:szCs w:val="22"/>
        </w:rPr>
        <w:t>lů je součástí Přílohy č. 1</w:t>
      </w:r>
    </w:p>
    <w:p w14:paraId="01C0918E" w14:textId="253A063D" w:rsidR="0061362B" w:rsidRPr="00C05D3F" w:rsidRDefault="0061362B" w:rsidP="00C05D3F">
      <w:pPr>
        <w:pStyle w:val="Default"/>
        <w:ind w:left="709"/>
        <w:jc w:val="both"/>
        <w:rPr>
          <w:rFonts w:asciiTheme="minorHAnsi" w:hAnsiTheme="minorHAnsi"/>
          <w:bCs/>
          <w:i/>
          <w:sz w:val="22"/>
          <w:szCs w:val="22"/>
        </w:rPr>
      </w:pPr>
      <w:r w:rsidRPr="00C05D3F">
        <w:rPr>
          <w:rFonts w:asciiTheme="minorHAnsi" w:hAnsiTheme="minorHAnsi"/>
          <w:b/>
          <w:bCs/>
          <w:i/>
          <w:sz w:val="22"/>
          <w:szCs w:val="22"/>
        </w:rPr>
        <w:t>Typ licence:</w:t>
      </w:r>
      <w:r w:rsidRPr="00C05D3F">
        <w:rPr>
          <w:rFonts w:asciiTheme="minorHAnsi" w:hAnsiTheme="minorHAnsi"/>
          <w:bCs/>
          <w:i/>
          <w:sz w:val="22"/>
          <w:szCs w:val="22"/>
        </w:rPr>
        <w:t xml:space="preserve"> K/S se vzdáleným přístupem k</w:t>
      </w:r>
      <w:r w:rsidR="005337DF">
        <w:rPr>
          <w:rFonts w:asciiTheme="minorHAnsi" w:hAnsiTheme="minorHAnsi"/>
          <w:bCs/>
          <w:i/>
          <w:sz w:val="22"/>
          <w:szCs w:val="22"/>
        </w:rPr>
        <w:t> </w:t>
      </w:r>
      <w:proofErr w:type="gramStart"/>
      <w:r w:rsidR="005337DF" w:rsidRPr="00C05D3F">
        <w:rPr>
          <w:rFonts w:asciiTheme="minorHAnsi" w:hAnsiTheme="minorHAnsi"/>
          <w:bCs/>
          <w:i/>
          <w:sz w:val="22"/>
          <w:szCs w:val="22"/>
        </w:rPr>
        <w:t>ASPI-</w:t>
      </w:r>
      <w:r w:rsidRPr="00C05D3F">
        <w:rPr>
          <w:rFonts w:asciiTheme="minorHAnsi" w:hAnsiTheme="minorHAnsi"/>
          <w:bCs/>
          <w:i/>
          <w:sz w:val="22"/>
          <w:szCs w:val="22"/>
        </w:rPr>
        <w:t>serverům(</w:t>
      </w:r>
      <w:proofErr w:type="spellStart"/>
      <w:r w:rsidRPr="00C05D3F">
        <w:rPr>
          <w:rFonts w:asciiTheme="minorHAnsi" w:hAnsiTheme="minorHAnsi"/>
          <w:bCs/>
          <w:i/>
          <w:sz w:val="22"/>
          <w:szCs w:val="22"/>
        </w:rPr>
        <w:t>Cloud</w:t>
      </w:r>
      <w:proofErr w:type="spellEnd"/>
      <w:proofErr w:type="gramEnd"/>
      <w:r w:rsidRPr="00C05D3F">
        <w:rPr>
          <w:rFonts w:asciiTheme="minorHAnsi" w:hAnsiTheme="minorHAnsi"/>
          <w:bCs/>
          <w:i/>
          <w:sz w:val="22"/>
          <w:szCs w:val="22"/>
        </w:rPr>
        <w:t xml:space="preserve">), počet uživatelů:   </w:t>
      </w:r>
      <w:r w:rsidR="00F44511">
        <w:rPr>
          <w:rFonts w:asciiTheme="minorHAnsi" w:hAnsiTheme="minorHAnsi"/>
          <w:bCs/>
          <w:i/>
          <w:sz w:val="22"/>
          <w:szCs w:val="22"/>
        </w:rPr>
        <w:t>30</w:t>
      </w:r>
    </w:p>
    <w:p w14:paraId="539CA8A9" w14:textId="77777777" w:rsidR="005E42AD" w:rsidRPr="00C05D3F" w:rsidRDefault="005E42AD" w:rsidP="005E42AD">
      <w:pPr>
        <w:pStyle w:val="Default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3BFF3E74" w14:textId="1EED01AD" w:rsidR="005E42AD" w:rsidRPr="00C05D3F" w:rsidRDefault="005337DF" w:rsidP="005E42AD">
      <w:pPr>
        <w:pStyle w:val="Default"/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              </w:t>
      </w:r>
      <w:r w:rsidR="0061362B"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>Celkový počet uživatelů: 1</w:t>
      </w:r>
      <w:r w:rsidR="00F44511">
        <w:rPr>
          <w:rFonts w:asciiTheme="minorHAnsi" w:hAnsiTheme="minorHAnsi"/>
          <w:b/>
          <w:bCs/>
          <w:i/>
          <w:color w:val="auto"/>
          <w:sz w:val="22"/>
          <w:szCs w:val="22"/>
        </w:rPr>
        <w:t>20</w:t>
      </w:r>
      <w:r w:rsidR="005E42AD"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           </w:t>
      </w:r>
    </w:p>
    <w:p w14:paraId="4A0BB790" w14:textId="77777777" w:rsidR="005E42AD" w:rsidRDefault="005337DF" w:rsidP="005E42AD">
      <w:pPr>
        <w:pStyle w:val="Default"/>
        <w:ind w:left="709" w:hanging="709"/>
        <w:jc w:val="both"/>
        <w:rPr>
          <w:rFonts w:asciiTheme="minorHAnsi" w:hAnsiTheme="minorHAnsi"/>
          <w:b/>
          <w:bCs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               </w:t>
      </w:r>
      <w:r w:rsidR="005E42AD"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 xml:space="preserve">Celkový počet licencí ASPI: </w:t>
      </w:r>
      <w:r w:rsidR="0061362B"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>2</w:t>
      </w:r>
    </w:p>
    <w:p w14:paraId="3E8DFDD5" w14:textId="77777777" w:rsidR="009250AD" w:rsidRDefault="009250AD" w:rsidP="005E42AD">
      <w:pPr>
        <w:pStyle w:val="Default"/>
        <w:ind w:left="709" w:hanging="709"/>
        <w:jc w:val="both"/>
        <w:rPr>
          <w:rFonts w:asciiTheme="minorHAnsi" w:hAnsiTheme="minorHAnsi"/>
          <w:b/>
          <w:bCs/>
          <w:i/>
          <w:color w:val="auto"/>
          <w:sz w:val="22"/>
          <w:szCs w:val="22"/>
        </w:rPr>
      </w:pPr>
    </w:p>
    <w:p w14:paraId="684FAB25" w14:textId="77777777" w:rsidR="00F71CE6" w:rsidRPr="00856BFE" w:rsidRDefault="00F71CE6" w:rsidP="00F71CE6">
      <w:pPr>
        <w:pStyle w:val="seznam-western"/>
        <w:numPr>
          <w:ilvl w:val="0"/>
          <w:numId w:val="2"/>
        </w:numPr>
        <w:spacing w:before="0" w:beforeAutospacing="0" w:after="120"/>
        <w:jc w:val="left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Část článek II., odst. 2 </w:t>
      </w:r>
      <w:r w:rsidRPr="00856BFE">
        <w:rPr>
          <w:rFonts w:ascii="Calibri" w:hAnsi="Calibri"/>
          <w:bCs/>
          <w:color w:val="000000"/>
          <w:sz w:val="22"/>
          <w:szCs w:val="22"/>
        </w:rPr>
        <w:t>smlouvy se</w:t>
      </w:r>
      <w:r>
        <w:rPr>
          <w:rFonts w:ascii="Calibri" w:hAnsi="Calibri"/>
          <w:bCs/>
          <w:color w:val="000000"/>
          <w:sz w:val="22"/>
          <w:szCs w:val="22"/>
        </w:rPr>
        <w:t xml:space="preserve"> mění tak, že stávající </w:t>
      </w:r>
      <w:r w:rsidRPr="00856BFE">
        <w:rPr>
          <w:rFonts w:ascii="Calibri" w:hAnsi="Calibri"/>
          <w:bCs/>
          <w:color w:val="000000"/>
          <w:sz w:val="22"/>
          <w:szCs w:val="22"/>
        </w:rPr>
        <w:t xml:space="preserve">ve </w:t>
      </w:r>
      <w:proofErr w:type="gramStart"/>
      <w:r w:rsidRPr="00856BFE">
        <w:rPr>
          <w:rFonts w:ascii="Calibri" w:hAnsi="Calibri"/>
          <w:bCs/>
          <w:color w:val="000000"/>
          <w:sz w:val="22"/>
          <w:szCs w:val="22"/>
        </w:rPr>
        <w:t>znění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856BFE">
        <w:rPr>
          <w:rFonts w:ascii="Calibri" w:hAnsi="Calibri"/>
          <w:bCs/>
          <w:color w:val="000000"/>
          <w:sz w:val="22"/>
          <w:szCs w:val="22"/>
        </w:rPr>
        <w:t>:</w:t>
      </w:r>
      <w:proofErr w:type="gramEnd"/>
      <w:r w:rsidRPr="00856BFE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53659151" w14:textId="77777777" w:rsidR="00F71CE6" w:rsidRDefault="00F71CE6" w:rsidP="00C05D3F">
      <w:pPr>
        <w:pStyle w:val="Default"/>
        <w:ind w:left="360"/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/>
          <w:color w:val="auto"/>
          <w:sz w:val="22"/>
          <w:szCs w:val="22"/>
        </w:rPr>
        <w:t>„</w:t>
      </w:r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>Průběžná aktualizace databáze bude prováděna jako roční dílčí plnění v cyklu pravidelně jedenkrát za jeden kalendářní měsíc.“</w:t>
      </w:r>
    </w:p>
    <w:p w14:paraId="7A84B952" w14:textId="77777777" w:rsidR="00F71CE6" w:rsidRDefault="00F71CE6" w:rsidP="00F71CE6">
      <w:pPr>
        <w:pStyle w:val="seznam-western"/>
        <w:spacing w:before="0" w:beforeAutospacing="0" w:after="120"/>
        <w:ind w:left="720" w:hanging="436"/>
        <w:outlineLvl w:val="0"/>
        <w:rPr>
          <w:rFonts w:ascii="Calibri" w:hAnsi="Calibri"/>
          <w:i/>
          <w:sz w:val="22"/>
          <w:szCs w:val="22"/>
        </w:rPr>
      </w:pPr>
    </w:p>
    <w:p w14:paraId="50C68A61" w14:textId="77777777" w:rsidR="00F71CE6" w:rsidRDefault="00F71CE6" w:rsidP="00F71CE6">
      <w:pPr>
        <w:pStyle w:val="seznam-western"/>
        <w:spacing w:before="0" w:beforeAutospacing="0" w:after="120"/>
        <w:ind w:left="720" w:hanging="436"/>
        <w:outlineLvl w:val="0"/>
        <w:rPr>
          <w:rFonts w:ascii="Calibri" w:hAnsi="Calibri"/>
          <w:i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</w:rPr>
        <w:t>se ruší</w:t>
      </w:r>
      <w:proofErr w:type="gramEnd"/>
      <w:r>
        <w:rPr>
          <w:rFonts w:ascii="Calibri" w:hAnsi="Calibri"/>
          <w:i/>
          <w:sz w:val="22"/>
          <w:szCs w:val="22"/>
        </w:rPr>
        <w:t xml:space="preserve"> a nahrazuje se novým odstavcem ve znění:</w:t>
      </w:r>
    </w:p>
    <w:p w14:paraId="6BB7945C" w14:textId="77777777" w:rsidR="005E42AD" w:rsidRPr="00C05D3F" w:rsidRDefault="005E42AD" w:rsidP="005E42AD">
      <w:pPr>
        <w:pStyle w:val="Default"/>
        <w:jc w:val="both"/>
        <w:rPr>
          <w:rFonts w:asciiTheme="minorHAnsi" w:hAnsiTheme="minorHAnsi"/>
          <w:bCs/>
          <w:color w:val="auto"/>
          <w:sz w:val="19"/>
          <w:szCs w:val="19"/>
        </w:rPr>
      </w:pPr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 xml:space="preserve">  </w:t>
      </w:r>
      <w:r w:rsidRPr="00C05D3F">
        <w:rPr>
          <w:rFonts w:asciiTheme="minorHAnsi" w:hAnsiTheme="minorHAnsi"/>
          <w:bCs/>
          <w:color w:val="auto"/>
          <w:sz w:val="19"/>
          <w:szCs w:val="19"/>
        </w:rPr>
        <w:t xml:space="preserve">           </w:t>
      </w:r>
    </w:p>
    <w:p w14:paraId="7CC3878D" w14:textId="77777777" w:rsidR="005E42AD" w:rsidRPr="00C05D3F" w:rsidRDefault="00F71CE6" w:rsidP="005E42AD">
      <w:pPr>
        <w:pStyle w:val="Default"/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>„</w:t>
      </w:r>
      <w:r w:rsidR="005E42AD" w:rsidRPr="00C05D3F">
        <w:rPr>
          <w:rFonts w:asciiTheme="minorHAnsi" w:hAnsiTheme="minorHAnsi"/>
          <w:b/>
          <w:bCs/>
          <w:i/>
          <w:color w:val="auto"/>
          <w:sz w:val="22"/>
          <w:szCs w:val="22"/>
        </w:rPr>
        <w:t>Způsob aktualizace obsahu systému ASPI</w:t>
      </w:r>
      <w:r w:rsidR="005E42AD" w:rsidRPr="00C05D3F">
        <w:rPr>
          <w:rFonts w:asciiTheme="minorHAnsi" w:hAnsiTheme="minorHAnsi"/>
          <w:bCs/>
          <w:i/>
          <w:color w:val="auto"/>
          <w:sz w:val="22"/>
          <w:szCs w:val="22"/>
        </w:rPr>
        <w:t>:</w:t>
      </w:r>
    </w:p>
    <w:p w14:paraId="74342F6B" w14:textId="77777777" w:rsidR="00F71CE6" w:rsidRPr="00C05D3F" w:rsidRDefault="00F71CE6" w:rsidP="00C05D3F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>Licence K/S lokální  -  průběžné aktualizace přes internet (RA)</w:t>
      </w:r>
    </w:p>
    <w:p w14:paraId="110C1E2D" w14:textId="77777777" w:rsidR="00F71CE6" w:rsidRPr="00C05D3F" w:rsidRDefault="00F71CE6" w:rsidP="00F71CE6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bCs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 xml:space="preserve">Licence </w:t>
      </w:r>
      <w:proofErr w:type="spellStart"/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>Cloud</w:t>
      </w:r>
      <w:proofErr w:type="spellEnd"/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 xml:space="preserve"> </w:t>
      </w:r>
      <w:r w:rsidR="009B17C8" w:rsidRPr="00C05D3F">
        <w:rPr>
          <w:rFonts w:asciiTheme="minorHAnsi" w:hAnsiTheme="minorHAnsi"/>
          <w:bCs/>
          <w:i/>
          <w:color w:val="auto"/>
          <w:sz w:val="22"/>
          <w:szCs w:val="22"/>
        </w:rPr>
        <w:t>–</w:t>
      </w:r>
      <w:r w:rsidRPr="00C05D3F">
        <w:rPr>
          <w:rFonts w:asciiTheme="minorHAnsi" w:hAnsiTheme="minorHAnsi"/>
          <w:bCs/>
          <w:i/>
          <w:color w:val="auto"/>
          <w:sz w:val="22"/>
          <w:szCs w:val="22"/>
        </w:rPr>
        <w:t xml:space="preserve"> </w:t>
      </w:r>
      <w:r w:rsidR="009B17C8" w:rsidRPr="00C05D3F">
        <w:rPr>
          <w:rFonts w:asciiTheme="minorHAnsi" w:hAnsiTheme="minorHAnsi"/>
          <w:bCs/>
          <w:i/>
          <w:color w:val="auto"/>
          <w:sz w:val="22"/>
          <w:szCs w:val="22"/>
        </w:rPr>
        <w:t>přístup ke vzdáleným datovým ASPI-serverům</w:t>
      </w:r>
    </w:p>
    <w:p w14:paraId="18EE5308" w14:textId="77777777" w:rsidR="00F71CE6" w:rsidRDefault="00F71CE6" w:rsidP="00F71CE6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 w:rsidRPr="00C05D3F">
        <w:rPr>
          <w:rFonts w:asciiTheme="minorHAnsi" w:hAnsiTheme="minorHAnsi"/>
          <w:i/>
          <w:sz w:val="22"/>
          <w:szCs w:val="22"/>
        </w:rPr>
        <w:t xml:space="preserve">Aktualizací právního informačního systému ASPI se rozumí doplnění změn, dodatků a úprav informačního obsahu zakoupených jednotlivých titulů, skupin titulů, aplikací nebo jejích částí a to především po novelizaci příslušných předpisů nebo nových vydání předplacených titulů, pokud jsou předmětem aktualizace. Průběžnou aktualizací lze také doplňovat nebo upravovat funkce platformy ASPI. Datové </w:t>
      </w:r>
      <w:proofErr w:type="spellStart"/>
      <w:r w:rsidRPr="00C05D3F">
        <w:rPr>
          <w:rFonts w:asciiTheme="minorHAnsi" w:hAnsiTheme="minorHAnsi"/>
          <w:i/>
          <w:sz w:val="22"/>
          <w:szCs w:val="22"/>
        </w:rPr>
        <w:t>ASPIservery</w:t>
      </w:r>
      <w:proofErr w:type="spellEnd"/>
      <w:r w:rsidRPr="00C05D3F">
        <w:rPr>
          <w:rFonts w:asciiTheme="minorHAnsi" w:hAnsiTheme="minorHAnsi"/>
          <w:i/>
          <w:sz w:val="22"/>
          <w:szCs w:val="22"/>
        </w:rPr>
        <w:t xml:space="preserve"> jsou aktualizovány denně. Internetová aktualizace probíhá 2-3krát týdně. „</w:t>
      </w:r>
    </w:p>
    <w:p w14:paraId="09F4139B" w14:textId="77777777" w:rsidR="005F1158" w:rsidRDefault="005F1158" w:rsidP="00F71CE6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</w:p>
    <w:p w14:paraId="73A0CF89" w14:textId="77777777" w:rsidR="005F1158" w:rsidRPr="00C05D3F" w:rsidRDefault="005F1158" w:rsidP="00F71CE6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</w:p>
    <w:p w14:paraId="7B46BDBE" w14:textId="77777777" w:rsidR="00856BFE" w:rsidRPr="00487195" w:rsidRDefault="00856BFE" w:rsidP="00856BFE">
      <w:pPr>
        <w:pStyle w:val="seznam-western"/>
        <w:numPr>
          <w:ilvl w:val="0"/>
          <w:numId w:val="2"/>
        </w:numPr>
        <w:spacing w:before="0" w:beforeAutospacing="0" w:after="120"/>
        <w:outlineLvl w:val="0"/>
        <w:rPr>
          <w:rFonts w:ascii="Calibri" w:hAnsi="Calibri"/>
          <w:sz w:val="22"/>
          <w:szCs w:val="22"/>
        </w:rPr>
      </w:pPr>
      <w:r w:rsidRPr="00487195">
        <w:rPr>
          <w:rFonts w:ascii="Calibri" w:hAnsi="Calibri"/>
          <w:sz w:val="22"/>
          <w:szCs w:val="22"/>
        </w:rPr>
        <w:t>Článek</w:t>
      </w:r>
      <w:r w:rsidR="004F26B3">
        <w:rPr>
          <w:rFonts w:ascii="Calibri" w:hAnsi="Calibri"/>
          <w:sz w:val="22"/>
          <w:szCs w:val="22"/>
        </w:rPr>
        <w:t xml:space="preserve"> III. </w:t>
      </w:r>
      <w:r w:rsidRPr="00487195">
        <w:rPr>
          <w:rFonts w:ascii="Calibri" w:hAnsi="Calibri"/>
          <w:sz w:val="22"/>
          <w:szCs w:val="22"/>
        </w:rPr>
        <w:t xml:space="preserve">smlouvy se mění tak, že stávající odst. </w:t>
      </w:r>
      <w:proofErr w:type="gramStart"/>
      <w:r w:rsidR="004F26B3">
        <w:rPr>
          <w:rFonts w:ascii="Calibri" w:hAnsi="Calibri"/>
          <w:sz w:val="22"/>
          <w:szCs w:val="22"/>
        </w:rPr>
        <w:t>1.2.</w:t>
      </w:r>
      <w:r w:rsidRPr="00487195">
        <w:rPr>
          <w:rFonts w:ascii="Calibri" w:hAnsi="Calibri"/>
          <w:sz w:val="22"/>
          <w:szCs w:val="22"/>
        </w:rPr>
        <w:t xml:space="preserve"> </w:t>
      </w:r>
      <w:r w:rsidR="00633A07">
        <w:rPr>
          <w:rFonts w:ascii="Calibri" w:hAnsi="Calibri"/>
          <w:sz w:val="22"/>
          <w:szCs w:val="22"/>
        </w:rPr>
        <w:t>ve</w:t>
      </w:r>
      <w:proofErr w:type="gramEnd"/>
      <w:r w:rsidR="00633A07">
        <w:rPr>
          <w:rFonts w:ascii="Calibri" w:hAnsi="Calibri"/>
          <w:sz w:val="22"/>
          <w:szCs w:val="22"/>
        </w:rPr>
        <w:t xml:space="preserve"> znění</w:t>
      </w:r>
      <w:r w:rsidR="002A6AC9" w:rsidRPr="00487195">
        <w:rPr>
          <w:rFonts w:ascii="Calibri" w:hAnsi="Calibri"/>
          <w:sz w:val="22"/>
          <w:szCs w:val="22"/>
        </w:rPr>
        <w:t>:</w:t>
      </w:r>
    </w:p>
    <w:p w14:paraId="63EA0F58" w14:textId="77777777" w:rsidR="004F26B3" w:rsidRPr="00C05D3F" w:rsidRDefault="00633A07" w:rsidP="00487195">
      <w:pPr>
        <w:pStyle w:val="Default"/>
        <w:ind w:left="360"/>
        <w:jc w:val="both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„</w:t>
      </w:r>
      <w:r w:rsidRPr="00C05D3F">
        <w:rPr>
          <w:rFonts w:asciiTheme="minorHAnsi" w:hAnsiTheme="minorHAnsi"/>
          <w:i/>
          <w:color w:val="auto"/>
          <w:sz w:val="22"/>
          <w:szCs w:val="22"/>
        </w:rPr>
        <w:t xml:space="preserve">Cena </w:t>
      </w:r>
      <w:r w:rsidR="004F26B3" w:rsidRPr="00C05D3F">
        <w:rPr>
          <w:rFonts w:asciiTheme="minorHAnsi" w:hAnsiTheme="minorHAnsi"/>
          <w:i/>
          <w:color w:val="auto"/>
          <w:sz w:val="22"/>
          <w:szCs w:val="22"/>
        </w:rPr>
        <w:t>předmětu plnění byla v souladu s platnými právními předpisy účastníky dohodnuta a bez DPH činí:</w:t>
      </w:r>
    </w:p>
    <w:p w14:paraId="255B7D69" w14:textId="77777777" w:rsidR="004721C9" w:rsidRPr="00C05D3F" w:rsidRDefault="004721C9" w:rsidP="00487195">
      <w:pPr>
        <w:pStyle w:val="Default"/>
        <w:ind w:left="360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41E6E1D6" w14:textId="77777777" w:rsidR="004721C9" w:rsidRPr="00C05D3F" w:rsidRDefault="004F26B3" w:rsidP="00487195">
      <w:pPr>
        <w:pStyle w:val="Default"/>
        <w:ind w:left="360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i/>
          <w:color w:val="auto"/>
          <w:sz w:val="22"/>
          <w:szCs w:val="22"/>
        </w:rPr>
        <w:t>113.657,- Kč (DPH činí 21</w:t>
      </w:r>
      <w:r w:rsidR="003A0CC7" w:rsidRPr="00C05D3F">
        <w:rPr>
          <w:rFonts w:asciiTheme="minorHAnsi" w:hAnsiTheme="minorHAnsi"/>
          <w:i/>
          <w:color w:val="auto"/>
          <w:sz w:val="22"/>
          <w:szCs w:val="22"/>
        </w:rPr>
        <w:t>.595,- Kč, cena s DPH 135.252,- Kč) za kalendářní rok (celoroční paušální poplatek) za roční dílčí plnění předmětu plnění ve formě aktualizací databáze ve sjednaném cyklu.</w:t>
      </w:r>
      <w:r w:rsidR="009250AD">
        <w:rPr>
          <w:rFonts w:asciiTheme="minorHAnsi" w:hAnsiTheme="minorHAnsi"/>
          <w:i/>
          <w:color w:val="auto"/>
          <w:sz w:val="22"/>
          <w:szCs w:val="22"/>
        </w:rPr>
        <w:t>“</w:t>
      </w:r>
    </w:p>
    <w:p w14:paraId="5172AD87" w14:textId="77777777" w:rsidR="009250AD" w:rsidRDefault="009250AD" w:rsidP="00487195">
      <w:pPr>
        <w:pStyle w:val="Default"/>
        <w:ind w:left="360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3777E544" w14:textId="77777777" w:rsidR="003A0CC7" w:rsidRPr="00C05D3F" w:rsidRDefault="003A0CC7" w:rsidP="00487195">
      <w:pPr>
        <w:pStyle w:val="Default"/>
        <w:ind w:left="360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i/>
          <w:color w:val="auto"/>
          <w:sz w:val="22"/>
          <w:szCs w:val="22"/>
        </w:rPr>
        <w:t>Cena dle čl. III, odst. 3,</w:t>
      </w:r>
      <w:r w:rsidR="00D10FE6" w:rsidRPr="00C05D3F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Pr="00C05D3F">
        <w:rPr>
          <w:rFonts w:asciiTheme="minorHAnsi" w:hAnsiTheme="minorHAnsi"/>
          <w:i/>
          <w:color w:val="auto"/>
          <w:sz w:val="22"/>
          <w:szCs w:val="22"/>
        </w:rPr>
        <w:t xml:space="preserve">se zohledněním inflace činí pro rok 2015 </w:t>
      </w:r>
      <w:r w:rsidR="00D10FE6" w:rsidRPr="00C05D3F">
        <w:rPr>
          <w:rFonts w:asciiTheme="minorHAnsi" w:hAnsiTheme="minorHAnsi"/>
          <w:i/>
          <w:color w:val="auto"/>
          <w:sz w:val="22"/>
          <w:szCs w:val="22"/>
        </w:rPr>
        <w:t>celoroční paušální poplatek</w:t>
      </w:r>
      <w:r w:rsidRPr="00C05D3F">
        <w:rPr>
          <w:rFonts w:asciiTheme="minorHAnsi" w:hAnsiTheme="minorHAnsi"/>
          <w:i/>
          <w:color w:val="auto"/>
          <w:sz w:val="22"/>
          <w:szCs w:val="22"/>
        </w:rPr>
        <w:t xml:space="preserve"> 129.713,- Kč (DPH činí</w:t>
      </w:r>
      <w:r w:rsidR="00D10FE6" w:rsidRPr="00C05D3F">
        <w:rPr>
          <w:rFonts w:asciiTheme="minorHAnsi" w:hAnsiTheme="minorHAnsi"/>
          <w:i/>
          <w:color w:val="auto"/>
          <w:sz w:val="22"/>
          <w:szCs w:val="22"/>
        </w:rPr>
        <w:t xml:space="preserve"> 27.240,- Kč</w:t>
      </w:r>
      <w:r w:rsidRPr="00C05D3F">
        <w:rPr>
          <w:rFonts w:asciiTheme="minorHAnsi" w:hAnsiTheme="minorHAnsi"/>
          <w:i/>
          <w:color w:val="auto"/>
          <w:sz w:val="22"/>
          <w:szCs w:val="22"/>
        </w:rPr>
        <w:t>, cena s DPH 156.953,- Kč)</w:t>
      </w:r>
    </w:p>
    <w:p w14:paraId="0DA337A6" w14:textId="77777777" w:rsidR="004721C9" w:rsidRPr="00C05D3F" w:rsidRDefault="004721C9" w:rsidP="00487195">
      <w:pPr>
        <w:pStyle w:val="Default"/>
        <w:ind w:left="360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499A9BE5" w14:textId="77777777" w:rsidR="004721C9" w:rsidRPr="00C05D3F" w:rsidRDefault="004721C9" w:rsidP="00487195">
      <w:pPr>
        <w:pStyle w:val="Default"/>
        <w:ind w:left="360"/>
        <w:jc w:val="both"/>
        <w:rPr>
          <w:rFonts w:asciiTheme="minorHAnsi" w:hAnsiTheme="minorHAnsi"/>
          <w:i/>
          <w:color w:val="auto"/>
          <w:sz w:val="22"/>
          <w:szCs w:val="22"/>
        </w:rPr>
      </w:pPr>
      <w:proofErr w:type="gramStart"/>
      <w:r w:rsidRPr="00C05D3F">
        <w:rPr>
          <w:rFonts w:asciiTheme="minorHAnsi" w:hAnsiTheme="minorHAnsi"/>
          <w:i/>
          <w:color w:val="auto"/>
          <w:sz w:val="22"/>
          <w:szCs w:val="22"/>
        </w:rPr>
        <w:t>se ruší</w:t>
      </w:r>
      <w:proofErr w:type="gramEnd"/>
      <w:r w:rsidRPr="00C05D3F">
        <w:rPr>
          <w:rFonts w:asciiTheme="minorHAnsi" w:hAnsiTheme="minorHAnsi"/>
          <w:i/>
          <w:color w:val="auto"/>
          <w:sz w:val="22"/>
          <w:szCs w:val="22"/>
        </w:rPr>
        <w:t xml:space="preserve"> a nahrazuje se</w:t>
      </w:r>
      <w:r w:rsidR="0017565C" w:rsidRPr="00C05D3F">
        <w:rPr>
          <w:rFonts w:asciiTheme="minorHAnsi" w:hAnsiTheme="minorHAnsi"/>
          <w:i/>
          <w:color w:val="auto"/>
          <w:sz w:val="22"/>
          <w:szCs w:val="22"/>
        </w:rPr>
        <w:t xml:space="preserve"> novým</w:t>
      </w:r>
      <w:r w:rsidR="00D10FE6" w:rsidRPr="00C05D3F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="0017565C" w:rsidRPr="00C05D3F">
        <w:rPr>
          <w:rFonts w:asciiTheme="minorHAnsi" w:hAnsiTheme="minorHAnsi"/>
          <w:i/>
          <w:color w:val="auto"/>
          <w:sz w:val="22"/>
          <w:szCs w:val="22"/>
        </w:rPr>
        <w:t>odstavc</w:t>
      </w:r>
      <w:r w:rsidR="00D10FE6" w:rsidRPr="00C05D3F">
        <w:rPr>
          <w:rFonts w:asciiTheme="minorHAnsi" w:hAnsiTheme="minorHAnsi"/>
          <w:i/>
          <w:color w:val="auto"/>
          <w:sz w:val="22"/>
          <w:szCs w:val="22"/>
        </w:rPr>
        <w:t>em</w:t>
      </w:r>
      <w:r w:rsidR="0017565C" w:rsidRPr="00C05D3F">
        <w:rPr>
          <w:rFonts w:asciiTheme="minorHAnsi" w:hAnsiTheme="minorHAnsi"/>
          <w:i/>
          <w:color w:val="auto"/>
          <w:sz w:val="22"/>
          <w:szCs w:val="22"/>
        </w:rPr>
        <w:t xml:space="preserve"> ve </w:t>
      </w:r>
      <w:r w:rsidRPr="00C05D3F">
        <w:rPr>
          <w:rFonts w:asciiTheme="minorHAnsi" w:hAnsiTheme="minorHAnsi"/>
          <w:i/>
          <w:color w:val="auto"/>
          <w:sz w:val="22"/>
          <w:szCs w:val="22"/>
        </w:rPr>
        <w:t>znění</w:t>
      </w:r>
      <w:r w:rsidR="0017565C" w:rsidRPr="00C05D3F">
        <w:rPr>
          <w:rFonts w:asciiTheme="minorHAnsi" w:hAnsiTheme="minorHAnsi"/>
          <w:i/>
          <w:color w:val="auto"/>
          <w:sz w:val="22"/>
          <w:szCs w:val="22"/>
        </w:rPr>
        <w:t>:</w:t>
      </w:r>
    </w:p>
    <w:p w14:paraId="4B5B69B2" w14:textId="77777777" w:rsidR="0017565C" w:rsidRPr="00C05D3F" w:rsidRDefault="0017565C" w:rsidP="00487195">
      <w:pPr>
        <w:pStyle w:val="Default"/>
        <w:ind w:left="360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0CF2B2C6" w14:textId="754A422A" w:rsidR="009A1D0D" w:rsidRPr="00C05D3F" w:rsidRDefault="0017565C" w:rsidP="006212CE">
      <w:pPr>
        <w:pStyle w:val="Default"/>
        <w:spacing w:line="276" w:lineRule="auto"/>
        <w:ind w:left="426"/>
        <w:jc w:val="both"/>
        <w:rPr>
          <w:rFonts w:asciiTheme="minorHAnsi" w:hAnsiTheme="minorHAnsi"/>
          <w:bCs/>
          <w:i/>
          <w:sz w:val="22"/>
          <w:szCs w:val="22"/>
        </w:rPr>
      </w:pPr>
      <w:r w:rsidRPr="00C05D3F">
        <w:rPr>
          <w:rFonts w:asciiTheme="minorHAnsi" w:hAnsiTheme="minorHAnsi"/>
          <w:i/>
          <w:color w:val="auto"/>
          <w:sz w:val="22"/>
          <w:szCs w:val="22"/>
        </w:rPr>
        <w:t>„</w:t>
      </w:r>
      <w:r w:rsidR="009A1D0D" w:rsidRPr="00C05D3F">
        <w:rPr>
          <w:rFonts w:asciiTheme="minorHAnsi" w:hAnsiTheme="minorHAnsi"/>
          <w:i/>
          <w:color w:val="auto"/>
          <w:sz w:val="22"/>
          <w:szCs w:val="22"/>
        </w:rPr>
        <w:t xml:space="preserve">Cena </w:t>
      </w:r>
      <w:r w:rsidR="00D10FE6" w:rsidRPr="00C05D3F">
        <w:rPr>
          <w:rFonts w:asciiTheme="minorHAnsi" w:hAnsiTheme="minorHAnsi"/>
          <w:i/>
          <w:color w:val="auto"/>
          <w:sz w:val="22"/>
          <w:szCs w:val="22"/>
        </w:rPr>
        <w:t xml:space="preserve">předmětu plnění byla </w:t>
      </w:r>
      <w:r w:rsidR="007B1D97">
        <w:rPr>
          <w:rFonts w:asciiTheme="minorHAnsi" w:hAnsiTheme="minorHAnsi"/>
          <w:i/>
          <w:color w:val="auto"/>
          <w:sz w:val="22"/>
          <w:szCs w:val="22"/>
        </w:rPr>
        <w:t>účastníky dohodnuta</w:t>
      </w:r>
      <w:r w:rsidR="00D10FE6" w:rsidRPr="00C05D3F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="009A1D0D" w:rsidRPr="00C05D3F">
        <w:rPr>
          <w:rFonts w:asciiTheme="minorHAnsi" w:hAnsiTheme="minorHAnsi"/>
          <w:i/>
          <w:color w:val="auto"/>
          <w:sz w:val="22"/>
          <w:szCs w:val="22"/>
        </w:rPr>
        <w:t>za každý následující rok zahrnující aktualizace</w:t>
      </w:r>
      <w:r w:rsidR="002A6AC9" w:rsidRPr="00C05D3F">
        <w:rPr>
          <w:rFonts w:asciiTheme="minorHAnsi" w:hAnsiTheme="minorHAnsi"/>
          <w:i/>
          <w:color w:val="auto"/>
          <w:sz w:val="22"/>
          <w:szCs w:val="22"/>
        </w:rPr>
        <w:t xml:space="preserve"> autorského obsahu služby systému ASPI ve výši</w:t>
      </w:r>
      <w:r w:rsidR="003D1DB9" w:rsidRPr="00C05D3F">
        <w:rPr>
          <w:rFonts w:asciiTheme="minorHAnsi" w:hAnsiTheme="minorHAnsi"/>
          <w:i/>
          <w:color w:val="auto"/>
          <w:sz w:val="22"/>
          <w:szCs w:val="22"/>
        </w:rPr>
        <w:t>:</w:t>
      </w:r>
    </w:p>
    <w:p w14:paraId="55C118FD" w14:textId="77777777" w:rsidR="009A1D0D" w:rsidRPr="00C05D3F" w:rsidRDefault="009A1D0D" w:rsidP="00D10FE6">
      <w:pPr>
        <w:pStyle w:val="Default"/>
        <w:spacing w:line="276" w:lineRule="auto"/>
        <w:ind w:left="426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6BE8918D" w14:textId="39FD024D" w:rsidR="00D10FE6" w:rsidRPr="00C05D3F" w:rsidRDefault="00D10FE6" w:rsidP="00D10FE6">
      <w:pPr>
        <w:pStyle w:val="Default"/>
        <w:ind w:left="360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C05D3F">
        <w:rPr>
          <w:rFonts w:asciiTheme="minorHAnsi" w:hAnsiTheme="minorHAnsi"/>
          <w:i/>
          <w:color w:val="auto"/>
          <w:sz w:val="22"/>
          <w:szCs w:val="22"/>
        </w:rPr>
        <w:t>15</w:t>
      </w:r>
      <w:r w:rsidR="00F44511">
        <w:rPr>
          <w:rFonts w:asciiTheme="minorHAnsi" w:hAnsiTheme="minorHAnsi"/>
          <w:i/>
          <w:color w:val="auto"/>
          <w:sz w:val="22"/>
          <w:szCs w:val="22"/>
        </w:rPr>
        <w:t>5.637</w:t>
      </w:r>
      <w:r w:rsidRPr="00C05D3F">
        <w:rPr>
          <w:rFonts w:asciiTheme="minorHAnsi" w:hAnsiTheme="minorHAnsi"/>
          <w:i/>
          <w:color w:val="auto"/>
          <w:sz w:val="22"/>
          <w:szCs w:val="22"/>
        </w:rPr>
        <w:t>,- Kč (DPH činí 3</w:t>
      </w:r>
      <w:r w:rsidR="00F44511">
        <w:rPr>
          <w:rFonts w:asciiTheme="minorHAnsi" w:hAnsiTheme="minorHAnsi"/>
          <w:i/>
          <w:color w:val="auto"/>
          <w:sz w:val="22"/>
          <w:szCs w:val="22"/>
        </w:rPr>
        <w:t>2.684</w:t>
      </w:r>
      <w:r w:rsidRPr="00C05D3F">
        <w:rPr>
          <w:rFonts w:asciiTheme="minorHAnsi" w:hAnsiTheme="minorHAnsi"/>
          <w:i/>
          <w:color w:val="auto"/>
          <w:sz w:val="22"/>
          <w:szCs w:val="22"/>
        </w:rPr>
        <w:t>,- Kč, cena s DPH 1</w:t>
      </w:r>
      <w:r w:rsidR="00F44511">
        <w:rPr>
          <w:rFonts w:asciiTheme="minorHAnsi" w:hAnsiTheme="minorHAnsi"/>
          <w:i/>
          <w:color w:val="auto"/>
          <w:sz w:val="22"/>
          <w:szCs w:val="22"/>
        </w:rPr>
        <w:t>88.321</w:t>
      </w:r>
      <w:r w:rsidRPr="00C05D3F">
        <w:rPr>
          <w:rFonts w:asciiTheme="minorHAnsi" w:hAnsiTheme="minorHAnsi"/>
          <w:i/>
          <w:color w:val="auto"/>
          <w:sz w:val="22"/>
          <w:szCs w:val="22"/>
        </w:rPr>
        <w:t>,-Kč) za kalendářní rok (celoroční paušální poplatek) za roční dílčí plnění předmětu plnění ve formě aktualizací databáze ve sjednaném cyklu.</w:t>
      </w:r>
      <w:r w:rsidR="005F1158">
        <w:rPr>
          <w:rFonts w:asciiTheme="minorHAnsi" w:hAnsiTheme="minorHAnsi"/>
          <w:i/>
          <w:color w:val="auto"/>
          <w:sz w:val="22"/>
          <w:szCs w:val="22"/>
        </w:rPr>
        <w:t>“</w:t>
      </w:r>
    </w:p>
    <w:p w14:paraId="2104D4E2" w14:textId="77777777" w:rsidR="009B1AA6" w:rsidRDefault="009B1AA6" w:rsidP="00C05D3F">
      <w:pPr>
        <w:spacing w:after="0"/>
        <w:ind w:left="851"/>
        <w:jc w:val="both"/>
      </w:pPr>
    </w:p>
    <w:p w14:paraId="5167B13A" w14:textId="77777777" w:rsidR="009B1AA6" w:rsidRPr="00311724" w:rsidRDefault="009B1AA6" w:rsidP="00311724">
      <w:pPr>
        <w:pStyle w:val="seznam-western"/>
        <w:numPr>
          <w:ilvl w:val="0"/>
          <w:numId w:val="2"/>
        </w:numPr>
        <w:spacing w:before="0" w:beforeAutospacing="0" w:after="1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Článek III. smlouvy se doplňuje o nový odstavec 4. ve znění: </w:t>
      </w:r>
    </w:p>
    <w:p w14:paraId="1206D0B8" w14:textId="77777777" w:rsidR="009B1AA6" w:rsidRDefault="009B1AA6" w:rsidP="00C05D3F">
      <w:pPr>
        <w:spacing w:after="0"/>
        <w:ind w:left="851"/>
        <w:jc w:val="both"/>
      </w:pPr>
    </w:p>
    <w:p w14:paraId="2A81E3BC" w14:textId="77777777" w:rsidR="00BB70FA" w:rsidRPr="00DC5E5D" w:rsidRDefault="00BB70FA" w:rsidP="00C05D3F">
      <w:pPr>
        <w:spacing w:after="0"/>
        <w:ind w:left="851"/>
        <w:jc w:val="both"/>
      </w:pPr>
      <w:r w:rsidRPr="00DC5E5D">
        <w:t xml:space="preserve">Součástí každé faktury </w:t>
      </w:r>
      <w:r>
        <w:t xml:space="preserve">musí být prohlášení Poskytovatele </w:t>
      </w:r>
      <w:r w:rsidRPr="00DC5E5D">
        <w:t>o tom, že:</w:t>
      </w:r>
    </w:p>
    <w:p w14:paraId="540A6250" w14:textId="77777777" w:rsidR="00BB70FA" w:rsidRPr="00774FCD" w:rsidRDefault="00BB70FA" w:rsidP="00BB70FA">
      <w:pPr>
        <w:numPr>
          <w:ilvl w:val="0"/>
          <w:numId w:val="28"/>
        </w:numPr>
        <w:spacing w:after="0" w:line="240" w:lineRule="auto"/>
        <w:ind w:left="993" w:hanging="284"/>
        <w:jc w:val="both"/>
      </w:pPr>
      <w:r w:rsidRPr="00774FCD">
        <w:t>nemá v úmyslu nezaplatit daň z přidané hodnoty u zdanitelného plnění podle této smlouvy (dále jen „daň“),</w:t>
      </w:r>
    </w:p>
    <w:p w14:paraId="2D6A67B0" w14:textId="77777777" w:rsidR="00BB70FA" w:rsidRPr="00774FCD" w:rsidRDefault="00BB70FA" w:rsidP="00BB70FA">
      <w:pPr>
        <w:numPr>
          <w:ilvl w:val="0"/>
          <w:numId w:val="28"/>
        </w:numPr>
        <w:spacing w:after="0" w:line="240" w:lineRule="auto"/>
        <w:ind w:left="993" w:hanging="284"/>
        <w:jc w:val="both"/>
      </w:pPr>
      <w:proofErr w:type="gramStart"/>
      <w:r w:rsidRPr="00774FCD">
        <w:t>mu</w:t>
      </w:r>
      <w:proofErr w:type="gramEnd"/>
      <w:r w:rsidRPr="00774FCD">
        <w:t xml:space="preserve"> nejsou známy skutečnosti, nasvědčující tomu, že se dostane do postavení, kdy nemůže daň zaplatit a ani se ke dni podpisu této smlouvy v takovém postavení nenachází,</w:t>
      </w:r>
    </w:p>
    <w:p w14:paraId="66188F7F" w14:textId="77777777" w:rsidR="00BB70FA" w:rsidRDefault="00BB70FA" w:rsidP="00BB70FA">
      <w:pPr>
        <w:numPr>
          <w:ilvl w:val="0"/>
          <w:numId w:val="28"/>
        </w:numPr>
        <w:spacing w:after="0" w:line="240" w:lineRule="auto"/>
        <w:ind w:left="993" w:hanging="284"/>
        <w:jc w:val="both"/>
      </w:pPr>
      <w:r w:rsidRPr="00774FCD">
        <w:t>nezkrátí daň nebo nevyláká daňovou výhodu,</w:t>
      </w:r>
    </w:p>
    <w:p w14:paraId="5745DCB1" w14:textId="77777777" w:rsidR="00BB70FA" w:rsidRPr="00A821AB" w:rsidRDefault="00BB70FA" w:rsidP="00BB70FA">
      <w:pPr>
        <w:numPr>
          <w:ilvl w:val="0"/>
          <w:numId w:val="28"/>
        </w:numPr>
        <w:spacing w:after="0" w:line="240" w:lineRule="auto"/>
        <w:ind w:left="993" w:hanging="284"/>
        <w:jc w:val="both"/>
      </w:pPr>
      <w:r w:rsidRPr="00A821AB">
        <w:rPr>
          <w:szCs w:val="20"/>
        </w:rPr>
        <w:t>úplata za plnění dle smlouvy není odchylná od obvyklé ceny,</w:t>
      </w:r>
    </w:p>
    <w:p w14:paraId="2E305F2C" w14:textId="77777777" w:rsidR="00BB70FA" w:rsidRPr="00A821AB" w:rsidRDefault="00BB70FA" w:rsidP="00BB70FA">
      <w:pPr>
        <w:numPr>
          <w:ilvl w:val="0"/>
          <w:numId w:val="28"/>
        </w:numPr>
        <w:spacing w:after="0" w:line="240" w:lineRule="auto"/>
        <w:ind w:left="993" w:hanging="284"/>
        <w:jc w:val="both"/>
      </w:pPr>
      <w:r w:rsidRPr="00A821AB">
        <w:rPr>
          <w:szCs w:val="20"/>
        </w:rPr>
        <w:t>úplata za plnění dle smlouvy nebude poskytnuta zcela nebo zčásti bezhotovostním převodem na účet vedený poskytovatelem platebních služeb mimo tuzemsko,</w:t>
      </w:r>
    </w:p>
    <w:p w14:paraId="10BFF1E8" w14:textId="77777777" w:rsidR="00BB70FA" w:rsidRPr="00774FCD" w:rsidRDefault="00BB70FA" w:rsidP="00BB70FA">
      <w:pPr>
        <w:numPr>
          <w:ilvl w:val="0"/>
          <w:numId w:val="28"/>
        </w:numPr>
        <w:spacing w:after="0" w:line="240" w:lineRule="auto"/>
        <w:ind w:left="993" w:hanging="284"/>
        <w:jc w:val="both"/>
      </w:pPr>
      <w:r w:rsidRPr="00774FCD">
        <w:t>nebude nespolehlivým plátcem,</w:t>
      </w:r>
    </w:p>
    <w:p w14:paraId="2EAFF95F" w14:textId="77777777" w:rsidR="00BB70FA" w:rsidRPr="00774FCD" w:rsidRDefault="00BB70FA" w:rsidP="00BB70FA">
      <w:pPr>
        <w:numPr>
          <w:ilvl w:val="0"/>
          <w:numId w:val="28"/>
        </w:numPr>
        <w:spacing w:after="0" w:line="240" w:lineRule="auto"/>
        <w:ind w:left="993" w:hanging="284"/>
        <w:jc w:val="both"/>
      </w:pPr>
      <w:r w:rsidRPr="00774FCD">
        <w:t>bude mít u správce daně registrován bankovní účet používaný pro ekonomickou činnost,</w:t>
      </w:r>
    </w:p>
    <w:p w14:paraId="2FFE6BCF" w14:textId="77777777" w:rsidR="00BB70FA" w:rsidRPr="00A821AB" w:rsidRDefault="00BB70FA" w:rsidP="00BB70FA">
      <w:pPr>
        <w:numPr>
          <w:ilvl w:val="0"/>
          <w:numId w:val="28"/>
        </w:numPr>
        <w:spacing w:after="0" w:line="240" w:lineRule="auto"/>
        <w:ind w:left="993" w:hanging="284"/>
        <w:jc w:val="both"/>
      </w:pPr>
      <w:r w:rsidRPr="00A821AB">
        <w:rPr>
          <w:szCs w:val="20"/>
        </w:rPr>
        <w:t>souhlasí s tím, že pokud ke dni uskutečnění zdanitelného plnění nebo k okamžiku poskytnutí úplaty na plnění, bude o prodávajícím zveřejněna správcem daně sku</w:t>
      </w:r>
      <w:r>
        <w:rPr>
          <w:szCs w:val="20"/>
        </w:rPr>
        <w:t>tečnost, že poskytovatel</w:t>
      </w:r>
      <w:r w:rsidRPr="00A821AB">
        <w:rPr>
          <w:szCs w:val="20"/>
        </w:rPr>
        <w:t xml:space="preserve"> je nespolehlivým plátcem, uhradí Zlínský kraj daň z přidané hodnoty z přijatého zdanitelného plnění příslušnému správci daně,</w:t>
      </w:r>
    </w:p>
    <w:p w14:paraId="4E7AA3D0" w14:textId="77777777" w:rsidR="00BB70FA" w:rsidRPr="00774FCD" w:rsidRDefault="00BB70FA" w:rsidP="00BB70FA">
      <w:pPr>
        <w:numPr>
          <w:ilvl w:val="0"/>
          <w:numId w:val="28"/>
        </w:numPr>
        <w:spacing w:after="0" w:line="240" w:lineRule="auto"/>
        <w:ind w:left="993" w:hanging="284"/>
        <w:jc w:val="both"/>
      </w:pPr>
      <w:r w:rsidRPr="00A821AB">
        <w:rPr>
          <w:szCs w:val="20"/>
        </w:rPr>
        <w:t xml:space="preserve">souhlasí s tím, že pokud ke dni uskutečnění zdanitelného plnění nebo k okamžiku poskytnutí úplaty na plnění bude zjištěna nesrovnalost v registraci bankovního účtu </w:t>
      </w:r>
      <w:r>
        <w:rPr>
          <w:szCs w:val="20"/>
        </w:rPr>
        <w:t>poskytovatele</w:t>
      </w:r>
      <w:r w:rsidRPr="00A821AB">
        <w:rPr>
          <w:szCs w:val="20"/>
        </w:rPr>
        <w:t xml:space="preserve"> určeného pro ekonomickou činnost správcem daně, uhradí Zlínský kraj daň z přidané hodnoty z přijatého zdanitelného plnění příslušnému správci daně.</w:t>
      </w:r>
      <w:r w:rsidRPr="00774FCD">
        <w:t>“</w:t>
      </w:r>
    </w:p>
    <w:p w14:paraId="51EB4491" w14:textId="77777777" w:rsidR="00BB70FA" w:rsidRPr="00C51553" w:rsidRDefault="00BB70FA" w:rsidP="00C51553">
      <w:pPr>
        <w:pStyle w:val="Default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9B25EFE" w14:textId="77777777" w:rsidR="0021231C" w:rsidRPr="00124BAB" w:rsidRDefault="0021231C" w:rsidP="00C05D3F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24BAB">
        <w:rPr>
          <w:b/>
          <w:sz w:val="28"/>
          <w:szCs w:val="28"/>
        </w:rPr>
        <w:t>Závěrečná ustanovení</w:t>
      </w:r>
    </w:p>
    <w:p w14:paraId="5AF31AD3" w14:textId="77777777" w:rsidR="0021231C" w:rsidRPr="0021231C" w:rsidRDefault="0021231C" w:rsidP="0021231C">
      <w:pPr>
        <w:numPr>
          <w:ilvl w:val="0"/>
          <w:numId w:val="7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 w:rsidRPr="0021231C">
        <w:rPr>
          <w:rFonts w:eastAsia="Times New Roman"/>
          <w:szCs w:val="24"/>
          <w:lang w:eastAsia="cs-CZ"/>
        </w:rPr>
        <w:t xml:space="preserve">Ostatní ujednání smlouvy ze dne </w:t>
      </w:r>
      <w:proofErr w:type="gramStart"/>
      <w:r w:rsidR="000525CE">
        <w:rPr>
          <w:rFonts w:eastAsia="Times New Roman"/>
          <w:szCs w:val="24"/>
          <w:lang w:eastAsia="cs-CZ"/>
        </w:rPr>
        <w:t>14</w:t>
      </w:r>
      <w:r w:rsidRPr="0021231C">
        <w:rPr>
          <w:rFonts w:eastAsia="Times New Roman"/>
          <w:szCs w:val="24"/>
          <w:lang w:eastAsia="cs-CZ"/>
        </w:rPr>
        <w:t>.</w:t>
      </w:r>
      <w:r w:rsidR="000525CE">
        <w:rPr>
          <w:rFonts w:eastAsia="Times New Roman"/>
          <w:szCs w:val="24"/>
          <w:lang w:eastAsia="cs-CZ"/>
        </w:rPr>
        <w:t>07</w:t>
      </w:r>
      <w:r w:rsidRPr="0021231C">
        <w:rPr>
          <w:rFonts w:eastAsia="Times New Roman"/>
          <w:szCs w:val="24"/>
          <w:lang w:eastAsia="cs-CZ"/>
        </w:rPr>
        <w:t>.20</w:t>
      </w:r>
      <w:r w:rsidR="000525CE">
        <w:rPr>
          <w:rFonts w:eastAsia="Times New Roman"/>
          <w:szCs w:val="24"/>
          <w:lang w:eastAsia="cs-CZ"/>
        </w:rPr>
        <w:t>08</w:t>
      </w:r>
      <w:proofErr w:type="gramEnd"/>
      <w:r w:rsidRPr="0021231C">
        <w:rPr>
          <w:rFonts w:eastAsia="Times New Roman"/>
          <w:szCs w:val="24"/>
          <w:lang w:eastAsia="cs-CZ"/>
        </w:rPr>
        <w:t xml:space="preserve"> se nemění.</w:t>
      </w:r>
    </w:p>
    <w:p w14:paraId="3B5907B7" w14:textId="77777777" w:rsidR="0021231C" w:rsidRPr="0021231C" w:rsidRDefault="0021231C" w:rsidP="0021231C">
      <w:pPr>
        <w:numPr>
          <w:ilvl w:val="0"/>
          <w:numId w:val="7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 w:rsidRPr="0021231C">
        <w:rPr>
          <w:rFonts w:eastAsia="Times New Roman"/>
          <w:szCs w:val="24"/>
          <w:lang w:eastAsia="cs-CZ"/>
        </w:rPr>
        <w:t xml:space="preserve">Dodatek č. 1 ke smlouvě je vyhotoven ve </w:t>
      </w:r>
      <w:r w:rsidR="000525CE">
        <w:rPr>
          <w:rFonts w:eastAsia="Times New Roman"/>
          <w:szCs w:val="24"/>
          <w:lang w:eastAsia="cs-CZ"/>
        </w:rPr>
        <w:t>třech</w:t>
      </w:r>
      <w:r w:rsidR="000525CE" w:rsidRPr="0021231C">
        <w:rPr>
          <w:rFonts w:eastAsia="Times New Roman"/>
          <w:szCs w:val="24"/>
          <w:lang w:eastAsia="cs-CZ"/>
        </w:rPr>
        <w:t xml:space="preserve"> </w:t>
      </w:r>
      <w:r w:rsidRPr="0021231C">
        <w:rPr>
          <w:rFonts w:eastAsia="Times New Roman"/>
          <w:szCs w:val="24"/>
          <w:lang w:eastAsia="cs-CZ"/>
        </w:rPr>
        <w:t xml:space="preserve">stejnopisech, z nichž každý má platnost originálu. </w:t>
      </w:r>
      <w:r w:rsidR="000525CE">
        <w:rPr>
          <w:rFonts w:eastAsia="Times New Roman"/>
          <w:szCs w:val="24"/>
          <w:lang w:eastAsia="cs-CZ"/>
        </w:rPr>
        <w:t xml:space="preserve">Dvě </w:t>
      </w:r>
      <w:r w:rsidRPr="0021231C">
        <w:rPr>
          <w:rFonts w:eastAsia="Times New Roman"/>
          <w:szCs w:val="24"/>
          <w:lang w:eastAsia="cs-CZ"/>
        </w:rPr>
        <w:t>vyhotovení obdrží nabyvatel, jedno vyhotovení obdrží poskytovatel.</w:t>
      </w:r>
    </w:p>
    <w:p w14:paraId="6189C302" w14:textId="77777777" w:rsidR="0021231C" w:rsidRPr="0021231C" w:rsidRDefault="0021231C" w:rsidP="0021231C">
      <w:pPr>
        <w:numPr>
          <w:ilvl w:val="0"/>
          <w:numId w:val="7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 w:rsidRPr="0021231C">
        <w:rPr>
          <w:rFonts w:eastAsia="Times New Roman"/>
          <w:szCs w:val="24"/>
          <w:lang w:eastAsia="cs-CZ"/>
        </w:rPr>
        <w:lastRenderedPageBreak/>
        <w:t>Dodatek č. 1 ke smlouvě nabývá platnosti a účinnosti dnem podpisu oběma smluvními stranami. V případě, že k podpisu nedojde v jeden den, je rozhodující podpis té strany, která Dodatek č. 1 ke smlouvě podepsala později.</w:t>
      </w:r>
    </w:p>
    <w:p w14:paraId="7D0B0129" w14:textId="77777777" w:rsidR="0021231C" w:rsidRPr="0021231C" w:rsidRDefault="0021231C" w:rsidP="0021231C">
      <w:pPr>
        <w:numPr>
          <w:ilvl w:val="0"/>
          <w:numId w:val="7"/>
        </w:numPr>
        <w:spacing w:after="120" w:line="240" w:lineRule="auto"/>
        <w:jc w:val="both"/>
        <w:rPr>
          <w:rFonts w:eastAsia="Times New Roman"/>
          <w:szCs w:val="24"/>
          <w:lang w:eastAsia="cs-CZ"/>
        </w:rPr>
      </w:pPr>
      <w:r w:rsidRPr="0021231C">
        <w:rPr>
          <w:rFonts w:eastAsia="Times New Roman"/>
          <w:szCs w:val="24"/>
          <w:lang w:eastAsia="cs-CZ"/>
        </w:rPr>
        <w:t>Smluvní strany po přečtení tohoto dodatku prohlašují, že byl sepsán podle jejich pravé, dobrovolné a svobodně projevené vůle v souladu s veřejným pořádkem a dobrými mravy, na důkaz čehož připojují své podpisy.</w:t>
      </w:r>
    </w:p>
    <w:p w14:paraId="2A386F24" w14:textId="77777777" w:rsidR="0021231C" w:rsidRDefault="0021231C" w:rsidP="0021231C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520C8B9F" w14:textId="77777777" w:rsidR="00B636AD" w:rsidRPr="00124BAB" w:rsidRDefault="00B636AD" w:rsidP="00B636AD">
      <w:pPr>
        <w:tabs>
          <w:tab w:val="left" w:pos="851"/>
        </w:tabs>
        <w:ind w:left="708" w:hanging="703"/>
        <w:jc w:val="both"/>
        <w:rPr>
          <w:rFonts w:asciiTheme="minorHAnsi" w:hAnsiTheme="minorHAnsi" w:cs="Arial"/>
        </w:rPr>
      </w:pPr>
      <w:r w:rsidRPr="00124BAB">
        <w:rPr>
          <w:rFonts w:asciiTheme="minorHAnsi" w:hAnsiTheme="minorHAnsi" w:cs="Arial"/>
        </w:rPr>
        <w:t xml:space="preserve">Přílohy: </w:t>
      </w:r>
    </w:p>
    <w:p w14:paraId="465540E8" w14:textId="77777777" w:rsidR="00B636AD" w:rsidRDefault="005F1158" w:rsidP="00C05D3F">
      <w:pPr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Příloha č. 1: </w:t>
      </w:r>
      <w:r w:rsidR="00B636AD" w:rsidRPr="00C05D3F">
        <w:rPr>
          <w:rFonts w:asciiTheme="minorHAnsi" w:hAnsiTheme="minorHAnsi" w:cs="Arial"/>
        </w:rPr>
        <w:t>Seznam obsahu ASPI základ</w:t>
      </w:r>
      <w:r w:rsidRPr="00C05D3F">
        <w:rPr>
          <w:rFonts w:asciiTheme="minorHAnsi" w:hAnsiTheme="minorHAnsi" w:cs="Arial"/>
        </w:rPr>
        <w:t xml:space="preserve"> a </w:t>
      </w:r>
      <w:r>
        <w:rPr>
          <w:rFonts w:asciiTheme="minorHAnsi" w:hAnsiTheme="minorHAnsi" w:cs="Arial"/>
        </w:rPr>
        <w:t>s</w:t>
      </w:r>
      <w:r w:rsidR="00B636AD" w:rsidRPr="00C05D3F">
        <w:rPr>
          <w:rFonts w:asciiTheme="minorHAnsi" w:hAnsiTheme="minorHAnsi" w:cs="Arial"/>
        </w:rPr>
        <w:t xml:space="preserve">eznam autorského obsahu služby systému ASPI (knihovny odborné právní literatury) a aplikací kompatibilních s právním informačním systémem ASPI z produkce </w:t>
      </w:r>
      <w:proofErr w:type="spellStart"/>
      <w:r w:rsidR="00B636AD" w:rsidRPr="00C05D3F">
        <w:rPr>
          <w:rFonts w:asciiTheme="minorHAnsi" w:hAnsiTheme="minorHAnsi" w:cs="Arial"/>
        </w:rPr>
        <w:t>Wolters</w:t>
      </w:r>
      <w:proofErr w:type="spellEnd"/>
      <w:r w:rsidR="00B636AD" w:rsidRPr="00C05D3F">
        <w:rPr>
          <w:rFonts w:asciiTheme="minorHAnsi" w:hAnsiTheme="minorHAnsi" w:cs="Arial"/>
        </w:rPr>
        <w:t xml:space="preserve"> </w:t>
      </w:r>
      <w:proofErr w:type="spellStart"/>
      <w:r w:rsidR="00B636AD" w:rsidRPr="00C05D3F">
        <w:rPr>
          <w:rFonts w:asciiTheme="minorHAnsi" w:hAnsiTheme="minorHAnsi" w:cs="Arial"/>
        </w:rPr>
        <w:t>Kluwer</w:t>
      </w:r>
      <w:proofErr w:type="spellEnd"/>
      <w:r w:rsidR="00B636AD" w:rsidRPr="00C05D3F">
        <w:rPr>
          <w:rFonts w:asciiTheme="minorHAnsi" w:hAnsiTheme="minorHAnsi" w:cs="Arial"/>
        </w:rPr>
        <w:t>, a.s.</w:t>
      </w:r>
    </w:p>
    <w:p w14:paraId="4FA7DE92" w14:textId="77777777" w:rsidR="005F1158" w:rsidRPr="00C05D3F" w:rsidRDefault="005F1158" w:rsidP="00C05D3F">
      <w:pPr>
        <w:tabs>
          <w:tab w:val="left" w:pos="426"/>
        </w:tabs>
        <w:spacing w:after="0" w:line="240" w:lineRule="auto"/>
        <w:ind w:left="720"/>
        <w:jc w:val="both"/>
        <w:rPr>
          <w:rFonts w:asciiTheme="minorHAnsi" w:hAnsiTheme="minorHAnsi" w:cs="Arial"/>
        </w:rPr>
      </w:pPr>
    </w:p>
    <w:p w14:paraId="76125C28" w14:textId="77777777" w:rsidR="00F211B5" w:rsidRPr="000525CE" w:rsidRDefault="00F211B5" w:rsidP="00F211B5">
      <w:pPr>
        <w:pStyle w:val="Odstavecseseznamem"/>
        <w:widowControl w:val="0"/>
        <w:pBdr>
          <w:top w:val="single" w:sz="6" w:space="1" w:color="auto"/>
          <w:left w:val="single" w:sz="6" w:space="13" w:color="auto"/>
          <w:bottom w:val="single" w:sz="6" w:space="0" w:color="auto"/>
          <w:right w:val="single" w:sz="6" w:space="1" w:color="auto"/>
        </w:pBdr>
        <w:spacing w:line="240" w:lineRule="auto"/>
        <w:jc w:val="both"/>
        <w:outlineLvl w:val="0"/>
        <w:rPr>
          <w:b/>
        </w:rPr>
      </w:pPr>
      <w:r w:rsidRPr="000525CE">
        <w:rPr>
          <w:b/>
        </w:rPr>
        <w:t>Doložka dle § 23 zákona č. 129/2000 Sb., o krajích, ve znění pozdějších předpisů</w:t>
      </w:r>
    </w:p>
    <w:p w14:paraId="3966518F" w14:textId="77777777" w:rsidR="00F211B5" w:rsidRDefault="00F211B5" w:rsidP="00F211B5">
      <w:pPr>
        <w:pStyle w:val="Odstavecseseznamem"/>
        <w:widowControl w:val="0"/>
        <w:pBdr>
          <w:top w:val="single" w:sz="6" w:space="1" w:color="auto"/>
          <w:left w:val="single" w:sz="6" w:space="13" w:color="auto"/>
          <w:bottom w:val="single" w:sz="6" w:space="0" w:color="auto"/>
          <w:right w:val="single" w:sz="6" w:space="1" w:color="auto"/>
        </w:pBdr>
        <w:tabs>
          <w:tab w:val="left" w:pos="5940"/>
        </w:tabs>
        <w:spacing w:line="240" w:lineRule="auto"/>
        <w:jc w:val="both"/>
        <w:outlineLvl w:val="0"/>
      </w:pPr>
      <w:r>
        <w:t xml:space="preserve">Rozhodnuto orgánem kraje:   Rada Zlínského kraje </w:t>
      </w:r>
    </w:p>
    <w:p w14:paraId="2553AB80" w14:textId="26859A45" w:rsidR="00F211B5" w:rsidRDefault="00F211B5" w:rsidP="00F211B5">
      <w:pPr>
        <w:pStyle w:val="Odstavecseseznamem"/>
        <w:widowControl w:val="0"/>
        <w:pBdr>
          <w:top w:val="single" w:sz="6" w:space="1" w:color="auto"/>
          <w:left w:val="single" w:sz="6" w:space="13" w:color="auto"/>
          <w:bottom w:val="single" w:sz="6" w:space="0" w:color="auto"/>
          <w:right w:val="single" w:sz="6" w:space="1" w:color="auto"/>
        </w:pBdr>
        <w:tabs>
          <w:tab w:val="left" w:pos="5940"/>
        </w:tabs>
        <w:spacing w:line="240" w:lineRule="auto"/>
        <w:jc w:val="both"/>
        <w:outlineLvl w:val="0"/>
      </w:pPr>
      <w:r>
        <w:t xml:space="preserve">Datum a číslo jednací:   </w:t>
      </w:r>
      <w:bookmarkStart w:id="0" w:name="_GoBack"/>
      <w:bookmarkEnd w:id="0"/>
      <w:r w:rsidR="00957CB4">
        <w:t>21. 12. 2015, 1073/R25/15</w:t>
      </w:r>
      <w:r>
        <w:t xml:space="preserve">        </w:t>
      </w:r>
    </w:p>
    <w:p w14:paraId="15E70B18" w14:textId="77777777" w:rsidR="00944D8C" w:rsidRDefault="00944D8C" w:rsidP="0021231C">
      <w:pPr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</w:p>
    <w:p w14:paraId="5BA15708" w14:textId="77777777" w:rsidR="00EC31AA" w:rsidRDefault="00EC31AA" w:rsidP="0021231C">
      <w:pPr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3009"/>
        <w:gridCol w:w="1059"/>
        <w:gridCol w:w="2982"/>
        <w:gridCol w:w="1013"/>
      </w:tblGrid>
      <w:tr w:rsidR="0021231C" w:rsidRPr="00124BAB" w14:paraId="2C414C63" w14:textId="77777777" w:rsidTr="00954CE5">
        <w:trPr>
          <w:gridBefore w:val="1"/>
          <w:wBefore w:w="709" w:type="dxa"/>
          <w:jc w:val="center"/>
        </w:trPr>
        <w:tc>
          <w:tcPr>
            <w:tcW w:w="4068" w:type="dxa"/>
            <w:gridSpan w:val="2"/>
          </w:tcPr>
          <w:p w14:paraId="5794BA67" w14:textId="365A0756" w:rsidR="0021231C" w:rsidRPr="00124BAB" w:rsidRDefault="00954CE5" w:rsidP="006D77BC">
            <w:pPr>
              <w:tabs>
                <w:tab w:val="num" w:pos="360"/>
              </w:tabs>
              <w:spacing w:after="0" w:line="240" w:lineRule="auto"/>
              <w:rPr>
                <w:rFonts w:asciiTheme="minorHAnsi" w:eastAsia="Times New Roman" w:hAnsiTheme="minorHAnsi"/>
                <w:snapToGrid w:val="0"/>
                <w:lang w:eastAsia="cs-CZ"/>
              </w:rPr>
            </w:pPr>
            <w:r>
              <w:rPr>
                <w:rFonts w:asciiTheme="minorHAnsi" w:eastAsia="Times New Roman" w:hAnsiTheme="minorHAnsi"/>
                <w:snapToGrid w:val="0"/>
                <w:lang w:eastAsia="cs-CZ"/>
              </w:rPr>
              <w:t>Ve Zlíně,</w:t>
            </w:r>
            <w:r w:rsidR="00BB11D5" w:rsidRPr="00124BAB">
              <w:rPr>
                <w:rFonts w:asciiTheme="minorHAnsi" w:eastAsia="Times New Roman" w:hAnsiTheme="minorHAnsi"/>
                <w:snapToGrid w:val="0"/>
                <w:lang w:eastAsia="cs-CZ"/>
              </w:rPr>
              <w:t xml:space="preserve"> dne </w:t>
            </w:r>
            <w:r w:rsidR="00957CB4">
              <w:rPr>
                <w:rFonts w:asciiTheme="minorHAnsi" w:eastAsia="Times New Roman" w:hAnsiTheme="minorHAnsi"/>
                <w:snapToGrid w:val="0"/>
                <w:lang w:eastAsia="cs-CZ"/>
              </w:rPr>
              <w:t>6. 1. 2016</w:t>
            </w:r>
          </w:p>
          <w:p w14:paraId="7FBFDBDA" w14:textId="77777777" w:rsidR="0021231C" w:rsidRDefault="0021231C" w:rsidP="006D77B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napToGrid w:val="0"/>
                <w:lang w:eastAsia="cs-CZ"/>
              </w:rPr>
            </w:pPr>
          </w:p>
          <w:p w14:paraId="7E62439C" w14:textId="77777777" w:rsidR="00EC31AA" w:rsidRDefault="00EC31AA" w:rsidP="006D77B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napToGrid w:val="0"/>
                <w:lang w:eastAsia="cs-CZ"/>
              </w:rPr>
            </w:pPr>
          </w:p>
          <w:p w14:paraId="1AC8BCF9" w14:textId="77777777" w:rsidR="005F1158" w:rsidRDefault="005F1158" w:rsidP="006D77B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napToGrid w:val="0"/>
                <w:lang w:eastAsia="cs-CZ"/>
              </w:rPr>
            </w:pPr>
          </w:p>
          <w:p w14:paraId="22065554" w14:textId="77777777" w:rsidR="005F1158" w:rsidRDefault="005F1158" w:rsidP="006D77B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napToGrid w:val="0"/>
                <w:lang w:eastAsia="cs-CZ"/>
              </w:rPr>
            </w:pPr>
          </w:p>
          <w:p w14:paraId="68044C2F" w14:textId="77777777" w:rsidR="00EC31AA" w:rsidRPr="00124BAB" w:rsidRDefault="00EC31AA" w:rsidP="006D77B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napToGrid w:val="0"/>
                <w:lang w:eastAsia="cs-CZ"/>
              </w:rPr>
            </w:pPr>
          </w:p>
        </w:tc>
        <w:tc>
          <w:tcPr>
            <w:tcW w:w="3995" w:type="dxa"/>
            <w:gridSpan w:val="2"/>
          </w:tcPr>
          <w:p w14:paraId="07EB8AA8" w14:textId="47BDA3F1" w:rsidR="0021231C" w:rsidRPr="00124BAB" w:rsidRDefault="00954CE5" w:rsidP="006D77BC">
            <w:pPr>
              <w:tabs>
                <w:tab w:val="num" w:pos="360"/>
              </w:tabs>
              <w:spacing w:after="0" w:line="240" w:lineRule="auto"/>
              <w:rPr>
                <w:rFonts w:asciiTheme="minorHAnsi" w:eastAsia="Times New Roman" w:hAnsiTheme="minorHAnsi"/>
                <w:snapToGrid w:val="0"/>
                <w:lang w:eastAsia="cs-CZ"/>
              </w:rPr>
            </w:pPr>
            <w:r>
              <w:rPr>
                <w:rFonts w:asciiTheme="minorHAnsi" w:eastAsia="Times New Roman" w:hAnsiTheme="minorHAnsi"/>
                <w:snapToGrid w:val="0"/>
                <w:lang w:eastAsia="cs-CZ"/>
              </w:rPr>
              <w:t xml:space="preserve">     V Praze</w:t>
            </w:r>
            <w:r w:rsidR="00BB11D5" w:rsidRPr="00124BAB">
              <w:rPr>
                <w:rFonts w:asciiTheme="minorHAnsi" w:eastAsia="Times New Roman" w:hAnsiTheme="minorHAnsi"/>
                <w:snapToGrid w:val="0"/>
                <w:lang w:eastAsia="cs-CZ"/>
              </w:rPr>
              <w:t xml:space="preserve">, dne </w:t>
            </w:r>
            <w:r w:rsidR="00957CB4">
              <w:rPr>
                <w:rFonts w:asciiTheme="minorHAnsi" w:eastAsia="Times New Roman" w:hAnsiTheme="minorHAnsi"/>
                <w:snapToGrid w:val="0"/>
                <w:lang w:eastAsia="cs-CZ"/>
              </w:rPr>
              <w:t>21. 12. 2015</w:t>
            </w:r>
          </w:p>
          <w:p w14:paraId="723311DD" w14:textId="77777777" w:rsidR="0021231C" w:rsidRPr="00124BAB" w:rsidRDefault="0021231C" w:rsidP="006D77B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napToGrid w:val="0"/>
                <w:lang w:eastAsia="cs-CZ"/>
              </w:rPr>
            </w:pPr>
          </w:p>
        </w:tc>
      </w:tr>
      <w:tr w:rsidR="00BB11D5" w:rsidRPr="00124BAB" w14:paraId="069EC417" w14:textId="77777777" w:rsidTr="00954CE5">
        <w:tblPrEx>
          <w:jc w:val="left"/>
        </w:tblPrEx>
        <w:trPr>
          <w:gridAfter w:val="1"/>
          <w:wAfter w:w="1013" w:type="dxa"/>
        </w:trPr>
        <w:tc>
          <w:tcPr>
            <w:tcW w:w="3718" w:type="dxa"/>
            <w:gridSpan w:val="2"/>
          </w:tcPr>
          <w:p w14:paraId="601C4A9A" w14:textId="77777777" w:rsidR="00BB11D5" w:rsidRPr="00124BAB" w:rsidRDefault="00BB11D5" w:rsidP="00BB11D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snapToGrid w:val="0"/>
                <w:lang w:eastAsia="cs-CZ"/>
              </w:rPr>
            </w:pPr>
            <w:r w:rsidRPr="00124BAB">
              <w:rPr>
                <w:rFonts w:asciiTheme="minorHAnsi" w:eastAsia="Times New Roman" w:hAnsiTheme="minorHAnsi"/>
                <w:snapToGrid w:val="0"/>
                <w:lang w:eastAsia="cs-CZ"/>
              </w:rPr>
              <w:t xml:space="preserve">…………………………………..   </w:t>
            </w:r>
          </w:p>
          <w:p w14:paraId="3866F194" w14:textId="77777777" w:rsidR="00BB11D5" w:rsidRDefault="00BB11D5" w:rsidP="00BB11D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snapToGrid w:val="0"/>
                <w:lang w:eastAsia="cs-CZ"/>
              </w:rPr>
            </w:pPr>
            <w:r w:rsidRPr="00124BAB">
              <w:rPr>
                <w:rFonts w:asciiTheme="minorHAnsi" w:eastAsia="Times New Roman" w:hAnsiTheme="minorHAnsi"/>
                <w:snapToGrid w:val="0"/>
                <w:lang w:eastAsia="cs-CZ"/>
              </w:rPr>
              <w:t>Za nabyvatele:</w:t>
            </w:r>
          </w:p>
          <w:p w14:paraId="604E895D" w14:textId="77777777" w:rsidR="00BD23BB" w:rsidRDefault="00B97E21" w:rsidP="00BD23B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 xml:space="preserve">MVDr. Stanislav </w:t>
            </w:r>
            <w:proofErr w:type="spellStart"/>
            <w:r>
              <w:rPr>
                <w:rFonts w:asciiTheme="minorHAnsi" w:eastAsia="Times New Roman" w:hAnsiTheme="minorHAnsi"/>
                <w:lang w:eastAsia="cs-CZ"/>
              </w:rPr>
              <w:t>Mišák</w:t>
            </w:r>
            <w:proofErr w:type="spellEnd"/>
          </w:p>
          <w:p w14:paraId="3FF8A361" w14:textId="77777777" w:rsidR="00B97E21" w:rsidRPr="00124BAB" w:rsidRDefault="00B97E21" w:rsidP="00BD23B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Hejtman</w:t>
            </w:r>
          </w:p>
        </w:tc>
        <w:tc>
          <w:tcPr>
            <w:tcW w:w="4041" w:type="dxa"/>
            <w:gridSpan w:val="2"/>
          </w:tcPr>
          <w:p w14:paraId="40A09DF9" w14:textId="77777777" w:rsidR="00BB11D5" w:rsidRPr="00124BAB" w:rsidRDefault="00BB11D5" w:rsidP="006D77B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snapToGrid w:val="0"/>
                <w:lang w:eastAsia="cs-CZ"/>
              </w:rPr>
            </w:pPr>
            <w:r w:rsidRPr="00124BAB">
              <w:rPr>
                <w:rFonts w:asciiTheme="minorHAnsi" w:eastAsia="Times New Roman" w:hAnsiTheme="minorHAnsi"/>
                <w:snapToGrid w:val="0"/>
                <w:lang w:eastAsia="cs-CZ"/>
              </w:rPr>
              <w:t xml:space="preserve">                    …………………………………..</w:t>
            </w:r>
          </w:p>
          <w:p w14:paraId="6CD93C36" w14:textId="77777777" w:rsidR="00BB11D5" w:rsidRPr="00124BAB" w:rsidRDefault="00BB11D5" w:rsidP="006D77B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snapToGrid w:val="0"/>
                <w:lang w:eastAsia="cs-CZ"/>
              </w:rPr>
            </w:pPr>
            <w:r w:rsidRPr="00124BAB">
              <w:rPr>
                <w:rFonts w:asciiTheme="minorHAnsi" w:eastAsia="Times New Roman" w:hAnsiTheme="minorHAnsi"/>
                <w:snapToGrid w:val="0"/>
                <w:lang w:eastAsia="cs-CZ"/>
              </w:rPr>
              <w:t xml:space="preserve">                     Za poskytovatele:</w:t>
            </w:r>
          </w:p>
          <w:p w14:paraId="64E7CCE4" w14:textId="7D05D18B" w:rsidR="00BB11D5" w:rsidRPr="00124BAB" w:rsidRDefault="00BB11D5" w:rsidP="006D77B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124BAB">
              <w:rPr>
                <w:rFonts w:asciiTheme="minorHAnsi" w:eastAsia="Times New Roman" w:hAnsiTheme="minorHAnsi"/>
                <w:lang w:eastAsia="cs-CZ"/>
              </w:rPr>
              <w:t xml:space="preserve">                     </w:t>
            </w:r>
            <w:r w:rsidR="00957CB4">
              <w:rPr>
                <w:rFonts w:asciiTheme="minorHAnsi" w:eastAsia="Times New Roman" w:hAnsiTheme="minorHAnsi"/>
                <w:lang w:eastAsia="cs-CZ"/>
              </w:rPr>
              <w:t>XXXX</w:t>
            </w:r>
          </w:p>
          <w:p w14:paraId="2BAC289C" w14:textId="77777777" w:rsidR="00BB11D5" w:rsidRPr="00124BAB" w:rsidRDefault="00BB11D5" w:rsidP="00B636A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124BAB">
              <w:rPr>
                <w:rFonts w:asciiTheme="minorHAnsi" w:eastAsia="Times New Roman" w:hAnsiTheme="minorHAnsi"/>
                <w:lang w:eastAsia="cs-CZ"/>
              </w:rPr>
              <w:t xml:space="preserve">                      </w:t>
            </w:r>
            <w:proofErr w:type="spellStart"/>
            <w:r w:rsidR="00B636AD" w:rsidRPr="00124BAB">
              <w:rPr>
                <w:rFonts w:asciiTheme="minorHAnsi" w:eastAsia="Times New Roman" w:hAnsiTheme="minorHAnsi"/>
                <w:lang w:eastAsia="cs-CZ"/>
              </w:rPr>
              <w:t>Key</w:t>
            </w:r>
            <w:proofErr w:type="spellEnd"/>
            <w:r w:rsidR="00B636AD" w:rsidRPr="00124BAB">
              <w:rPr>
                <w:rFonts w:asciiTheme="minorHAnsi" w:eastAsia="Times New Roman" w:hAnsiTheme="minorHAnsi"/>
                <w:lang w:eastAsia="cs-CZ"/>
              </w:rPr>
              <w:t xml:space="preserve"> </w:t>
            </w:r>
            <w:proofErr w:type="spellStart"/>
            <w:r w:rsidR="00B636AD" w:rsidRPr="00124BAB">
              <w:rPr>
                <w:rFonts w:asciiTheme="minorHAnsi" w:eastAsia="Times New Roman" w:hAnsiTheme="minorHAnsi"/>
                <w:lang w:eastAsia="cs-CZ"/>
              </w:rPr>
              <w:t>Account</w:t>
            </w:r>
            <w:proofErr w:type="spellEnd"/>
            <w:r w:rsidR="00B636AD" w:rsidRPr="00124BAB">
              <w:rPr>
                <w:rFonts w:asciiTheme="minorHAnsi" w:eastAsia="Times New Roman" w:hAnsiTheme="minorHAnsi"/>
                <w:lang w:eastAsia="cs-CZ"/>
              </w:rPr>
              <w:t xml:space="preserve"> </w:t>
            </w:r>
            <w:proofErr w:type="spellStart"/>
            <w:r w:rsidR="00B636AD" w:rsidRPr="00124BAB">
              <w:rPr>
                <w:rFonts w:asciiTheme="minorHAnsi" w:eastAsia="Times New Roman" w:hAnsiTheme="minorHAnsi"/>
                <w:lang w:eastAsia="cs-CZ"/>
              </w:rPr>
              <w:t>Manager</w:t>
            </w:r>
            <w:proofErr w:type="spellEnd"/>
          </w:p>
        </w:tc>
      </w:tr>
      <w:tr w:rsidR="00BB11D5" w:rsidRPr="00124BAB" w14:paraId="3A78F46B" w14:textId="77777777" w:rsidTr="00954CE5">
        <w:tblPrEx>
          <w:jc w:val="left"/>
        </w:tblPrEx>
        <w:trPr>
          <w:gridAfter w:val="1"/>
          <w:wAfter w:w="1013" w:type="dxa"/>
        </w:trPr>
        <w:tc>
          <w:tcPr>
            <w:tcW w:w="3718" w:type="dxa"/>
            <w:gridSpan w:val="2"/>
          </w:tcPr>
          <w:p w14:paraId="13D54A8D" w14:textId="77777777" w:rsidR="00BB11D5" w:rsidRPr="00124BAB" w:rsidRDefault="00BB11D5" w:rsidP="006D77B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napToGrid w:val="0"/>
                <w:lang w:eastAsia="cs-CZ"/>
              </w:rPr>
            </w:pPr>
          </w:p>
        </w:tc>
        <w:tc>
          <w:tcPr>
            <w:tcW w:w="4041" w:type="dxa"/>
            <w:gridSpan w:val="2"/>
          </w:tcPr>
          <w:p w14:paraId="7899AC6E" w14:textId="77777777" w:rsidR="00BB11D5" w:rsidRPr="00124BAB" w:rsidRDefault="00BB11D5" w:rsidP="006D77B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napToGrid w:val="0"/>
                <w:lang w:eastAsia="cs-CZ"/>
              </w:rPr>
            </w:pPr>
          </w:p>
        </w:tc>
      </w:tr>
    </w:tbl>
    <w:p w14:paraId="4D457B78" w14:textId="77777777" w:rsidR="00DF1C7C" w:rsidRPr="0021231C" w:rsidRDefault="00957CB4"/>
    <w:sectPr w:rsidR="00DF1C7C" w:rsidRPr="0021231C" w:rsidSect="0033364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0E598" w14:textId="77777777" w:rsidR="005A4931" w:rsidRDefault="005A4931" w:rsidP="00333643">
      <w:pPr>
        <w:spacing w:after="0" w:line="240" w:lineRule="auto"/>
      </w:pPr>
      <w:r>
        <w:separator/>
      </w:r>
    </w:p>
  </w:endnote>
  <w:endnote w:type="continuationSeparator" w:id="0">
    <w:p w14:paraId="499BFCDC" w14:textId="77777777" w:rsidR="005A4931" w:rsidRDefault="005A4931" w:rsidP="0033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729166"/>
      <w:docPartObj>
        <w:docPartGallery w:val="Page Numbers (Bottom of Page)"/>
        <w:docPartUnique/>
      </w:docPartObj>
    </w:sdtPr>
    <w:sdtEndPr/>
    <w:sdtContent>
      <w:p w14:paraId="1E57479B" w14:textId="6D675890" w:rsidR="00333643" w:rsidRDefault="003336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CB4">
          <w:rPr>
            <w:noProof/>
          </w:rPr>
          <w:t>4</w:t>
        </w:r>
        <w:r>
          <w:fldChar w:fldCharType="end"/>
        </w:r>
      </w:p>
    </w:sdtContent>
  </w:sdt>
  <w:p w14:paraId="1562D45C" w14:textId="77777777" w:rsidR="00333643" w:rsidRDefault="003336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1E46" w14:textId="77777777" w:rsidR="005A4931" w:rsidRDefault="005A4931" w:rsidP="00333643">
      <w:pPr>
        <w:spacing w:after="0" w:line="240" w:lineRule="auto"/>
      </w:pPr>
      <w:r>
        <w:separator/>
      </w:r>
    </w:p>
  </w:footnote>
  <w:footnote w:type="continuationSeparator" w:id="0">
    <w:p w14:paraId="4FB9950B" w14:textId="77777777" w:rsidR="005A4931" w:rsidRDefault="005A4931" w:rsidP="00333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12"/>
    <w:multiLevelType w:val="hybridMultilevel"/>
    <w:tmpl w:val="3E801970"/>
    <w:lvl w:ilvl="0" w:tplc="86305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584"/>
    <w:multiLevelType w:val="hybridMultilevel"/>
    <w:tmpl w:val="663EE3B6"/>
    <w:lvl w:ilvl="0" w:tplc="5114C25C">
      <w:start w:val="5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05F40E87"/>
    <w:multiLevelType w:val="hybridMultilevel"/>
    <w:tmpl w:val="E3FA9362"/>
    <w:lvl w:ilvl="0" w:tplc="4E94DF0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F79"/>
    <w:multiLevelType w:val="hybridMultilevel"/>
    <w:tmpl w:val="C1B602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758C8"/>
    <w:multiLevelType w:val="hybridMultilevel"/>
    <w:tmpl w:val="DF682E66"/>
    <w:lvl w:ilvl="0" w:tplc="5114C25C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0427494"/>
    <w:multiLevelType w:val="hybridMultilevel"/>
    <w:tmpl w:val="27683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0F61"/>
    <w:multiLevelType w:val="hybridMultilevel"/>
    <w:tmpl w:val="F1EC6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E3997"/>
    <w:multiLevelType w:val="hybridMultilevel"/>
    <w:tmpl w:val="573AC9F0"/>
    <w:lvl w:ilvl="0" w:tplc="C2C0F38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190"/>
    <w:multiLevelType w:val="hybridMultilevel"/>
    <w:tmpl w:val="B1B62DEA"/>
    <w:lvl w:ilvl="0" w:tplc="5114C25C">
      <w:start w:val="5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B441F5"/>
    <w:multiLevelType w:val="hybridMultilevel"/>
    <w:tmpl w:val="4F9CA868"/>
    <w:lvl w:ilvl="0" w:tplc="5114C25C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F5050E7"/>
    <w:multiLevelType w:val="hybridMultilevel"/>
    <w:tmpl w:val="0E74EA50"/>
    <w:lvl w:ilvl="0" w:tplc="5114C25C">
      <w:start w:val="5"/>
      <w:numFmt w:val="bullet"/>
      <w:lvlText w:val="-"/>
      <w:lvlJc w:val="left"/>
      <w:pPr>
        <w:ind w:left="145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3" w15:restartNumberingAfterBreak="0">
    <w:nsid w:val="34240168"/>
    <w:multiLevelType w:val="hybridMultilevel"/>
    <w:tmpl w:val="687CD080"/>
    <w:lvl w:ilvl="0" w:tplc="5114C25C">
      <w:start w:val="5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DD1750"/>
    <w:multiLevelType w:val="hybridMultilevel"/>
    <w:tmpl w:val="4D4A5DEA"/>
    <w:lvl w:ilvl="0" w:tplc="41EA3B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936E7"/>
    <w:multiLevelType w:val="hybridMultilevel"/>
    <w:tmpl w:val="504608E2"/>
    <w:lvl w:ilvl="0" w:tplc="1F44B65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1828"/>
    <w:multiLevelType w:val="hybridMultilevel"/>
    <w:tmpl w:val="C54EBF5C"/>
    <w:lvl w:ilvl="0" w:tplc="5114C25C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82857AA"/>
    <w:multiLevelType w:val="hybridMultilevel"/>
    <w:tmpl w:val="E4F2D02A"/>
    <w:lvl w:ilvl="0" w:tplc="8B027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47CFE"/>
    <w:multiLevelType w:val="hybridMultilevel"/>
    <w:tmpl w:val="D0CCC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6468D"/>
    <w:multiLevelType w:val="hybridMultilevel"/>
    <w:tmpl w:val="B61C06E4"/>
    <w:lvl w:ilvl="0" w:tplc="5114C25C">
      <w:start w:val="5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F648DF"/>
    <w:multiLevelType w:val="hybridMultilevel"/>
    <w:tmpl w:val="C3AC373C"/>
    <w:lvl w:ilvl="0" w:tplc="5114C2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17A69"/>
    <w:multiLevelType w:val="hybridMultilevel"/>
    <w:tmpl w:val="DEFA9BD2"/>
    <w:lvl w:ilvl="0" w:tplc="5114C25C">
      <w:start w:val="5"/>
      <w:numFmt w:val="bullet"/>
      <w:lvlText w:val="-"/>
      <w:lvlJc w:val="left"/>
      <w:pPr>
        <w:ind w:left="283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638D5408"/>
    <w:multiLevelType w:val="hybridMultilevel"/>
    <w:tmpl w:val="FCBECE40"/>
    <w:lvl w:ilvl="0" w:tplc="5114C25C">
      <w:start w:val="5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44454DB"/>
    <w:multiLevelType w:val="hybridMultilevel"/>
    <w:tmpl w:val="196A574A"/>
    <w:lvl w:ilvl="0" w:tplc="5114C25C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24" w15:restartNumberingAfterBreak="0">
    <w:nsid w:val="6AE92BB5"/>
    <w:multiLevelType w:val="hybridMultilevel"/>
    <w:tmpl w:val="F8E27748"/>
    <w:lvl w:ilvl="0" w:tplc="5114C25C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 w15:restartNumberingAfterBreak="0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2B612E"/>
    <w:multiLevelType w:val="hybridMultilevel"/>
    <w:tmpl w:val="F706489C"/>
    <w:lvl w:ilvl="0" w:tplc="5114C25C">
      <w:start w:val="5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4424FEF"/>
    <w:multiLevelType w:val="hybridMultilevel"/>
    <w:tmpl w:val="948AFE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0E0232"/>
    <w:multiLevelType w:val="hybridMultilevel"/>
    <w:tmpl w:val="8E18C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3"/>
  </w:num>
  <w:num w:numId="5">
    <w:abstractNumId w:val="27"/>
  </w:num>
  <w:num w:numId="6">
    <w:abstractNumId w:val="5"/>
  </w:num>
  <w:num w:numId="7">
    <w:abstractNumId w:val="28"/>
  </w:num>
  <w:num w:numId="8">
    <w:abstractNumId w:val="4"/>
  </w:num>
  <w:num w:numId="9">
    <w:abstractNumId w:val="1"/>
  </w:num>
  <w:num w:numId="10">
    <w:abstractNumId w:val="24"/>
  </w:num>
  <w:num w:numId="11">
    <w:abstractNumId w:val="23"/>
  </w:num>
  <w:num w:numId="12">
    <w:abstractNumId w:val="21"/>
  </w:num>
  <w:num w:numId="13">
    <w:abstractNumId w:val="12"/>
  </w:num>
  <w:num w:numId="14">
    <w:abstractNumId w:val="22"/>
  </w:num>
  <w:num w:numId="15">
    <w:abstractNumId w:val="11"/>
  </w:num>
  <w:num w:numId="16">
    <w:abstractNumId w:val="16"/>
  </w:num>
  <w:num w:numId="17">
    <w:abstractNumId w:val="13"/>
  </w:num>
  <w:num w:numId="18">
    <w:abstractNumId w:val="10"/>
  </w:num>
  <w:num w:numId="19">
    <w:abstractNumId w:val="20"/>
  </w:num>
  <w:num w:numId="20">
    <w:abstractNumId w:val="19"/>
  </w:num>
  <w:num w:numId="21">
    <w:abstractNumId w:val="26"/>
  </w:num>
  <w:num w:numId="22">
    <w:abstractNumId w:val="25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"/>
  </w:num>
  <w:num w:numId="27">
    <w:abstractNumId w:val="18"/>
  </w:num>
  <w:num w:numId="28">
    <w:abstractNumId w:val="9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D2"/>
    <w:rsid w:val="0002426A"/>
    <w:rsid w:val="00032B6A"/>
    <w:rsid w:val="00047C8B"/>
    <w:rsid w:val="000525CE"/>
    <w:rsid w:val="00054A68"/>
    <w:rsid w:val="000F3C2D"/>
    <w:rsid w:val="00107A85"/>
    <w:rsid w:val="00122F55"/>
    <w:rsid w:val="00124BAB"/>
    <w:rsid w:val="001508B3"/>
    <w:rsid w:val="0017565C"/>
    <w:rsid w:val="00175780"/>
    <w:rsid w:val="0019233C"/>
    <w:rsid w:val="0021231C"/>
    <w:rsid w:val="00250683"/>
    <w:rsid w:val="002529D8"/>
    <w:rsid w:val="00280CB0"/>
    <w:rsid w:val="00285BA6"/>
    <w:rsid w:val="002A6AC9"/>
    <w:rsid w:val="002A6CE0"/>
    <w:rsid w:val="002C6C08"/>
    <w:rsid w:val="002F3D25"/>
    <w:rsid w:val="002F7981"/>
    <w:rsid w:val="00311724"/>
    <w:rsid w:val="003178AD"/>
    <w:rsid w:val="00333643"/>
    <w:rsid w:val="00337A0A"/>
    <w:rsid w:val="00342DE0"/>
    <w:rsid w:val="00385F46"/>
    <w:rsid w:val="003A0CC7"/>
    <w:rsid w:val="003A593C"/>
    <w:rsid w:val="003A6710"/>
    <w:rsid w:val="003B1A25"/>
    <w:rsid w:val="003B4131"/>
    <w:rsid w:val="003D1DB9"/>
    <w:rsid w:val="003F3019"/>
    <w:rsid w:val="00407422"/>
    <w:rsid w:val="00424E57"/>
    <w:rsid w:val="004721C9"/>
    <w:rsid w:val="00487195"/>
    <w:rsid w:val="004A28B2"/>
    <w:rsid w:val="004D2178"/>
    <w:rsid w:val="004E1F7A"/>
    <w:rsid w:val="004F26B3"/>
    <w:rsid w:val="004F4451"/>
    <w:rsid w:val="004F5268"/>
    <w:rsid w:val="00502C4E"/>
    <w:rsid w:val="00514F36"/>
    <w:rsid w:val="005157B2"/>
    <w:rsid w:val="00523A87"/>
    <w:rsid w:val="005337DF"/>
    <w:rsid w:val="00596A5D"/>
    <w:rsid w:val="005A4931"/>
    <w:rsid w:val="005A6ACC"/>
    <w:rsid w:val="005E42AD"/>
    <w:rsid w:val="005F06B2"/>
    <w:rsid w:val="005F1158"/>
    <w:rsid w:val="0061362B"/>
    <w:rsid w:val="006212CE"/>
    <w:rsid w:val="00633A07"/>
    <w:rsid w:val="006368C4"/>
    <w:rsid w:val="0063767F"/>
    <w:rsid w:val="00646012"/>
    <w:rsid w:val="006E5AE5"/>
    <w:rsid w:val="007308B1"/>
    <w:rsid w:val="0075302B"/>
    <w:rsid w:val="007543F8"/>
    <w:rsid w:val="00757778"/>
    <w:rsid w:val="00763716"/>
    <w:rsid w:val="00763CF6"/>
    <w:rsid w:val="007A7F78"/>
    <w:rsid w:val="007B1D97"/>
    <w:rsid w:val="007C0A17"/>
    <w:rsid w:val="007F5C27"/>
    <w:rsid w:val="00815C01"/>
    <w:rsid w:val="00816FE1"/>
    <w:rsid w:val="00856BFE"/>
    <w:rsid w:val="00884C18"/>
    <w:rsid w:val="008C139A"/>
    <w:rsid w:val="008E23C0"/>
    <w:rsid w:val="008E7B06"/>
    <w:rsid w:val="008F78C3"/>
    <w:rsid w:val="009250AD"/>
    <w:rsid w:val="00935812"/>
    <w:rsid w:val="00944D8C"/>
    <w:rsid w:val="00946924"/>
    <w:rsid w:val="00950EC4"/>
    <w:rsid w:val="009515A4"/>
    <w:rsid w:val="00954CE5"/>
    <w:rsid w:val="00957CB4"/>
    <w:rsid w:val="00993017"/>
    <w:rsid w:val="00997058"/>
    <w:rsid w:val="009A1D0D"/>
    <w:rsid w:val="009B17C8"/>
    <w:rsid w:val="009B1AA6"/>
    <w:rsid w:val="00A13F7B"/>
    <w:rsid w:val="00A44051"/>
    <w:rsid w:val="00A828B5"/>
    <w:rsid w:val="00AD4A79"/>
    <w:rsid w:val="00AF7C9E"/>
    <w:rsid w:val="00B15951"/>
    <w:rsid w:val="00B22297"/>
    <w:rsid w:val="00B34F98"/>
    <w:rsid w:val="00B37216"/>
    <w:rsid w:val="00B50ACF"/>
    <w:rsid w:val="00B5622A"/>
    <w:rsid w:val="00B636AD"/>
    <w:rsid w:val="00B64359"/>
    <w:rsid w:val="00B97E21"/>
    <w:rsid w:val="00BB11D5"/>
    <w:rsid w:val="00BB70FA"/>
    <w:rsid w:val="00BC66A5"/>
    <w:rsid w:val="00BD23BB"/>
    <w:rsid w:val="00C05D3F"/>
    <w:rsid w:val="00C30257"/>
    <w:rsid w:val="00C31853"/>
    <w:rsid w:val="00C51553"/>
    <w:rsid w:val="00C90BCC"/>
    <w:rsid w:val="00C91046"/>
    <w:rsid w:val="00D10FE6"/>
    <w:rsid w:val="00D37475"/>
    <w:rsid w:val="00D66ED8"/>
    <w:rsid w:val="00DC3D07"/>
    <w:rsid w:val="00DF29D7"/>
    <w:rsid w:val="00E21A9C"/>
    <w:rsid w:val="00E43760"/>
    <w:rsid w:val="00E617EA"/>
    <w:rsid w:val="00E950F2"/>
    <w:rsid w:val="00EC31AA"/>
    <w:rsid w:val="00ED43D5"/>
    <w:rsid w:val="00EE294F"/>
    <w:rsid w:val="00F06AD8"/>
    <w:rsid w:val="00F14605"/>
    <w:rsid w:val="00F15348"/>
    <w:rsid w:val="00F211B5"/>
    <w:rsid w:val="00F32C3C"/>
    <w:rsid w:val="00F44511"/>
    <w:rsid w:val="00F56E6F"/>
    <w:rsid w:val="00F71CE6"/>
    <w:rsid w:val="00F839FB"/>
    <w:rsid w:val="00FB6BD2"/>
    <w:rsid w:val="00FD3BF5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F099"/>
  <w15:docId w15:val="{37F336EF-F181-4FDA-9790-D01C233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BD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-western">
    <w:name w:val="seznam-western"/>
    <w:basedOn w:val="Normln"/>
    <w:rsid w:val="00FB6BD2"/>
    <w:pPr>
      <w:spacing w:before="100" w:beforeAutospacing="1" w:after="119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58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64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64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64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A6AC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7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77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77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Čechová Kristýna</dc:creator>
  <cp:lastModifiedBy>Krajíčková Miroslava</cp:lastModifiedBy>
  <cp:revision>3</cp:revision>
  <cp:lastPrinted>2015-11-25T08:04:00Z</cp:lastPrinted>
  <dcterms:created xsi:type="dcterms:W3CDTF">2015-12-11T08:23:00Z</dcterms:created>
  <dcterms:modified xsi:type="dcterms:W3CDTF">2017-09-20T07:59:00Z</dcterms:modified>
</cp:coreProperties>
</file>