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3" w:after="23"/>
        <w:ind w:left="3270" w:right="3275" w:firstLine="0"/>
        <w:jc w:val="center"/>
        <w:rPr>
          <w:b/>
          <w:sz w:val="37"/>
        </w:rPr>
      </w:pPr>
      <w:bookmarkStart w:name="Krycí list" w:id="1"/>
      <w:bookmarkEnd w:id="1"/>
      <w:r>
        <w:rPr/>
      </w:r>
      <w:r>
        <w:rPr>
          <w:b/>
          <w:sz w:val="37"/>
        </w:rPr>
        <w:t>ZMĚNOVÝ LIST</w:t>
      </w:r>
    </w:p>
    <w:tbl>
      <w:tblPr>
        <w:tblW w:w="0" w:type="auto"/>
        <w:jc w:val="left"/>
        <w:tblInd w:w="1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2"/>
        <w:gridCol w:w="7917"/>
        <w:gridCol w:w="475"/>
        <w:gridCol w:w="237"/>
        <w:gridCol w:w="1369"/>
      </w:tblGrid>
      <w:tr>
        <w:trPr>
          <w:trHeight w:val="576" w:hRule="atLeast"/>
        </w:trPr>
        <w:tc>
          <w:tcPr>
            <w:tcW w:w="11070" w:type="dxa"/>
            <w:gridSpan w:val="5"/>
          </w:tcPr>
          <w:p>
            <w:pPr>
              <w:pStyle w:val="TableParagraph"/>
              <w:spacing w:line="219" w:lineRule="exact"/>
              <w:ind w:left="912"/>
              <w:rPr>
                <w:b/>
                <w:sz w:val="20"/>
              </w:rPr>
            </w:pPr>
            <w:r>
              <w:rPr>
                <w:b/>
                <w:sz w:val="20"/>
              </w:rPr>
              <w:t>NPÚ, SZ Březnice - oprava střechy a terasy nad severními arkádami - PRÁCE NAD RÁMEC SOD</w:t>
            </w:r>
          </w:p>
        </w:tc>
      </w:tr>
      <w:tr>
        <w:trPr>
          <w:trHeight w:val="203" w:hRule="atLeast"/>
        </w:trPr>
        <w:tc>
          <w:tcPr>
            <w:tcW w:w="1072" w:type="dxa"/>
            <w:vMerge w:val="restart"/>
            <w:tcBorders>
              <w:right w:val="single" w:sz="8" w:space="0" w:color="000000"/>
            </w:tcBorders>
          </w:tcPr>
          <w:p>
            <w:pPr>
              <w:pStyle w:val="TableParagraph"/>
              <w:spacing w:line="355" w:lineRule="auto" w:before="14"/>
              <w:ind w:left="24"/>
              <w:rPr>
                <w:sz w:val="15"/>
              </w:rPr>
            </w:pPr>
            <w:r>
              <w:rPr>
                <w:sz w:val="15"/>
              </w:rPr>
              <w:t>reg.č.stavby: smlouva: objednatel:</w:t>
            </w:r>
          </w:p>
          <w:p>
            <w:pPr>
              <w:pStyle w:val="TableParagraph"/>
              <w:spacing w:before="29"/>
              <w:ind w:left="24"/>
              <w:rPr>
                <w:sz w:val="15"/>
              </w:rPr>
            </w:pPr>
            <w:r>
              <w:rPr>
                <w:sz w:val="15"/>
              </w:rPr>
              <w:t>zhotovitel:</w:t>
            </w:r>
          </w:p>
        </w:tc>
        <w:tc>
          <w:tcPr>
            <w:tcW w:w="8629" w:type="dxa"/>
            <w:gridSpan w:val="3"/>
            <w:vMerge w:val="restart"/>
            <w:tcBorders>
              <w:left w:val="single" w:sz="8" w:space="0" w:color="000000"/>
            </w:tcBorders>
          </w:tcPr>
          <w:p>
            <w:pPr>
              <w:pStyle w:val="TableParagraph"/>
              <w:spacing w:before="36"/>
              <w:ind w:left="37"/>
              <w:rPr>
                <w:b/>
                <w:sz w:val="15"/>
              </w:rPr>
            </w:pPr>
            <w:r>
              <w:rPr>
                <w:b/>
                <w:sz w:val="15"/>
              </w:rPr>
              <w:t>SMVS134V151000160</w:t>
            </w:r>
          </w:p>
          <w:p>
            <w:pPr>
              <w:pStyle w:val="TableParagraph"/>
              <w:tabs>
                <w:tab w:pos="4143" w:val="left" w:leader="none"/>
              </w:tabs>
              <w:spacing w:before="67"/>
              <w:ind w:left="37"/>
              <w:rPr>
                <w:b/>
                <w:sz w:val="15"/>
              </w:rPr>
            </w:pPr>
            <w:r>
              <w:rPr>
                <w:b/>
                <w:sz w:val="15"/>
              </w:rPr>
              <w:t>NPU-420/86960/2025;</w:t>
            </w:r>
            <w:r>
              <w:rPr>
                <w:b/>
                <w:spacing w:val="21"/>
                <w:sz w:val="15"/>
              </w:rPr>
              <w:t> </w:t>
            </w:r>
            <w:r>
              <w:rPr>
                <w:b/>
                <w:sz w:val="15"/>
              </w:rPr>
              <w:t>WAM:</w:t>
            </w:r>
            <w:r>
              <w:rPr>
                <w:b/>
                <w:spacing w:val="22"/>
                <w:sz w:val="15"/>
              </w:rPr>
              <w:t> </w:t>
            </w:r>
            <w:r>
              <w:rPr>
                <w:b/>
                <w:sz w:val="15"/>
              </w:rPr>
              <w:t>2001H1250025</w:t>
              <w:tab/>
              <w:t>ze </w:t>
            </w:r>
            <w:r>
              <w:rPr>
                <w:b/>
                <w:spacing w:val="5"/>
                <w:sz w:val="15"/>
              </w:rPr>
              <w:t>dne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z w:val="15"/>
              </w:rPr>
              <w:t>20.10.2025</w:t>
            </w:r>
          </w:p>
          <w:p>
            <w:pPr>
              <w:pStyle w:val="TableParagraph"/>
              <w:spacing w:before="68"/>
              <w:ind w:left="37"/>
              <w:rPr>
                <w:sz w:val="15"/>
              </w:rPr>
            </w:pPr>
            <w:r>
              <w:rPr>
                <w:sz w:val="15"/>
              </w:rPr>
              <w:t>Národní památkový ústav, územní památková správa v Ústí nad Labem, detašované pracoviště Praha, IČ 75032333</w:t>
            </w:r>
          </w:p>
          <w:p>
            <w:pPr>
              <w:pStyle w:val="TableParagraph"/>
              <w:spacing w:before="120"/>
              <w:ind w:left="37"/>
              <w:rPr>
                <w:sz w:val="15"/>
              </w:rPr>
            </w:pPr>
            <w:r>
              <w:rPr>
                <w:sz w:val="15"/>
              </w:rPr>
              <w:t>BOLID M s.r.o., Voršilská 2085/3, 110 00 Praha 1 – Nové Město, IČ: 26347741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76" w:lineRule="exact" w:before="8"/>
              <w:ind w:left="296" w:right="284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w w:val="95"/>
                <w:sz w:val="18"/>
              </w:rPr>
              <w:t>číslo ZL:</w:t>
            </w:r>
          </w:p>
        </w:tc>
      </w:tr>
      <w:tr>
        <w:trPr>
          <w:trHeight w:val="791" w:hRule="atLeast"/>
        </w:trPr>
        <w:tc>
          <w:tcPr>
            <w:tcW w:w="1072" w:type="dxa"/>
            <w:vMerge/>
            <w:tcBorders>
              <w:top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29" w:type="dxa"/>
            <w:gridSpan w:val="3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  <w:shd w:val="clear" w:color="auto" w:fill="FFFF00"/>
          </w:tcPr>
          <w:p>
            <w:pPr>
              <w:pStyle w:val="TableParagraph"/>
              <w:spacing w:before="179"/>
              <w:ind w:left="50"/>
              <w:jc w:val="center"/>
              <w:rPr>
                <w:b/>
                <w:sz w:val="37"/>
              </w:rPr>
            </w:pPr>
            <w:r>
              <w:rPr>
                <w:b/>
                <w:w w:val="101"/>
                <w:sz w:val="37"/>
              </w:rPr>
              <w:t>2</w:t>
            </w:r>
          </w:p>
        </w:tc>
      </w:tr>
      <w:tr>
        <w:trPr>
          <w:trHeight w:val="89" w:hRule="atLeast"/>
        </w:trPr>
        <w:tc>
          <w:tcPr>
            <w:tcW w:w="11070" w:type="dxa"/>
            <w:gridSpan w:val="5"/>
            <w:tcBorders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350" w:hRule="atLeast"/>
        </w:trPr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TableParagraph"/>
              <w:spacing w:before="77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název ZL:</w:t>
            </w:r>
          </w:p>
        </w:tc>
        <w:tc>
          <w:tcPr>
            <w:tcW w:w="9998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5"/>
              <w:ind w:left="2816" w:right="2795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PROVIZORNÍ ZASTŘEŠENÍ FÁZE 4-5 A TERASY</w:t>
            </w:r>
          </w:p>
        </w:tc>
      </w:tr>
      <w:tr>
        <w:trPr>
          <w:trHeight w:val="635" w:hRule="atLeast"/>
        </w:trPr>
        <w:tc>
          <w:tcPr>
            <w:tcW w:w="11070" w:type="dxa"/>
            <w:gridSpan w:val="5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1" w:lineRule="exact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předmět změny:</w:t>
            </w:r>
          </w:p>
          <w:p>
            <w:pPr>
              <w:pStyle w:val="TableParagraph"/>
              <w:spacing w:before="130"/>
              <w:ind w:left="39"/>
              <w:rPr>
                <w:sz w:val="17"/>
              </w:rPr>
            </w:pPr>
            <w:r>
              <w:rPr>
                <w:sz w:val="17"/>
              </w:rPr>
              <w:t>Umístění provizorního zastřešení nad rámec SoD.</w:t>
            </w:r>
          </w:p>
        </w:tc>
      </w:tr>
      <w:tr>
        <w:trPr>
          <w:trHeight w:val="1712" w:hRule="atLeast"/>
        </w:trPr>
        <w:tc>
          <w:tcPr>
            <w:tcW w:w="11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6" w:lineRule="exact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zdůvodnění nezbytnosti změny (požadavek OPP, technické důvody):</w:t>
            </w:r>
          </w:p>
          <w:p>
            <w:pPr>
              <w:pStyle w:val="TableParagraph"/>
              <w:spacing w:before="4"/>
              <w:rPr>
                <w:b/>
                <w:sz w:val="21"/>
              </w:rPr>
            </w:pPr>
          </w:p>
          <w:p>
            <w:pPr>
              <w:pStyle w:val="TableParagraph"/>
              <w:spacing w:line="259" w:lineRule="auto"/>
              <w:ind w:left="39"/>
              <w:rPr>
                <w:sz w:val="17"/>
              </w:rPr>
            </w:pPr>
            <w:r>
              <w:rPr>
                <w:sz w:val="17"/>
              </w:rPr>
              <w:t>Dočasná konstrukce provizorního zastřešení je posouvána po polích rozkrývané střechy a terasy a chrání odhalené střešní a terasní konstrukce před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povětrnostními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vlivy.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Setrvává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do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doby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opětovného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zakrytí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konstrukcí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novým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pláštěm.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Vzhledem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k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neočekávané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nálezové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situaci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při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odhalení konstrukce pole 4-5 a terasy, setrvává provizorní zastřešení nad polem 4-5 a terasou do doby jejího vyřešení nad rámec původního časového plánu a nemůže se tudíž posunout nad další pole střechy. Investor chce zabránit prodloužení termínu stavby z důvodu nemožnosti rozkrývání dalších polí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střechy.</w:t>
            </w:r>
          </w:p>
        </w:tc>
      </w:tr>
      <w:tr>
        <w:trPr>
          <w:trHeight w:val="1926" w:hRule="atLeast"/>
        </w:trPr>
        <w:tc>
          <w:tcPr>
            <w:tcW w:w="11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zdůvodnění příčin event.nepředvídatelnosti změny:</w:t>
            </w:r>
          </w:p>
          <w:p>
            <w:pPr>
              <w:pStyle w:val="TableParagraph"/>
              <w:spacing w:line="259" w:lineRule="auto" w:before="143"/>
              <w:ind w:left="39"/>
              <w:rPr>
                <w:sz w:val="17"/>
              </w:rPr>
            </w:pPr>
            <w:r>
              <w:rPr>
                <w:sz w:val="17"/>
              </w:rPr>
              <w:t>Vzhledem k neočekávané nálezové situaci při odhalení konstrukce pole 4-5 a terasy, setrvává provizorní zastřešení nad polem 4-5 a terasou do doby jejího vyřešení nad rámec původního časového plánu a nemůže se tudíž posunout nad další pole střechy. Dodatečné zastřešení je nutné objednat z důvodu zajištění hladkého postupu stavebních prací a zabránění prodloužení termínu stavby z důvodu nemožnosti rozkrývání dalších polí střechy.</w:t>
            </w:r>
          </w:p>
          <w:p>
            <w:pPr>
              <w:pStyle w:val="TableParagraph"/>
              <w:spacing w:line="259" w:lineRule="auto"/>
              <w:ind w:left="39"/>
              <w:rPr>
                <w:sz w:val="17"/>
              </w:rPr>
            </w:pPr>
            <w:r>
              <w:rPr>
                <w:sz w:val="17"/>
              </w:rPr>
              <w:t>Tyto skutečnosti vynucují další nepředvídané a níže popsané práce, které byly odsouhlaseny zástupci objednatele a TDS objednatele. Bez provedení těchto vynucených prací není možné ve stavebních pracích dále pokračovat a dílo dokončit včas.</w:t>
            </w:r>
          </w:p>
          <w:p>
            <w:pPr>
              <w:pStyle w:val="TableParagraph"/>
              <w:ind w:left="39"/>
              <w:rPr>
                <w:sz w:val="17"/>
              </w:rPr>
            </w:pPr>
            <w:r>
              <w:rPr>
                <w:sz w:val="17"/>
              </w:rPr>
              <w:t>TYTO VÝŠE UVEDENÉ ZMĚNY MAJÍ CHARAKTER OBJEKTIVNĚ NEPŘEDVÍDATELNÝCH PRACÍ.</w:t>
            </w:r>
          </w:p>
        </w:tc>
      </w:tr>
      <w:tr>
        <w:trPr>
          <w:trHeight w:val="1278" w:hRule="atLeast"/>
        </w:trPr>
        <w:tc>
          <w:tcPr>
            <w:tcW w:w="11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81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zdůvodnění nemožnosti oddělení prací a samostatného zadání:</w:t>
            </w:r>
          </w:p>
          <w:p>
            <w:pPr>
              <w:pStyle w:val="TableParagraph"/>
              <w:spacing w:line="259" w:lineRule="auto" w:before="136"/>
              <w:ind w:left="39"/>
              <w:rPr>
                <w:sz w:val="17"/>
              </w:rPr>
            </w:pPr>
            <w:r>
              <w:rPr>
                <w:sz w:val="17"/>
              </w:rPr>
              <w:t>Jedná se o dílčí rozšíření prováděných prací na základě dodatečných zjištění. Jedná se o výkony bezprostředně související s plněním dodavatele. Samostatné zadání by bylo z hlediska organizace stavby i finančních nákladů nelogické a neefektivní a z technicko-organizačních důvodů nemožné. Nelze oddělit a samostatně zadat.Předmětné práce jsou součástí celkové rekonstrukce objektu a nelze je oddělit. Práce jsou zadány v souladu s § 222 odst. 6 zákona č. 134/2016 Sb., o zadávání veřejných zakázek.</w:t>
            </w:r>
          </w:p>
        </w:tc>
      </w:tr>
      <w:tr>
        <w:trPr>
          <w:trHeight w:val="1051" w:hRule="atLeast"/>
        </w:trPr>
        <w:tc>
          <w:tcPr>
            <w:tcW w:w="8989" w:type="dxa"/>
            <w:gridSpan w:val="2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>
            <w:pPr>
              <w:pStyle w:val="TableParagraph"/>
              <w:tabs>
                <w:tab w:pos="5218" w:val="left" w:leader="none"/>
                <w:tab w:pos="6876" w:val="left" w:leader="none"/>
              </w:tabs>
              <w:spacing w:before="7"/>
              <w:ind w:left="39"/>
              <w:rPr>
                <w:i/>
                <w:sz w:val="18"/>
              </w:rPr>
            </w:pPr>
            <w:r>
              <w:rPr>
                <w:b/>
                <w:spacing w:val="7"/>
                <w:sz w:val="17"/>
              </w:rPr>
              <w:t>vliv </w:t>
            </w:r>
            <w:r>
              <w:rPr>
                <w:b/>
                <w:spacing w:val="4"/>
                <w:sz w:val="17"/>
              </w:rPr>
              <w:t>na</w:t>
            </w:r>
            <w:r>
              <w:rPr>
                <w:b/>
                <w:spacing w:val="-38"/>
                <w:sz w:val="17"/>
              </w:rPr>
              <w:t> </w:t>
            </w:r>
            <w:r>
              <w:rPr>
                <w:b/>
                <w:spacing w:val="3"/>
                <w:sz w:val="17"/>
              </w:rPr>
              <w:t>cenu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pacing w:val="3"/>
                <w:sz w:val="17"/>
              </w:rPr>
              <w:t>díla:</w:t>
              <w:tab/>
            </w:r>
            <w:r>
              <w:rPr>
                <w:b/>
                <w:sz w:val="17"/>
              </w:rPr>
              <w:t>rozpočet:</w:t>
              <w:tab/>
            </w:r>
            <w:r>
              <w:rPr>
                <w:i/>
                <w:sz w:val="18"/>
              </w:rPr>
              <w:t>v příloze</w:t>
            </w:r>
            <w:r>
              <w:rPr>
                <w:i/>
                <w:spacing w:val="-9"/>
                <w:sz w:val="18"/>
              </w:rPr>
              <w:t> </w:t>
            </w:r>
            <w:r>
              <w:rPr>
                <w:i/>
                <w:sz w:val="18"/>
              </w:rPr>
              <w:t>ZL</w:t>
            </w:r>
          </w:p>
          <w:p>
            <w:pPr>
              <w:pStyle w:val="TableParagraph"/>
              <w:spacing w:before="1"/>
              <w:rPr>
                <w:b/>
                <w:sz w:val="19"/>
              </w:rPr>
            </w:pPr>
          </w:p>
          <w:p>
            <w:pPr>
              <w:pStyle w:val="TableParagraph"/>
              <w:tabs>
                <w:tab w:pos="1699" w:val="left" w:leader="none"/>
                <w:tab w:pos="3163" w:val="left" w:leader="none"/>
              </w:tabs>
              <w:spacing w:before="1"/>
              <w:ind w:right="233"/>
              <w:jc w:val="right"/>
              <w:rPr>
                <w:b/>
                <w:i/>
                <w:sz w:val="18"/>
              </w:rPr>
            </w:pPr>
            <w:r>
              <w:rPr>
                <w:b/>
                <w:sz w:val="17"/>
              </w:rPr>
              <w:t>cena:</w:t>
              <w:tab/>
            </w:r>
            <w:r>
              <w:rPr>
                <w:i/>
                <w:sz w:val="15"/>
              </w:rPr>
              <w:t>bez</w:t>
            </w:r>
            <w:r>
              <w:rPr>
                <w:i/>
                <w:spacing w:val="-1"/>
                <w:sz w:val="15"/>
              </w:rPr>
              <w:t> </w:t>
            </w:r>
            <w:r>
              <w:rPr>
                <w:i/>
                <w:sz w:val="15"/>
              </w:rPr>
              <w:t>DPH</w:t>
              <w:tab/>
            </w:r>
            <w:r>
              <w:rPr>
                <w:b/>
                <w:i/>
                <w:spacing w:val="-1"/>
                <w:sz w:val="18"/>
              </w:rPr>
              <w:t>0,00</w:t>
            </w:r>
          </w:p>
          <w:p>
            <w:pPr>
              <w:pStyle w:val="TableParagraph"/>
              <w:tabs>
                <w:tab w:pos="1504" w:val="left" w:leader="none"/>
              </w:tabs>
              <w:spacing w:line="201" w:lineRule="exact" w:before="4"/>
              <w:ind w:right="214"/>
              <w:jc w:val="right"/>
              <w:rPr>
                <w:i/>
                <w:sz w:val="18"/>
              </w:rPr>
            </w:pPr>
            <w:r>
              <w:rPr>
                <w:i/>
                <w:w w:val="105"/>
                <w:sz w:val="15"/>
              </w:rPr>
              <w:t>21%DPH</w:t>
              <w:tab/>
            </w:r>
            <w:r>
              <w:rPr>
                <w:i/>
                <w:spacing w:val="-1"/>
                <w:sz w:val="18"/>
              </w:rPr>
              <w:t>0,00</w:t>
            </w:r>
          </w:p>
          <w:p>
            <w:pPr>
              <w:pStyle w:val="TableParagraph"/>
              <w:tabs>
                <w:tab w:pos="1358" w:val="left" w:leader="none"/>
              </w:tabs>
              <w:spacing w:line="185" w:lineRule="exact"/>
              <w:ind w:right="214"/>
              <w:jc w:val="right"/>
              <w:rPr>
                <w:i/>
                <w:sz w:val="18"/>
              </w:rPr>
            </w:pPr>
            <w:r>
              <w:rPr>
                <w:i/>
                <w:w w:val="105"/>
                <w:sz w:val="15"/>
              </w:rPr>
              <w:t>celkem</w:t>
              <w:tab/>
            </w:r>
            <w:r>
              <w:rPr>
                <w:i/>
                <w:spacing w:val="-1"/>
                <w:sz w:val="18"/>
              </w:rPr>
              <w:t>0,00</w:t>
            </w:r>
          </w:p>
        </w:tc>
        <w:tc>
          <w:tcPr>
            <w:tcW w:w="475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6"/>
              <w:rPr>
                <w:b/>
                <w:sz w:val="20"/>
              </w:rPr>
            </w:pPr>
          </w:p>
          <w:p>
            <w:pPr>
              <w:pStyle w:val="TableParagraph"/>
              <w:ind w:left="158"/>
              <w:rPr>
                <w:sz w:val="17"/>
              </w:rPr>
            </w:pPr>
            <w:r>
              <w:rPr>
                <w:sz w:val="17"/>
              </w:rPr>
              <w:t>Kč</w:t>
            </w:r>
          </w:p>
          <w:p>
            <w:pPr>
              <w:pStyle w:val="TableParagraph"/>
              <w:spacing w:line="194" w:lineRule="exact" w:before="20"/>
              <w:ind w:left="158" w:right="98"/>
              <w:rPr>
                <w:sz w:val="17"/>
              </w:rPr>
            </w:pPr>
            <w:r>
              <w:rPr>
                <w:sz w:val="17"/>
              </w:rPr>
              <w:t>Kč</w:t>
            </w:r>
            <w:r>
              <w:rPr>
                <w:spacing w:val="-1"/>
                <w:w w:val="100"/>
                <w:sz w:val="17"/>
              </w:rPr>
              <w:t> </w:t>
            </w:r>
            <w:r>
              <w:rPr>
                <w:sz w:val="17"/>
              </w:rPr>
              <w:t>Kč</w:t>
            </w:r>
          </w:p>
        </w:tc>
        <w:tc>
          <w:tcPr>
            <w:tcW w:w="1606" w:type="dxa"/>
            <w:gridSpan w:val="2"/>
            <w:tcBorders>
              <w:top w:val="single" w:sz="8" w:space="0" w:color="000000"/>
              <w:left w:val="nil"/>
              <w:right w:val="single" w:sz="8" w:space="0" w:color="000000"/>
            </w:tcBorders>
          </w:tcPr>
          <w:p>
            <w:pPr>
              <w:pStyle w:val="TableParagraph"/>
              <w:spacing w:before="7"/>
              <w:ind w:left="153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méněpráce</w:t>
            </w:r>
          </w:p>
          <w:p>
            <w:pPr>
              <w:pStyle w:val="TableParagraph"/>
              <w:spacing w:before="9"/>
              <w:ind w:left="818"/>
              <w:rPr>
                <w:sz w:val="18"/>
              </w:rPr>
            </w:pPr>
            <w:r>
              <w:rPr>
                <w:w w:val="105"/>
                <w:sz w:val="18"/>
              </w:rPr>
              <w:t>NE</w:t>
            </w:r>
          </w:p>
        </w:tc>
      </w:tr>
      <w:tr>
        <w:trPr>
          <w:trHeight w:val="1161" w:hRule="atLeast"/>
        </w:trPr>
        <w:tc>
          <w:tcPr>
            <w:tcW w:w="8989" w:type="dxa"/>
            <w:gridSpan w:val="2"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tabs>
                <w:tab w:pos="3607" w:val="left" w:leader="none"/>
                <w:tab w:pos="5218" w:val="left" w:leader="none"/>
                <w:tab w:pos="6876" w:val="left" w:leader="none"/>
              </w:tabs>
              <w:spacing w:before="68"/>
              <w:ind w:left="39"/>
              <w:rPr>
                <w:i/>
                <w:sz w:val="18"/>
              </w:rPr>
            </w:pPr>
            <w:r>
              <w:rPr>
                <w:b/>
                <w:spacing w:val="7"/>
                <w:sz w:val="17"/>
              </w:rPr>
              <w:t>vliv </w:t>
            </w:r>
            <w:r>
              <w:rPr>
                <w:b/>
                <w:spacing w:val="4"/>
                <w:sz w:val="17"/>
              </w:rPr>
              <w:t>na</w:t>
            </w:r>
            <w:r>
              <w:rPr>
                <w:b/>
                <w:spacing w:val="-38"/>
                <w:sz w:val="17"/>
              </w:rPr>
              <w:t> </w:t>
            </w:r>
            <w:r>
              <w:rPr>
                <w:b/>
                <w:spacing w:val="3"/>
                <w:sz w:val="17"/>
              </w:rPr>
              <w:t>cenu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pacing w:val="3"/>
                <w:sz w:val="17"/>
              </w:rPr>
              <w:t>díla:</w:t>
              <w:tab/>
            </w:r>
            <w:r>
              <w:rPr>
                <w:i/>
                <w:sz w:val="18"/>
              </w:rPr>
              <w:t>ANO</w:t>
              <w:tab/>
            </w:r>
            <w:r>
              <w:rPr>
                <w:b/>
                <w:sz w:val="17"/>
              </w:rPr>
              <w:t>rozpočet:</w:t>
              <w:tab/>
            </w:r>
            <w:r>
              <w:rPr>
                <w:i/>
                <w:sz w:val="18"/>
              </w:rPr>
              <w:t>v příloze ZL</w:t>
            </w:r>
            <w:r>
              <w:rPr>
                <w:i/>
                <w:spacing w:val="-16"/>
                <w:sz w:val="18"/>
              </w:rPr>
              <w:t> </w:t>
            </w:r>
            <w:r>
              <w:rPr>
                <w:i/>
                <w:sz w:val="18"/>
              </w:rPr>
              <w:t>1</w:t>
            </w:r>
          </w:p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1699" w:val="left" w:leader="none"/>
                <w:tab w:pos="2704" w:val="left" w:leader="none"/>
              </w:tabs>
              <w:ind w:right="226"/>
              <w:jc w:val="right"/>
              <w:rPr>
                <w:b/>
                <w:i/>
                <w:sz w:val="18"/>
              </w:rPr>
            </w:pPr>
            <w:r>
              <w:rPr>
                <w:b/>
                <w:w w:val="105"/>
                <w:sz w:val="17"/>
              </w:rPr>
              <w:t>cena:</w:t>
              <w:tab/>
            </w:r>
            <w:r>
              <w:rPr>
                <w:i/>
                <w:w w:val="105"/>
                <w:sz w:val="15"/>
              </w:rPr>
              <w:t>bez</w:t>
            </w:r>
            <w:r>
              <w:rPr>
                <w:i/>
                <w:spacing w:val="-11"/>
                <w:w w:val="105"/>
                <w:sz w:val="15"/>
              </w:rPr>
              <w:t> </w:t>
            </w:r>
            <w:r>
              <w:rPr>
                <w:i/>
                <w:w w:val="105"/>
                <w:sz w:val="15"/>
              </w:rPr>
              <w:t>DPH</w:t>
              <w:tab/>
            </w:r>
            <w:r>
              <w:rPr>
                <w:b/>
                <w:i/>
                <w:w w:val="105"/>
                <w:sz w:val="18"/>
              </w:rPr>
              <w:t>25</w:t>
            </w:r>
            <w:r>
              <w:rPr>
                <w:b/>
                <w:i/>
                <w:spacing w:val="-15"/>
                <w:w w:val="105"/>
                <w:sz w:val="18"/>
              </w:rPr>
              <w:t> </w:t>
            </w:r>
            <w:r>
              <w:rPr>
                <w:b/>
                <w:i/>
                <w:w w:val="105"/>
                <w:sz w:val="18"/>
              </w:rPr>
              <w:t>163,39</w:t>
            </w:r>
          </w:p>
          <w:p>
            <w:pPr>
              <w:pStyle w:val="TableParagraph"/>
              <w:tabs>
                <w:tab w:pos="1142" w:val="left" w:leader="none"/>
              </w:tabs>
              <w:spacing w:before="16"/>
              <w:ind w:right="214"/>
              <w:jc w:val="right"/>
              <w:rPr>
                <w:i/>
                <w:sz w:val="18"/>
              </w:rPr>
            </w:pPr>
            <w:r>
              <w:rPr>
                <w:i/>
                <w:w w:val="105"/>
                <w:sz w:val="15"/>
              </w:rPr>
              <w:t>21%DPH</w:t>
              <w:tab/>
            </w:r>
            <w:r>
              <w:rPr>
                <w:i/>
                <w:w w:val="105"/>
                <w:sz w:val="18"/>
              </w:rPr>
              <w:t>5</w:t>
            </w:r>
            <w:r>
              <w:rPr>
                <w:i/>
                <w:spacing w:val="-13"/>
                <w:w w:val="105"/>
                <w:sz w:val="18"/>
              </w:rPr>
              <w:t> </w:t>
            </w:r>
            <w:r>
              <w:rPr>
                <w:i/>
                <w:w w:val="105"/>
                <w:sz w:val="18"/>
              </w:rPr>
              <w:t>284,31</w:t>
            </w:r>
          </w:p>
          <w:p>
            <w:pPr>
              <w:pStyle w:val="TableParagraph"/>
              <w:tabs>
                <w:tab w:pos="892" w:val="left" w:leader="none"/>
              </w:tabs>
              <w:spacing w:line="188" w:lineRule="exact" w:before="16"/>
              <w:ind w:right="214"/>
              <w:jc w:val="right"/>
              <w:rPr>
                <w:i/>
                <w:sz w:val="18"/>
              </w:rPr>
            </w:pPr>
            <w:r>
              <w:rPr>
                <w:i/>
                <w:w w:val="105"/>
                <w:sz w:val="15"/>
              </w:rPr>
              <w:t>celkem</w:t>
              <w:tab/>
            </w:r>
            <w:r>
              <w:rPr>
                <w:i/>
                <w:w w:val="105"/>
                <w:sz w:val="18"/>
              </w:rPr>
              <w:t>30</w:t>
            </w:r>
            <w:r>
              <w:rPr>
                <w:i/>
                <w:spacing w:val="-15"/>
                <w:w w:val="105"/>
                <w:sz w:val="18"/>
              </w:rPr>
              <w:t> </w:t>
            </w:r>
            <w:r>
              <w:rPr>
                <w:i/>
                <w:w w:val="105"/>
                <w:sz w:val="18"/>
              </w:rPr>
              <w:t>447,70</w:t>
            </w:r>
          </w:p>
        </w:tc>
        <w:tc>
          <w:tcPr>
            <w:tcW w:w="475" w:type="dxa"/>
            <w:tcBorders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8"/>
              <w:rPr>
                <w:b/>
                <w:sz w:val="24"/>
              </w:rPr>
            </w:pPr>
          </w:p>
          <w:p>
            <w:pPr>
              <w:pStyle w:val="TableParagraph"/>
              <w:spacing w:line="220" w:lineRule="atLeast" w:before="1"/>
              <w:ind w:left="158" w:right="117"/>
              <w:jc w:val="both"/>
              <w:rPr>
                <w:sz w:val="17"/>
              </w:rPr>
            </w:pPr>
            <w:r>
              <w:rPr>
                <w:sz w:val="17"/>
              </w:rPr>
              <w:t>Kč</w:t>
            </w:r>
            <w:r>
              <w:rPr>
                <w:w w:val="100"/>
                <w:sz w:val="17"/>
              </w:rPr>
              <w:t> </w:t>
            </w:r>
            <w:r>
              <w:rPr>
                <w:sz w:val="17"/>
              </w:rPr>
              <w:t>Kč</w:t>
            </w:r>
            <w:r>
              <w:rPr>
                <w:w w:val="100"/>
                <w:sz w:val="17"/>
              </w:rPr>
              <w:t> </w:t>
            </w:r>
            <w:r>
              <w:rPr>
                <w:sz w:val="17"/>
              </w:rPr>
              <w:t>Kč</w:t>
            </w:r>
          </w:p>
        </w:tc>
        <w:tc>
          <w:tcPr>
            <w:tcW w:w="1606" w:type="dxa"/>
            <w:gridSpan w:val="2"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8"/>
              <w:ind w:left="218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vícepráce</w:t>
            </w:r>
          </w:p>
          <w:p>
            <w:pPr>
              <w:pStyle w:val="TableParagraph"/>
              <w:spacing w:before="9"/>
              <w:ind w:left="744"/>
              <w:rPr>
                <w:sz w:val="18"/>
              </w:rPr>
            </w:pPr>
            <w:r>
              <w:rPr>
                <w:w w:val="105"/>
                <w:sz w:val="18"/>
              </w:rPr>
              <w:t>ANO</w:t>
            </w:r>
          </w:p>
        </w:tc>
      </w:tr>
      <w:tr>
        <w:trPr>
          <w:trHeight w:val="649" w:hRule="atLeast"/>
        </w:trPr>
        <w:tc>
          <w:tcPr>
            <w:tcW w:w="8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tabs>
                <w:tab w:pos="5218" w:val="left" w:leader="none"/>
                <w:tab w:pos="6917" w:val="left" w:leader="none"/>
                <w:tab w:pos="7923" w:val="left" w:leader="none"/>
              </w:tabs>
              <w:spacing w:line="190" w:lineRule="exact"/>
              <w:ind w:left="39"/>
              <w:rPr>
                <w:b/>
                <w:i/>
                <w:sz w:val="18"/>
              </w:rPr>
            </w:pPr>
            <w:r>
              <w:rPr>
                <w:b/>
                <w:sz w:val="17"/>
              </w:rPr>
              <w:t>CELKOVÁ BILANCE MÉNĚPRACÍ</w:t>
            </w:r>
            <w:r>
              <w:rPr>
                <w:b/>
                <w:spacing w:val="-16"/>
                <w:sz w:val="17"/>
              </w:rPr>
              <w:t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-10"/>
                <w:sz w:val="17"/>
              </w:rPr>
              <w:t> </w:t>
            </w:r>
            <w:r>
              <w:rPr>
                <w:b/>
                <w:sz w:val="17"/>
              </w:rPr>
              <w:t>VÍCEPRACÍ</w:t>
              <w:tab/>
              <w:t>cena:</w:t>
              <w:tab/>
            </w:r>
            <w:r>
              <w:rPr>
                <w:i/>
                <w:sz w:val="15"/>
              </w:rPr>
              <w:t>bez</w:t>
            </w:r>
            <w:r>
              <w:rPr>
                <w:i/>
                <w:spacing w:val="-1"/>
                <w:sz w:val="15"/>
              </w:rPr>
              <w:t> </w:t>
            </w:r>
            <w:r>
              <w:rPr>
                <w:i/>
                <w:sz w:val="15"/>
              </w:rPr>
              <w:t>DPH</w:t>
              <w:tab/>
            </w:r>
            <w:r>
              <w:rPr>
                <w:b/>
                <w:i/>
                <w:sz w:val="18"/>
              </w:rPr>
              <w:t>25</w:t>
            </w:r>
            <w:r>
              <w:rPr>
                <w:b/>
                <w:i/>
                <w:spacing w:val="25"/>
                <w:sz w:val="18"/>
              </w:rPr>
              <w:t> </w:t>
            </w:r>
            <w:r>
              <w:rPr>
                <w:b/>
                <w:i/>
                <w:sz w:val="18"/>
              </w:rPr>
              <w:t>163,39</w:t>
            </w:r>
          </w:p>
          <w:p>
            <w:pPr>
              <w:pStyle w:val="TableParagraph"/>
              <w:tabs>
                <w:tab w:pos="1142" w:val="left" w:leader="none"/>
              </w:tabs>
              <w:spacing w:before="16"/>
              <w:ind w:right="214"/>
              <w:jc w:val="right"/>
              <w:rPr>
                <w:i/>
                <w:sz w:val="18"/>
              </w:rPr>
            </w:pPr>
            <w:r>
              <w:rPr>
                <w:i/>
                <w:w w:val="105"/>
                <w:sz w:val="15"/>
              </w:rPr>
              <w:t>21%DPH</w:t>
              <w:tab/>
            </w:r>
            <w:r>
              <w:rPr>
                <w:i/>
                <w:w w:val="105"/>
                <w:sz w:val="18"/>
              </w:rPr>
              <w:t>5</w:t>
            </w:r>
            <w:r>
              <w:rPr>
                <w:i/>
                <w:spacing w:val="-13"/>
                <w:w w:val="105"/>
                <w:sz w:val="18"/>
              </w:rPr>
              <w:t> </w:t>
            </w:r>
            <w:r>
              <w:rPr>
                <w:i/>
                <w:w w:val="105"/>
                <w:sz w:val="18"/>
              </w:rPr>
              <w:t>284,31</w:t>
            </w:r>
          </w:p>
          <w:p>
            <w:pPr>
              <w:pStyle w:val="TableParagraph"/>
              <w:tabs>
                <w:tab w:pos="892" w:val="left" w:leader="none"/>
              </w:tabs>
              <w:spacing w:line="200" w:lineRule="exact" w:before="16"/>
              <w:ind w:right="214"/>
              <w:jc w:val="right"/>
              <w:rPr>
                <w:i/>
                <w:sz w:val="18"/>
              </w:rPr>
            </w:pPr>
            <w:r>
              <w:rPr>
                <w:i/>
                <w:w w:val="105"/>
                <w:sz w:val="15"/>
              </w:rPr>
              <w:t>celkem</w:t>
              <w:tab/>
            </w:r>
            <w:r>
              <w:rPr>
                <w:i/>
                <w:w w:val="105"/>
                <w:sz w:val="18"/>
              </w:rPr>
              <w:t>30</w:t>
            </w:r>
            <w:r>
              <w:rPr>
                <w:i/>
                <w:spacing w:val="-15"/>
                <w:w w:val="105"/>
                <w:sz w:val="18"/>
              </w:rPr>
              <w:t> </w:t>
            </w:r>
            <w:r>
              <w:rPr>
                <w:i/>
                <w:w w:val="105"/>
                <w:sz w:val="18"/>
              </w:rPr>
              <w:t>447,70</w:t>
            </w:r>
          </w:p>
        </w:tc>
        <w:tc>
          <w:tcPr>
            <w:tcW w:w="4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188" w:lineRule="exact"/>
              <w:ind w:left="158"/>
              <w:rPr>
                <w:sz w:val="17"/>
              </w:rPr>
            </w:pPr>
            <w:r>
              <w:rPr>
                <w:sz w:val="17"/>
              </w:rPr>
              <w:t>Kč</w:t>
            </w:r>
          </w:p>
          <w:p>
            <w:pPr>
              <w:pStyle w:val="TableParagraph"/>
              <w:spacing w:line="220" w:lineRule="atLeast" w:before="3"/>
              <w:ind w:left="158" w:right="98"/>
              <w:rPr>
                <w:sz w:val="17"/>
              </w:rPr>
            </w:pPr>
            <w:r>
              <w:rPr>
                <w:sz w:val="17"/>
              </w:rPr>
              <w:t>Kč</w:t>
            </w:r>
            <w:r>
              <w:rPr>
                <w:spacing w:val="-1"/>
                <w:w w:val="100"/>
                <w:sz w:val="17"/>
              </w:rPr>
              <w:t> </w:t>
            </w:r>
            <w:r>
              <w:rPr>
                <w:sz w:val="17"/>
              </w:rPr>
              <w:t>Kč</w:t>
            </w:r>
          </w:p>
        </w:tc>
        <w:tc>
          <w:tcPr>
            <w:tcW w:w="160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18" w:hRule="atLeast"/>
        </w:trPr>
        <w:tc>
          <w:tcPr>
            <w:tcW w:w="11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8" w:lineRule="exact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vliv na termín dokončení:</w:t>
            </w:r>
          </w:p>
          <w:p>
            <w:pPr>
              <w:pStyle w:val="TableParagraph"/>
              <w:spacing w:before="119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Práce nemají vliv na termín dokončení díla.</w:t>
            </w:r>
          </w:p>
        </w:tc>
      </w:tr>
      <w:tr>
        <w:trPr>
          <w:trHeight w:val="486" w:hRule="atLeast"/>
        </w:trPr>
        <w:tc>
          <w:tcPr>
            <w:tcW w:w="11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8" w:lineRule="exact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jiné vlivy (na změnu PD apod.):</w:t>
            </w:r>
          </w:p>
          <w:p>
            <w:pPr>
              <w:pStyle w:val="TableParagraph"/>
              <w:spacing w:before="49"/>
              <w:ind w:left="39"/>
              <w:rPr>
                <w:sz w:val="17"/>
              </w:rPr>
            </w:pPr>
            <w:r>
              <w:rPr>
                <w:sz w:val="17"/>
              </w:rPr>
              <w:t>Změna nevyžaduje provedení změny ve výkresové dokumentaci.</w:t>
            </w:r>
          </w:p>
        </w:tc>
      </w:tr>
      <w:tr>
        <w:trPr>
          <w:trHeight w:val="735" w:hRule="atLeast"/>
        </w:trPr>
        <w:tc>
          <w:tcPr>
            <w:tcW w:w="11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9137" w:val="left" w:leader="none"/>
              </w:tabs>
              <w:spacing w:line="188" w:lineRule="exact"/>
              <w:ind w:left="39"/>
              <w:rPr>
                <w:sz w:val="17"/>
              </w:rPr>
            </w:pPr>
            <w:r>
              <w:rPr>
                <w:b/>
                <w:spacing w:val="6"/>
                <w:sz w:val="17"/>
              </w:rPr>
              <w:t>přílohy</w:t>
            </w:r>
            <w:r>
              <w:rPr>
                <w:b/>
                <w:spacing w:val="-16"/>
                <w:sz w:val="17"/>
              </w:rPr>
              <w:t> </w:t>
            </w:r>
            <w:r>
              <w:rPr>
                <w:b/>
                <w:sz w:val="17"/>
              </w:rPr>
              <w:t>:</w:t>
              <w:tab/>
            </w:r>
            <w:r>
              <w:rPr>
                <w:sz w:val="17"/>
              </w:rPr>
              <w:t>počet</w:t>
            </w:r>
            <w:r>
              <w:rPr>
                <w:spacing w:val="46"/>
                <w:sz w:val="17"/>
              </w:rPr>
              <w:t> </w:t>
            </w:r>
            <w:r>
              <w:rPr>
                <w:sz w:val="17"/>
              </w:rPr>
              <w:t>formát</w:t>
            </w:r>
          </w:p>
          <w:p>
            <w:pPr>
              <w:pStyle w:val="TableParagraph"/>
              <w:tabs>
                <w:tab w:pos="9118" w:val="left" w:leader="none"/>
                <w:tab w:pos="10299" w:val="left" w:leader="none"/>
              </w:tabs>
              <w:spacing w:before="15"/>
              <w:ind w:left="39"/>
              <w:rPr>
                <w:sz w:val="17"/>
              </w:rPr>
            </w:pPr>
            <w:r>
              <w:rPr>
                <w:b/>
                <w:spacing w:val="5"/>
                <w:sz w:val="17"/>
              </w:rPr>
              <w:t>Příloha</w:t>
            </w:r>
            <w:r>
              <w:rPr>
                <w:b/>
                <w:spacing w:val="-19"/>
                <w:sz w:val="17"/>
              </w:rPr>
              <w:t> </w:t>
            </w:r>
            <w:r>
              <w:rPr>
                <w:b/>
                <w:spacing w:val="4"/>
                <w:sz w:val="17"/>
              </w:rPr>
              <w:t>č.</w:t>
            </w:r>
            <w:r>
              <w:rPr>
                <w:b/>
                <w:spacing w:val="-18"/>
                <w:sz w:val="17"/>
              </w:rPr>
              <w:t> </w:t>
            </w:r>
            <w:r>
              <w:rPr>
                <w:b/>
                <w:sz w:val="17"/>
              </w:rPr>
              <w:t>1</w:t>
            </w:r>
            <w:r>
              <w:rPr>
                <w:b/>
                <w:spacing w:val="-19"/>
                <w:sz w:val="17"/>
              </w:rPr>
              <w:t> </w:t>
            </w:r>
            <w:r>
              <w:rPr>
                <w:b/>
                <w:sz w:val="17"/>
              </w:rPr>
              <w:t>-</w:t>
            </w:r>
            <w:r>
              <w:rPr>
                <w:b/>
                <w:spacing w:val="-18"/>
                <w:sz w:val="17"/>
              </w:rPr>
              <w:t> </w:t>
            </w:r>
            <w:r>
              <w:rPr>
                <w:b/>
                <w:spacing w:val="5"/>
                <w:sz w:val="17"/>
              </w:rPr>
              <w:t>Položkový</w:t>
            </w:r>
            <w:r>
              <w:rPr>
                <w:b/>
                <w:spacing w:val="-13"/>
                <w:sz w:val="17"/>
              </w:rPr>
              <w:t> </w:t>
            </w:r>
            <w:r>
              <w:rPr>
                <w:b/>
                <w:spacing w:val="7"/>
                <w:sz w:val="17"/>
              </w:rPr>
              <w:t>soupis</w:t>
            </w:r>
            <w:r>
              <w:rPr>
                <w:b/>
                <w:spacing w:val="-13"/>
                <w:sz w:val="17"/>
              </w:rPr>
              <w:t> </w:t>
            </w:r>
            <w:r>
              <w:rPr>
                <w:b/>
                <w:spacing w:val="4"/>
                <w:sz w:val="17"/>
              </w:rPr>
              <w:t>prací,</w:t>
            </w:r>
            <w:r>
              <w:rPr>
                <w:b/>
                <w:spacing w:val="-17"/>
                <w:sz w:val="17"/>
              </w:rPr>
              <w:t> </w:t>
            </w:r>
            <w:r>
              <w:rPr>
                <w:b/>
                <w:sz w:val="17"/>
              </w:rPr>
              <w:t>ZL</w:t>
            </w:r>
            <w:r>
              <w:rPr>
                <w:b/>
                <w:spacing w:val="-13"/>
                <w:sz w:val="17"/>
              </w:rPr>
              <w:t> </w:t>
            </w:r>
            <w:r>
              <w:rPr>
                <w:b/>
                <w:sz w:val="17"/>
              </w:rPr>
              <w:t>2</w:t>
              <w:tab/>
            </w:r>
            <w:r>
              <w:rPr>
                <w:sz w:val="15"/>
              </w:rPr>
              <w:t>1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strana</w:t>
              <w:tab/>
            </w:r>
            <w:r>
              <w:rPr>
                <w:sz w:val="17"/>
              </w:rPr>
              <w:t>A4</w:t>
            </w:r>
          </w:p>
        </w:tc>
      </w:tr>
      <w:tr>
        <w:trPr>
          <w:trHeight w:val="810" w:hRule="atLeast"/>
        </w:trPr>
        <w:tc>
          <w:tcPr>
            <w:tcW w:w="8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tabs>
                <w:tab w:pos="3607" w:val="left" w:leader="none"/>
              </w:tabs>
              <w:spacing w:line="188" w:lineRule="exact"/>
              <w:ind w:left="39"/>
              <w:rPr>
                <w:sz w:val="17"/>
              </w:rPr>
            </w:pPr>
            <w:r>
              <w:rPr>
                <w:b/>
                <w:sz w:val="17"/>
              </w:rPr>
              <w:t>Vyjádření</w:t>
            </w:r>
            <w:r>
              <w:rPr>
                <w:b/>
                <w:spacing w:val="-4"/>
                <w:sz w:val="17"/>
              </w:rPr>
              <w:t> </w:t>
            </w:r>
            <w:r>
              <w:rPr>
                <w:b/>
                <w:sz w:val="17"/>
              </w:rPr>
              <w:t>zhotovitele:</w:t>
              <w:tab/>
            </w:r>
            <w:r>
              <w:rPr>
                <w:sz w:val="17"/>
              </w:rPr>
              <w:t>BOLID M s.r.o. - Oldřich Albrecht</w:t>
            </w: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39"/>
              <w:rPr>
                <w:sz w:val="17"/>
              </w:rPr>
            </w:pPr>
            <w:r>
              <w:rPr>
                <w:sz w:val="17"/>
              </w:rPr>
              <w:t>Zhotovitel akceptuje provedení změn na základě rozhodnutí zadavatele.</w:t>
            </w:r>
          </w:p>
          <w:p>
            <w:pPr>
              <w:pStyle w:val="TableParagraph"/>
              <w:spacing w:line="179" w:lineRule="exact" w:before="16"/>
              <w:ind w:left="7620"/>
              <w:rPr>
                <w:sz w:val="17"/>
              </w:rPr>
            </w:pPr>
            <w:r>
              <w:rPr>
                <w:sz w:val="17"/>
              </w:rPr>
              <w:t>Datum a podpis:</w:t>
            </w:r>
          </w:p>
        </w:tc>
        <w:tc>
          <w:tcPr>
            <w:tcW w:w="4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8" w:lineRule="exact"/>
              <w:ind w:left="744"/>
              <w:rPr>
                <w:sz w:val="17"/>
              </w:rPr>
            </w:pPr>
            <w:r>
              <w:rPr>
                <w:sz w:val="17"/>
              </w:rPr>
              <w:t>14.08.2026</w:t>
            </w:r>
          </w:p>
        </w:tc>
      </w:tr>
      <w:tr>
        <w:trPr>
          <w:trHeight w:val="1050" w:hRule="atLeast"/>
        </w:trPr>
        <w:tc>
          <w:tcPr>
            <w:tcW w:w="8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tabs>
                <w:tab w:pos="3607" w:val="left" w:leader="none"/>
              </w:tabs>
              <w:spacing w:before="35"/>
              <w:ind w:left="39"/>
              <w:rPr>
                <w:sz w:val="17"/>
              </w:rPr>
            </w:pPr>
            <w:r>
              <w:rPr>
                <w:b/>
                <w:sz w:val="17"/>
              </w:rPr>
              <w:t>Vyjádření</w:t>
            </w:r>
            <w:r>
              <w:rPr>
                <w:b/>
                <w:spacing w:val="-2"/>
                <w:sz w:val="17"/>
              </w:rPr>
              <w:t> </w:t>
            </w:r>
            <w:r>
              <w:rPr>
                <w:b/>
                <w:sz w:val="17"/>
              </w:rPr>
              <w:t>TDS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:</w:t>
              <w:tab/>
            </w:r>
            <w:r>
              <w:rPr>
                <w:sz w:val="17"/>
              </w:rPr>
              <w:t>Ing. Jiří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Mach</w:t>
            </w: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spacing w:line="259" w:lineRule="auto"/>
              <w:ind w:left="39" w:right="1022"/>
              <w:rPr>
                <w:sz w:val="17"/>
              </w:rPr>
            </w:pPr>
            <w:r>
              <w:rPr>
                <w:sz w:val="17"/>
              </w:rPr>
              <w:t>TDS prověřil potřebu prováděných změn a následně prověřil hodnotové nacenění změn jednotlivých položek rozpočtu.</w:t>
            </w:r>
          </w:p>
          <w:p>
            <w:pPr>
              <w:pStyle w:val="TableParagraph"/>
              <w:spacing w:line="169" w:lineRule="exact"/>
              <w:ind w:left="7620"/>
              <w:rPr>
                <w:sz w:val="17"/>
              </w:rPr>
            </w:pPr>
            <w:r>
              <w:rPr>
                <w:sz w:val="17"/>
              </w:rPr>
              <w:t>Datum a podpis:</w:t>
            </w:r>
          </w:p>
        </w:tc>
        <w:tc>
          <w:tcPr>
            <w:tcW w:w="4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5"/>
              <w:ind w:left="744"/>
              <w:rPr>
                <w:sz w:val="17"/>
              </w:rPr>
            </w:pPr>
            <w:r>
              <w:rPr>
                <w:sz w:val="17"/>
              </w:rPr>
              <w:t>14.08.2026</w:t>
            </w:r>
          </w:p>
        </w:tc>
      </w:tr>
      <w:tr>
        <w:trPr>
          <w:trHeight w:val="932" w:hRule="atLeast"/>
        </w:trPr>
        <w:tc>
          <w:tcPr>
            <w:tcW w:w="8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tabs>
                <w:tab w:pos="3607" w:val="left" w:leader="none"/>
              </w:tabs>
              <w:spacing w:before="37"/>
              <w:ind w:left="39"/>
              <w:rPr>
                <w:sz w:val="17"/>
              </w:rPr>
            </w:pPr>
            <w:r>
              <w:rPr>
                <w:b/>
                <w:spacing w:val="4"/>
                <w:w w:val="95"/>
                <w:position w:val="3"/>
                <w:sz w:val="17"/>
              </w:rPr>
              <w:t>Vyjádření</w:t>
            </w:r>
            <w:r>
              <w:rPr>
                <w:b/>
                <w:spacing w:val="-4"/>
                <w:w w:val="95"/>
                <w:position w:val="3"/>
                <w:sz w:val="17"/>
              </w:rPr>
              <w:t> </w:t>
            </w:r>
            <w:r>
              <w:rPr>
                <w:b/>
                <w:spacing w:val="4"/>
                <w:w w:val="95"/>
                <w:position w:val="3"/>
                <w:sz w:val="17"/>
              </w:rPr>
              <w:t>objednatele:</w:t>
              <w:tab/>
            </w:r>
            <w:r>
              <w:rPr>
                <w:sz w:val="17"/>
              </w:rPr>
              <w:t>NPÚ-ÚPS Ústí nad Labem - Bc. Jitka Márová,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DiS.</w:t>
            </w:r>
          </w:p>
          <w:p>
            <w:pPr>
              <w:pStyle w:val="TableParagraph"/>
              <w:spacing w:line="210" w:lineRule="atLeast" w:before="118"/>
              <w:ind w:left="39" w:right="1022"/>
              <w:rPr>
                <w:sz w:val="17"/>
              </w:rPr>
            </w:pPr>
            <w:r>
              <w:rPr>
                <w:sz w:val="17"/>
              </w:rPr>
              <w:t>Souhlasím s realizací změny dle přiloženého rozpočtu. Rozsah předmětného plnění odpovídá skutečnosti.</w:t>
            </w:r>
          </w:p>
          <w:p>
            <w:pPr>
              <w:pStyle w:val="TableParagraph"/>
              <w:spacing w:line="112" w:lineRule="exact"/>
              <w:ind w:left="7620"/>
              <w:rPr>
                <w:sz w:val="17"/>
              </w:rPr>
            </w:pPr>
            <w:r>
              <w:rPr>
                <w:sz w:val="17"/>
              </w:rPr>
              <w:t>Datum a podpis:</w:t>
            </w:r>
          </w:p>
        </w:tc>
        <w:tc>
          <w:tcPr>
            <w:tcW w:w="4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7"/>
              <w:ind w:left="744"/>
              <w:rPr>
                <w:sz w:val="17"/>
              </w:rPr>
            </w:pPr>
            <w:r>
              <w:rPr>
                <w:sz w:val="17"/>
              </w:rPr>
              <w:t>14.08.2026</w:t>
            </w:r>
          </w:p>
        </w:tc>
      </w:tr>
    </w:tbl>
    <w:p>
      <w:pPr>
        <w:spacing w:after="0"/>
        <w:rPr>
          <w:sz w:val="17"/>
        </w:rPr>
        <w:sectPr>
          <w:type w:val="continuous"/>
          <w:pgSz w:w="11910" w:h="16840"/>
          <w:pgMar w:top="360" w:bottom="0" w:left="340" w:right="220"/>
        </w:sectPr>
      </w:pPr>
    </w:p>
    <w:p>
      <w:pPr>
        <w:pStyle w:val="BodyText"/>
        <w:spacing w:before="78" w:after="12"/>
        <w:ind w:left="3270" w:right="3451"/>
        <w:jc w:val="center"/>
      </w:pPr>
      <w:bookmarkStart w:name="Kalkulace" w:id="2"/>
      <w:bookmarkEnd w:id="2"/>
      <w:r>
        <w:rPr>
          <w:b w:val="0"/>
        </w:rPr>
      </w:r>
      <w:r>
        <w:rPr/>
        <w:t>Příloha č. 1 - Položkový soupis prací, ZL 2</w:t>
      </w:r>
    </w:p>
    <w:tbl>
      <w:tblPr>
        <w:tblW w:w="0" w:type="auto"/>
        <w:jc w:val="left"/>
        <w:tblInd w:w="6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5"/>
        <w:gridCol w:w="1089"/>
        <w:gridCol w:w="8329"/>
      </w:tblGrid>
      <w:tr>
        <w:trPr>
          <w:trHeight w:val="443" w:hRule="atLeast"/>
        </w:trPr>
        <w:tc>
          <w:tcPr>
            <w:tcW w:w="365" w:type="dxa"/>
          </w:tcPr>
          <w:p>
            <w:pPr>
              <w:pStyle w:val="TableParagraph"/>
              <w:spacing w:before="111"/>
              <w:ind w:left="35"/>
              <w:rPr>
                <w:sz w:val="19"/>
              </w:rPr>
            </w:pPr>
            <w:r>
              <w:rPr>
                <w:sz w:val="19"/>
              </w:rPr>
              <w:t>S:</w:t>
            </w:r>
          </w:p>
        </w:tc>
        <w:tc>
          <w:tcPr>
            <w:tcW w:w="1089" w:type="dxa"/>
            <w:tcBorders>
              <w:right w:val="nil"/>
            </w:tcBorders>
          </w:tcPr>
          <w:p>
            <w:pPr>
              <w:pStyle w:val="TableParagraph"/>
              <w:spacing w:before="111"/>
              <w:ind w:left="35"/>
              <w:rPr>
                <w:sz w:val="19"/>
              </w:rPr>
            </w:pPr>
            <w:r>
              <w:rPr>
                <w:sz w:val="19"/>
              </w:rPr>
              <w:t>1043_D1</w:t>
            </w:r>
          </w:p>
        </w:tc>
        <w:tc>
          <w:tcPr>
            <w:tcW w:w="8329" w:type="dxa"/>
            <w:tcBorders>
              <w:left w:val="nil"/>
            </w:tcBorders>
          </w:tcPr>
          <w:p>
            <w:pPr>
              <w:pStyle w:val="TableParagraph"/>
              <w:spacing w:before="102"/>
              <w:ind w:left="288"/>
              <w:rPr>
                <w:sz w:val="19"/>
              </w:rPr>
            </w:pPr>
            <w:r>
              <w:rPr>
                <w:sz w:val="19"/>
              </w:rPr>
              <w:t>SZ Březnice DODATEK 1</w:t>
            </w:r>
          </w:p>
        </w:tc>
      </w:tr>
      <w:tr>
        <w:trPr>
          <w:trHeight w:val="443" w:hRule="atLeast"/>
        </w:trPr>
        <w:tc>
          <w:tcPr>
            <w:tcW w:w="365" w:type="dxa"/>
          </w:tcPr>
          <w:p>
            <w:pPr>
              <w:pStyle w:val="TableParagraph"/>
              <w:spacing w:before="112"/>
              <w:ind w:left="35"/>
              <w:rPr>
                <w:sz w:val="19"/>
              </w:rPr>
            </w:pPr>
            <w:r>
              <w:rPr>
                <w:sz w:val="19"/>
              </w:rPr>
              <w:t>O:</w:t>
            </w:r>
          </w:p>
        </w:tc>
        <w:tc>
          <w:tcPr>
            <w:tcW w:w="1089" w:type="dxa"/>
            <w:tcBorders>
              <w:right w:val="nil"/>
            </w:tcBorders>
          </w:tcPr>
          <w:p>
            <w:pPr>
              <w:pStyle w:val="TableParagraph"/>
              <w:spacing w:before="112"/>
              <w:ind w:left="35"/>
              <w:rPr>
                <w:sz w:val="19"/>
              </w:rPr>
            </w:pPr>
            <w:r>
              <w:rPr>
                <w:sz w:val="19"/>
              </w:rPr>
              <w:t>02</w:t>
            </w:r>
          </w:p>
        </w:tc>
        <w:tc>
          <w:tcPr>
            <w:tcW w:w="8329" w:type="dxa"/>
            <w:tcBorders>
              <w:left w:val="nil"/>
            </w:tcBorders>
          </w:tcPr>
          <w:p>
            <w:pPr>
              <w:pStyle w:val="TableParagraph"/>
              <w:spacing w:before="102"/>
              <w:ind w:left="288"/>
              <w:rPr>
                <w:sz w:val="19"/>
              </w:rPr>
            </w:pPr>
            <w:r>
              <w:rPr>
                <w:sz w:val="19"/>
              </w:rPr>
              <w:t>Provizorní zastřešení</w:t>
            </w:r>
          </w:p>
        </w:tc>
      </w:tr>
      <w:tr>
        <w:trPr>
          <w:trHeight w:val="443" w:hRule="atLeast"/>
        </w:trPr>
        <w:tc>
          <w:tcPr>
            <w:tcW w:w="365" w:type="dxa"/>
            <w:shd w:val="clear" w:color="auto" w:fill="D5E0ED"/>
          </w:tcPr>
          <w:p>
            <w:pPr>
              <w:pStyle w:val="TableParagraph"/>
              <w:spacing w:before="112"/>
              <w:ind w:left="35"/>
              <w:rPr>
                <w:sz w:val="19"/>
              </w:rPr>
            </w:pPr>
            <w:r>
              <w:rPr>
                <w:sz w:val="19"/>
              </w:rPr>
              <w:t>R:</w:t>
            </w:r>
          </w:p>
        </w:tc>
        <w:tc>
          <w:tcPr>
            <w:tcW w:w="1089" w:type="dxa"/>
            <w:tcBorders>
              <w:right w:val="nil"/>
            </w:tcBorders>
            <w:shd w:val="clear" w:color="auto" w:fill="D5E0ED"/>
          </w:tcPr>
          <w:p>
            <w:pPr>
              <w:pStyle w:val="TableParagraph"/>
              <w:spacing w:before="112"/>
              <w:ind w:left="35"/>
              <w:rPr>
                <w:sz w:val="19"/>
              </w:rPr>
            </w:pPr>
            <w:r>
              <w:rPr>
                <w:sz w:val="19"/>
              </w:rPr>
              <w:t>002</w:t>
            </w:r>
          </w:p>
        </w:tc>
        <w:tc>
          <w:tcPr>
            <w:tcW w:w="8329" w:type="dxa"/>
            <w:tcBorders>
              <w:left w:val="nil"/>
            </w:tcBorders>
            <w:shd w:val="clear" w:color="auto" w:fill="D5E0ED"/>
          </w:tcPr>
          <w:p>
            <w:pPr>
              <w:pStyle w:val="TableParagraph"/>
              <w:spacing w:before="102"/>
              <w:ind w:left="288"/>
              <w:rPr>
                <w:sz w:val="19"/>
              </w:rPr>
            </w:pPr>
            <w:r>
              <w:rPr>
                <w:sz w:val="19"/>
              </w:rPr>
              <w:t>Vícepráce dle nové PD, zápisu z KD a nových nálezových stavů</w:t>
            </w:r>
          </w:p>
        </w:tc>
      </w:tr>
    </w:tbl>
    <w:p>
      <w:pPr>
        <w:spacing w:line="240" w:lineRule="auto" w:before="11" w:after="0"/>
        <w:rPr>
          <w:b/>
          <w:sz w:val="18"/>
        </w:rPr>
      </w:pPr>
    </w:p>
    <w:tbl>
      <w:tblPr>
        <w:tblW w:w="0" w:type="auto"/>
        <w:jc w:val="left"/>
        <w:tblInd w:w="6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5"/>
        <w:gridCol w:w="1332"/>
        <w:gridCol w:w="4058"/>
        <w:gridCol w:w="513"/>
        <w:gridCol w:w="1120"/>
        <w:gridCol w:w="1043"/>
        <w:gridCol w:w="1348"/>
      </w:tblGrid>
      <w:tr>
        <w:trPr>
          <w:trHeight w:val="692" w:hRule="atLeast"/>
        </w:trPr>
        <w:tc>
          <w:tcPr>
            <w:tcW w:w="365" w:type="dxa"/>
            <w:shd w:val="clear" w:color="auto" w:fill="DBDBDB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line="203" w:lineRule="exact"/>
              <w:ind w:right="-29"/>
              <w:jc w:val="right"/>
              <w:rPr>
                <w:sz w:val="19"/>
              </w:rPr>
            </w:pPr>
            <w:r>
              <w:rPr>
                <w:sz w:val="19"/>
              </w:rPr>
              <w:t>P.č.</w:t>
            </w:r>
          </w:p>
        </w:tc>
        <w:tc>
          <w:tcPr>
            <w:tcW w:w="1332" w:type="dxa"/>
            <w:shd w:val="clear" w:color="auto" w:fill="DBDBDB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line="203" w:lineRule="exact"/>
              <w:ind w:left="35"/>
              <w:rPr>
                <w:sz w:val="19"/>
              </w:rPr>
            </w:pPr>
            <w:r>
              <w:rPr>
                <w:sz w:val="19"/>
              </w:rPr>
              <w:t>Číslo položky</w:t>
            </w:r>
          </w:p>
        </w:tc>
        <w:tc>
          <w:tcPr>
            <w:tcW w:w="4058" w:type="dxa"/>
            <w:shd w:val="clear" w:color="auto" w:fill="DBDBDB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line="203" w:lineRule="exact"/>
              <w:ind w:left="35"/>
              <w:rPr>
                <w:sz w:val="19"/>
              </w:rPr>
            </w:pPr>
            <w:r>
              <w:rPr>
                <w:sz w:val="19"/>
              </w:rPr>
              <w:t>Název položky</w:t>
            </w:r>
          </w:p>
        </w:tc>
        <w:tc>
          <w:tcPr>
            <w:tcW w:w="513" w:type="dxa"/>
            <w:shd w:val="clear" w:color="auto" w:fill="DBDBDB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line="203" w:lineRule="exact"/>
              <w:ind w:right="97"/>
              <w:jc w:val="right"/>
              <w:rPr>
                <w:sz w:val="19"/>
              </w:rPr>
            </w:pPr>
            <w:r>
              <w:rPr>
                <w:sz w:val="19"/>
              </w:rPr>
              <w:t>MJ</w:t>
            </w:r>
          </w:p>
        </w:tc>
        <w:tc>
          <w:tcPr>
            <w:tcW w:w="1120" w:type="dxa"/>
            <w:shd w:val="clear" w:color="auto" w:fill="DBDBDB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line="203" w:lineRule="exact"/>
              <w:ind w:left="36"/>
              <w:rPr>
                <w:sz w:val="19"/>
              </w:rPr>
            </w:pPr>
            <w:r>
              <w:rPr>
                <w:sz w:val="19"/>
              </w:rPr>
              <w:t>Množství</w:t>
            </w:r>
          </w:p>
        </w:tc>
        <w:tc>
          <w:tcPr>
            <w:tcW w:w="1043" w:type="dxa"/>
            <w:shd w:val="clear" w:color="auto" w:fill="DBDBDB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line="203" w:lineRule="exact"/>
              <w:ind w:left="37"/>
              <w:rPr>
                <w:sz w:val="19"/>
              </w:rPr>
            </w:pPr>
            <w:r>
              <w:rPr>
                <w:sz w:val="19"/>
              </w:rPr>
              <w:t>Cena / MJ</w:t>
            </w:r>
          </w:p>
        </w:tc>
        <w:tc>
          <w:tcPr>
            <w:tcW w:w="1348" w:type="dxa"/>
            <w:shd w:val="clear" w:color="auto" w:fill="DBDBDB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line="203" w:lineRule="exact"/>
              <w:ind w:left="38"/>
              <w:rPr>
                <w:sz w:val="19"/>
              </w:rPr>
            </w:pPr>
            <w:r>
              <w:rPr>
                <w:sz w:val="19"/>
              </w:rPr>
              <w:t>Celkem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nil"/>
            </w:tcBorders>
            <w:shd w:val="clear" w:color="auto" w:fill="D5E0ED"/>
          </w:tcPr>
          <w:p>
            <w:pPr>
              <w:pStyle w:val="TableParagraph"/>
              <w:spacing w:line="189" w:lineRule="exact" w:before="8"/>
              <w:ind w:right="19"/>
              <w:jc w:val="righ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Díl:</w:t>
            </w:r>
          </w:p>
        </w:tc>
        <w:tc>
          <w:tcPr>
            <w:tcW w:w="1332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89" w:lineRule="exact" w:before="8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765</w:t>
            </w:r>
          </w:p>
        </w:tc>
        <w:tc>
          <w:tcPr>
            <w:tcW w:w="4058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91" w:lineRule="exact" w:before="6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Krytiny tvrdé</w:t>
            </w:r>
          </w:p>
        </w:tc>
        <w:tc>
          <w:tcPr>
            <w:tcW w:w="51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</w:tcBorders>
            <w:shd w:val="clear" w:color="auto" w:fill="D5E0ED"/>
          </w:tcPr>
          <w:p>
            <w:pPr>
              <w:pStyle w:val="TableParagraph"/>
              <w:spacing w:line="189" w:lineRule="exact" w:before="8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25 163,39</w:t>
            </w:r>
          </w:p>
        </w:tc>
      </w:tr>
      <w:tr>
        <w:trPr>
          <w:trHeight w:val="606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765192001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273" w:lineRule="auto" w:before="3"/>
              <w:ind w:left="30"/>
              <w:rPr>
                <w:sz w:val="15"/>
              </w:rPr>
            </w:pPr>
            <w:r>
              <w:rPr>
                <w:sz w:val="15"/>
              </w:rPr>
              <w:t>Ochranná střecha vodotěsná, po částech - konstrukce vč.krytiny a vodotěsného zakrytí svislých ploch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13"/>
              <w:jc w:val="right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112,60000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215,00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24 209,00</w:t>
            </w:r>
          </w:p>
        </w:tc>
      </w:tr>
      <w:tr>
        <w:trPr>
          <w:trHeight w:val="209" w:hRule="atLeast"/>
        </w:trPr>
        <w:tc>
          <w:tcPr>
            <w:tcW w:w="36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3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terasa : 39,00</w:t>
            </w:r>
          </w:p>
        </w:tc>
        <w:tc>
          <w:tcPr>
            <w:tcW w:w="51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3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39,00000</w:t>
            </w:r>
          </w:p>
        </w:tc>
        <w:tc>
          <w:tcPr>
            <w:tcW w:w="104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31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etapa 4-5 : 47,60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31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47,60000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6" w:hRule="atLeast"/>
        </w:trPr>
        <w:tc>
          <w:tcPr>
            <w:tcW w:w="36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5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31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svislé plochy : 2*2*6,50</w:t>
            </w:r>
          </w:p>
        </w:tc>
        <w:tc>
          <w:tcPr>
            <w:tcW w:w="51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31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26,00000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2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998765202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Přesun hmot procentní pro krytiny skládané v objektech v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přes 6 do 12 m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57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%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2,93000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325,73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954,39</w:t>
            </w:r>
          </w:p>
        </w:tc>
      </w:tr>
    </w:tbl>
    <w:sectPr>
      <w:pgSz w:w="11910" w:h="16840"/>
      <w:pgMar w:top="1060" w:bottom="280" w:left="34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s-CZ" w:eastAsia="cs-CZ" w:bidi="cs-CZ"/>
    </w:rPr>
  </w:style>
  <w:style w:styleId="BodyText" w:type="paragraph">
    <w:name w:val="Body Text"/>
    <w:basedOn w:val="Normal"/>
    <w:uiPriority w:val="1"/>
    <w:qFormat/>
    <w:pPr>
      <w:spacing w:before="0"/>
    </w:pPr>
    <w:rPr>
      <w:rFonts w:ascii="Arial" w:hAnsi="Arial" w:eastAsia="Arial" w:cs="Arial"/>
      <w:b/>
      <w:bCs/>
      <w:sz w:val="23"/>
      <w:szCs w:val="23"/>
      <w:lang w:val="cs-CZ" w:eastAsia="cs-CZ" w:bidi="cs-CZ"/>
    </w:rPr>
  </w:style>
  <w:style w:styleId="ListParagraph" w:type="paragraph">
    <w:name w:val="List Paragraph"/>
    <w:basedOn w:val="Normal"/>
    <w:uiPriority w:val="1"/>
    <w:qFormat/>
    <w:pPr/>
    <w:rPr>
      <w:lang w:val="cs-CZ" w:eastAsia="cs-CZ" w:bidi="cs-CZ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cs-CZ" w:eastAsia="cs-CZ" w:bidi="cs-CZ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Mrazek</dc:creator>
  <dcterms:created xsi:type="dcterms:W3CDTF">2026-10-06T11:32:20Z</dcterms:created>
  <dcterms:modified xsi:type="dcterms:W3CDTF">2026-10-06T11:32:20Z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Creator">
    <vt:lpwstr>Acrobat PDFMaker 20 pro Excel</vt:lpwstr>
  </property>
  <property fmtid="{D5CDD505-2E9C-101B-9397-08002B2CF9AE}" pid="4" name="LastSaved">
    <vt:filetime>2026-10-06T00:00:00Z</vt:filetime>
  </property>
</Properties>
</file>