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3" w:after="23"/>
        <w:ind w:left="3270" w:right="3275" w:firstLine="0"/>
        <w:jc w:val="center"/>
        <w:rPr>
          <w:b/>
          <w:sz w:val="37"/>
        </w:rPr>
      </w:pPr>
      <w:bookmarkStart w:name="Krycí list" w:id="1"/>
      <w:bookmarkEnd w:id="1"/>
      <w:r>
        <w:rPr/>
      </w:r>
      <w:r>
        <w:rPr>
          <w:b/>
          <w:sz w:val="37"/>
        </w:rPr>
        <w:t>ZMĚNOVÝ LIST</w:t>
      </w:r>
    </w:p>
    <w:tbl>
      <w:tblPr>
        <w:tblW w:w="0" w:type="auto"/>
        <w:jc w:val="left"/>
        <w:tblInd w:w="1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72"/>
        <w:gridCol w:w="7917"/>
        <w:gridCol w:w="475"/>
        <w:gridCol w:w="237"/>
        <w:gridCol w:w="1369"/>
      </w:tblGrid>
      <w:tr>
        <w:trPr>
          <w:trHeight w:val="576" w:hRule="atLeast"/>
        </w:trPr>
        <w:tc>
          <w:tcPr>
            <w:tcW w:w="11070" w:type="dxa"/>
            <w:gridSpan w:val="5"/>
          </w:tcPr>
          <w:p>
            <w:pPr>
              <w:pStyle w:val="TableParagraph"/>
              <w:spacing w:line="219" w:lineRule="exact"/>
              <w:ind w:left="912"/>
              <w:rPr>
                <w:b/>
                <w:sz w:val="20"/>
              </w:rPr>
            </w:pPr>
            <w:r>
              <w:rPr>
                <w:b/>
                <w:sz w:val="20"/>
              </w:rPr>
              <w:t>NPÚ, SZ Březnice - oprava střechy a terasy nad severními arkádami - PRÁCE NAD RÁMEC SOD</w:t>
            </w:r>
          </w:p>
        </w:tc>
      </w:tr>
      <w:tr>
        <w:trPr>
          <w:trHeight w:val="203" w:hRule="atLeast"/>
        </w:trPr>
        <w:tc>
          <w:tcPr>
            <w:tcW w:w="1072" w:type="dxa"/>
            <w:vMerge w:val="restart"/>
            <w:tcBorders>
              <w:right w:val="single" w:sz="8" w:space="0" w:color="000000"/>
            </w:tcBorders>
          </w:tcPr>
          <w:p>
            <w:pPr>
              <w:pStyle w:val="TableParagraph"/>
              <w:spacing w:line="355" w:lineRule="auto" w:before="14"/>
              <w:ind w:left="24"/>
              <w:rPr>
                <w:sz w:val="15"/>
              </w:rPr>
            </w:pPr>
            <w:r>
              <w:rPr>
                <w:sz w:val="15"/>
              </w:rPr>
              <w:t>reg.č.stavby: smlouva: objednatel:</w:t>
            </w:r>
          </w:p>
          <w:p>
            <w:pPr>
              <w:pStyle w:val="TableParagraph"/>
              <w:spacing w:before="29"/>
              <w:ind w:left="24"/>
              <w:rPr>
                <w:sz w:val="15"/>
              </w:rPr>
            </w:pPr>
            <w:r>
              <w:rPr>
                <w:sz w:val="15"/>
              </w:rPr>
              <w:t>zhotovitel:</w:t>
            </w:r>
          </w:p>
        </w:tc>
        <w:tc>
          <w:tcPr>
            <w:tcW w:w="8629" w:type="dxa"/>
            <w:gridSpan w:val="3"/>
            <w:vMerge w:val="restart"/>
            <w:tcBorders>
              <w:left w:val="single" w:sz="8" w:space="0" w:color="000000"/>
            </w:tcBorders>
          </w:tcPr>
          <w:p>
            <w:pPr>
              <w:pStyle w:val="TableParagraph"/>
              <w:spacing w:before="36"/>
              <w:ind w:left="37"/>
              <w:rPr>
                <w:b/>
                <w:sz w:val="15"/>
              </w:rPr>
            </w:pPr>
            <w:r>
              <w:rPr>
                <w:b/>
                <w:sz w:val="15"/>
              </w:rPr>
              <w:t>SMVS134V151000160</w:t>
            </w:r>
          </w:p>
          <w:p>
            <w:pPr>
              <w:pStyle w:val="TableParagraph"/>
              <w:tabs>
                <w:tab w:pos="4143" w:val="left" w:leader="none"/>
              </w:tabs>
              <w:spacing w:before="67"/>
              <w:ind w:left="37"/>
              <w:rPr>
                <w:b/>
                <w:sz w:val="15"/>
              </w:rPr>
            </w:pPr>
            <w:r>
              <w:rPr>
                <w:b/>
                <w:sz w:val="15"/>
              </w:rPr>
              <w:t>NPU-420/86960/2025;</w:t>
            </w:r>
            <w:r>
              <w:rPr>
                <w:b/>
                <w:spacing w:val="21"/>
                <w:sz w:val="15"/>
              </w:rPr>
              <w:t> </w:t>
            </w:r>
            <w:r>
              <w:rPr>
                <w:b/>
                <w:sz w:val="15"/>
              </w:rPr>
              <w:t>WAM:</w:t>
            </w:r>
            <w:r>
              <w:rPr>
                <w:b/>
                <w:spacing w:val="22"/>
                <w:sz w:val="15"/>
              </w:rPr>
              <w:t> </w:t>
            </w:r>
            <w:r>
              <w:rPr>
                <w:b/>
                <w:sz w:val="15"/>
              </w:rPr>
              <w:t>2001H1250025</w:t>
              <w:tab/>
              <w:t>ze </w:t>
            </w:r>
            <w:r>
              <w:rPr>
                <w:b/>
                <w:spacing w:val="5"/>
                <w:sz w:val="15"/>
              </w:rPr>
              <w:t>dne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5"/>
              </w:rPr>
              <w:t>20.10.2025</w:t>
            </w:r>
          </w:p>
          <w:p>
            <w:pPr>
              <w:pStyle w:val="TableParagraph"/>
              <w:spacing w:before="68"/>
              <w:ind w:left="37"/>
              <w:rPr>
                <w:sz w:val="15"/>
              </w:rPr>
            </w:pPr>
            <w:r>
              <w:rPr>
                <w:sz w:val="15"/>
              </w:rPr>
              <w:t>Národní památkový ústav, územní památková správa v Ústí nad Labem, detašované pracoviště Praha, IČ 75032333</w:t>
            </w:r>
          </w:p>
          <w:p>
            <w:pPr>
              <w:pStyle w:val="TableParagraph"/>
              <w:spacing w:before="120"/>
              <w:ind w:left="37"/>
              <w:rPr>
                <w:sz w:val="15"/>
              </w:rPr>
            </w:pPr>
            <w:r>
              <w:rPr>
                <w:sz w:val="15"/>
              </w:rPr>
              <w:t>BOLID M s.r.o., Voršilská 2085/3, 110 00 Praha 1 – Nové Město, IČ: 26347741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176" w:lineRule="exact" w:before="8"/>
              <w:ind w:left="296" w:right="284"/>
              <w:jc w:val="center"/>
              <w:rPr>
                <w:b/>
                <w:i/>
                <w:sz w:val="18"/>
              </w:rPr>
            </w:pPr>
            <w:r>
              <w:rPr>
                <w:b/>
                <w:i/>
                <w:w w:val="95"/>
                <w:sz w:val="18"/>
              </w:rPr>
              <w:t>číslo ZL:</w:t>
            </w:r>
          </w:p>
        </w:tc>
      </w:tr>
      <w:tr>
        <w:trPr>
          <w:trHeight w:val="791" w:hRule="atLeast"/>
        </w:trPr>
        <w:tc>
          <w:tcPr>
            <w:tcW w:w="1072" w:type="dxa"/>
            <w:vMerge/>
            <w:tcBorders>
              <w:top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629" w:type="dxa"/>
            <w:gridSpan w:val="3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single" w:sz="8" w:space="0" w:color="000000"/>
            </w:tcBorders>
            <w:shd w:val="clear" w:color="auto" w:fill="FFFF00"/>
          </w:tcPr>
          <w:p>
            <w:pPr>
              <w:pStyle w:val="TableParagraph"/>
              <w:spacing w:before="179"/>
              <w:ind w:left="50"/>
              <w:jc w:val="center"/>
              <w:rPr>
                <w:b/>
                <w:sz w:val="37"/>
              </w:rPr>
            </w:pPr>
            <w:r>
              <w:rPr>
                <w:b/>
                <w:w w:val="101"/>
                <w:sz w:val="37"/>
              </w:rPr>
              <w:t>1</w:t>
            </w:r>
          </w:p>
        </w:tc>
      </w:tr>
      <w:tr>
        <w:trPr>
          <w:trHeight w:val="89" w:hRule="atLeast"/>
        </w:trPr>
        <w:tc>
          <w:tcPr>
            <w:tcW w:w="11070" w:type="dxa"/>
            <w:gridSpan w:val="5"/>
            <w:tcBorders>
              <w:left w:val="single" w:sz="8" w:space="0" w:color="000000"/>
              <w:bottom w:val="single" w:sz="24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>
        <w:trPr>
          <w:trHeight w:val="350" w:hRule="atLeast"/>
        </w:trPr>
        <w:tc>
          <w:tcPr>
            <w:tcW w:w="1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4" w:space="0" w:color="000000"/>
            </w:tcBorders>
          </w:tcPr>
          <w:p>
            <w:pPr>
              <w:pStyle w:val="TableParagraph"/>
              <w:spacing w:before="77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název ZL:</w:t>
            </w:r>
          </w:p>
        </w:tc>
        <w:tc>
          <w:tcPr>
            <w:tcW w:w="9998" w:type="dxa"/>
            <w:gridSpan w:val="4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8" w:space="0" w:color="000000"/>
            </w:tcBorders>
          </w:tcPr>
          <w:p>
            <w:pPr>
              <w:pStyle w:val="TableParagraph"/>
              <w:spacing w:before="65"/>
              <w:ind w:left="3398" w:right="3379"/>
              <w:jc w:val="center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OPRAVA ČÁSTI STROPU FÁZE 4-5</w:t>
            </w:r>
          </w:p>
        </w:tc>
      </w:tr>
      <w:tr>
        <w:trPr>
          <w:trHeight w:val="635" w:hRule="atLeast"/>
        </w:trPr>
        <w:tc>
          <w:tcPr>
            <w:tcW w:w="11070" w:type="dxa"/>
            <w:gridSpan w:val="5"/>
            <w:tcBorders>
              <w:top w:val="single" w:sz="2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1" w:lineRule="exact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předmět změny:</w:t>
            </w:r>
          </w:p>
          <w:p>
            <w:pPr>
              <w:pStyle w:val="TableParagraph"/>
              <w:spacing w:before="131"/>
              <w:ind w:left="39"/>
              <w:rPr>
                <w:sz w:val="17"/>
              </w:rPr>
            </w:pPr>
            <w:r>
              <w:rPr>
                <w:sz w:val="17"/>
              </w:rPr>
              <w:t>Nezbytná oprava nalezeného havarijního stavu části stropu v poli 4-5.</w:t>
            </w:r>
          </w:p>
        </w:tc>
      </w:tr>
      <w:tr>
        <w:trPr>
          <w:trHeight w:val="745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6" w:lineRule="exact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zdůvodnění nezbytnosti změny (požadavek OPP, technické důvody):</w:t>
            </w:r>
          </w:p>
          <w:p>
            <w:pPr>
              <w:pStyle w:val="TableParagraph"/>
              <w:spacing w:line="259" w:lineRule="auto" w:before="78"/>
              <w:ind w:left="39"/>
              <w:rPr>
                <w:sz w:val="17"/>
              </w:rPr>
            </w:pPr>
            <w:r>
              <w:rPr>
                <w:sz w:val="17"/>
              </w:rPr>
              <w:t>Práce je nezbytné provést za účelem zajištění stability konstrukce stropu napadené dřevokaznými škůdci a houbou a v souvislosti s tím odvrácení rizika zřícení stropní konstrukce.</w:t>
            </w:r>
          </w:p>
        </w:tc>
      </w:tr>
      <w:tr>
        <w:trPr>
          <w:trHeight w:val="2667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zdůvodnění příčin event.nepředvídatelnosti změny:</w:t>
            </w:r>
          </w:p>
          <w:p>
            <w:pPr>
              <w:pStyle w:val="TableParagraph"/>
              <w:rPr>
                <w:b/>
                <w:sz w:val="17"/>
              </w:rPr>
            </w:pPr>
          </w:p>
          <w:p>
            <w:pPr>
              <w:pStyle w:val="TableParagraph"/>
              <w:spacing w:line="259" w:lineRule="auto"/>
              <w:ind w:left="39" w:right="10"/>
              <w:rPr>
                <w:sz w:val="17"/>
              </w:rPr>
            </w:pPr>
            <w:r>
              <w:rPr>
                <w:sz w:val="17"/>
              </w:rPr>
              <w:t>Po rozkrytí konstrukcí v poli 4-5, došlo ke zjištění havarijního stavu záklopu, jež je napaden dřevokaznými škůdci a houbou. Skrz něj došlo k propadu rákosovým podhledem a omítkou do jedné z místností v úrovni 2. NP zámku. Po odstranění dožilého záklopu byl zjištěn havarijní stav také u tří stropních trámů nad touto místnosti, které je třeba označit za zcela dožilé, nemohou dále plnit svou funkci. Vzhledem k tomu, že alternativní řešení v podobě vložení výměn, příložkování či přidání dalších stropních trámů se ukázalo jako rizikové pro stabilitu stropu, předmětná místnost je součástí prohlídkového okruhu, a tedy přístupná veřejnosti, bylo rozhodnuto v rámci kontrolního dne stavby o bezodkladném řešení havarijního stavu. V opačném případě by vzniklo riziko uvolnění části stropu na návštěvníky objektu.</w:t>
            </w:r>
          </w:p>
          <w:p>
            <w:pPr>
              <w:pStyle w:val="TableParagraph"/>
              <w:spacing w:line="259" w:lineRule="auto"/>
              <w:ind w:left="39" w:right="10"/>
              <w:rPr>
                <w:sz w:val="17"/>
              </w:rPr>
            </w:pPr>
            <w:r>
              <w:rPr>
                <w:sz w:val="17"/>
              </w:rPr>
              <w:t>Tyto skutečnosti vynucují další nepředvídané a níže popsané práce, které byly odsouhlaseny zástupci objednatele, TDS objednatele, projektantem, a památkovým garantem. Bez provedení těchto vynucených prací není možné ve stavebních pracích dále pokračovat a dílo zdárně dokončit.</w:t>
            </w:r>
          </w:p>
          <w:p>
            <w:pPr>
              <w:pStyle w:val="TableParagraph"/>
              <w:ind w:left="39"/>
              <w:rPr>
                <w:sz w:val="17"/>
              </w:rPr>
            </w:pPr>
            <w:r>
              <w:rPr>
                <w:sz w:val="17"/>
              </w:rPr>
              <w:t>TYTO VÝŠE UVEDENÉ ZMĚNY MAJÍ CHARAKTER OBJEKTIVNĚ NEPŘEDVÍDATELNÝCH PRACÍ.</w:t>
            </w:r>
          </w:p>
        </w:tc>
      </w:tr>
      <w:tr>
        <w:trPr>
          <w:trHeight w:val="1338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81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zdůvodnění nemožnosti oddělení prací a samostatného zadání:</w:t>
            </w:r>
          </w:p>
          <w:p>
            <w:pPr>
              <w:pStyle w:val="TableParagraph"/>
              <w:spacing w:before="3"/>
              <w:rPr>
                <w:b/>
                <w:sz w:val="14"/>
              </w:rPr>
            </w:pPr>
          </w:p>
          <w:p>
            <w:pPr>
              <w:pStyle w:val="TableParagraph"/>
              <w:spacing w:line="259" w:lineRule="auto" w:before="1"/>
              <w:ind w:left="39"/>
              <w:rPr>
                <w:sz w:val="17"/>
              </w:rPr>
            </w:pPr>
            <w:r>
              <w:rPr>
                <w:sz w:val="17"/>
              </w:rPr>
              <w:t>Jedná se o dílčí rozšíření prováděných prací na základě dodatečných zjištění. Jedná se o výkony bezprostředně související s plněním dodavatele. Samostatné zadání by bylo z hlediska organizace stavby i finančních nákladů nelogické a neefektivní a z technicko-organizačních důvodů nemožné. Nelze oddělit a samostatně zadat.Předmětné práce jsou součástí celkové rekonstrukce objektu a nelze je oddělit. Práce jsou zadány v souladu s § 222 odst. 6 zákona č. 134/2016 Sb., o zadávání veřejných zakázek.</w:t>
            </w:r>
          </w:p>
        </w:tc>
      </w:tr>
      <w:tr>
        <w:trPr>
          <w:trHeight w:val="1051" w:hRule="atLeast"/>
        </w:trPr>
        <w:tc>
          <w:tcPr>
            <w:tcW w:w="8989" w:type="dxa"/>
            <w:gridSpan w:val="2"/>
            <w:tcBorders>
              <w:top w:val="single" w:sz="8" w:space="0" w:color="000000"/>
              <w:left w:val="single" w:sz="8" w:space="0" w:color="000000"/>
              <w:right w:val="nil"/>
            </w:tcBorders>
          </w:tcPr>
          <w:p>
            <w:pPr>
              <w:pStyle w:val="TableParagraph"/>
              <w:tabs>
                <w:tab w:pos="5218" w:val="left" w:leader="none"/>
                <w:tab w:pos="6876" w:val="left" w:leader="none"/>
              </w:tabs>
              <w:spacing w:before="7"/>
              <w:ind w:left="39"/>
              <w:rPr>
                <w:i/>
                <w:sz w:val="18"/>
              </w:rPr>
            </w:pPr>
            <w:r>
              <w:rPr>
                <w:b/>
                <w:spacing w:val="7"/>
                <w:sz w:val="17"/>
              </w:rPr>
              <w:t>vliv </w:t>
            </w:r>
            <w:r>
              <w:rPr>
                <w:b/>
                <w:spacing w:val="4"/>
                <w:sz w:val="17"/>
              </w:rPr>
              <w:t>na</w:t>
            </w:r>
            <w:r>
              <w:rPr>
                <w:b/>
                <w:spacing w:val="-38"/>
                <w:sz w:val="17"/>
              </w:rPr>
              <w:t> </w:t>
            </w:r>
            <w:r>
              <w:rPr>
                <w:b/>
                <w:spacing w:val="3"/>
                <w:sz w:val="17"/>
              </w:rPr>
              <w:t>cenu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pacing w:val="3"/>
                <w:sz w:val="17"/>
              </w:rPr>
              <w:t>díla:</w:t>
              <w:tab/>
            </w:r>
            <w:r>
              <w:rPr>
                <w:b/>
                <w:sz w:val="17"/>
              </w:rPr>
              <w:t>rozpočet:</w:t>
              <w:tab/>
            </w:r>
            <w:r>
              <w:rPr>
                <w:i/>
                <w:sz w:val="18"/>
              </w:rPr>
              <w:t>v příloze</w:t>
            </w:r>
            <w:r>
              <w:rPr>
                <w:i/>
                <w:spacing w:val="-9"/>
                <w:sz w:val="18"/>
              </w:rPr>
              <w:t> </w:t>
            </w:r>
            <w:r>
              <w:rPr>
                <w:i/>
                <w:sz w:val="18"/>
              </w:rPr>
              <w:t>ZL</w:t>
            </w:r>
          </w:p>
          <w:p>
            <w:pPr>
              <w:pStyle w:val="TableParagraph"/>
              <w:spacing w:before="1"/>
              <w:rPr>
                <w:b/>
                <w:sz w:val="19"/>
              </w:rPr>
            </w:pPr>
          </w:p>
          <w:p>
            <w:pPr>
              <w:pStyle w:val="TableParagraph"/>
              <w:tabs>
                <w:tab w:pos="1699" w:val="left" w:leader="none"/>
                <w:tab w:pos="3163" w:val="left" w:leader="none"/>
              </w:tabs>
              <w:spacing w:before="1"/>
              <w:ind w:right="233"/>
              <w:jc w:val="right"/>
              <w:rPr>
                <w:b/>
                <w:i/>
                <w:sz w:val="18"/>
              </w:rPr>
            </w:pPr>
            <w:r>
              <w:rPr>
                <w:b/>
                <w:sz w:val="17"/>
              </w:rPr>
              <w:t>cena:</w:t>
              <w:tab/>
            </w:r>
            <w:r>
              <w:rPr>
                <w:i/>
                <w:sz w:val="15"/>
              </w:rPr>
              <w:t>bez</w:t>
            </w:r>
            <w:r>
              <w:rPr>
                <w:i/>
                <w:spacing w:val="-1"/>
                <w:sz w:val="15"/>
              </w:rPr>
              <w:t> </w:t>
            </w:r>
            <w:r>
              <w:rPr>
                <w:i/>
                <w:sz w:val="15"/>
              </w:rPr>
              <w:t>DPH</w:t>
              <w:tab/>
            </w:r>
            <w:r>
              <w:rPr>
                <w:b/>
                <w:i/>
                <w:spacing w:val="-1"/>
                <w:sz w:val="18"/>
              </w:rPr>
              <w:t>0,00</w:t>
            </w:r>
          </w:p>
          <w:p>
            <w:pPr>
              <w:pStyle w:val="TableParagraph"/>
              <w:tabs>
                <w:tab w:pos="1504" w:val="left" w:leader="none"/>
              </w:tabs>
              <w:spacing w:line="201" w:lineRule="exact" w:before="4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21%DPH</w:t>
              <w:tab/>
            </w:r>
            <w:r>
              <w:rPr>
                <w:i/>
                <w:spacing w:val="-1"/>
                <w:sz w:val="18"/>
              </w:rPr>
              <w:t>0,00</w:t>
            </w:r>
          </w:p>
          <w:p>
            <w:pPr>
              <w:pStyle w:val="TableParagraph"/>
              <w:tabs>
                <w:tab w:pos="1358" w:val="left" w:leader="none"/>
              </w:tabs>
              <w:spacing w:line="185" w:lineRule="exact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celkem</w:t>
              <w:tab/>
            </w:r>
            <w:r>
              <w:rPr>
                <w:i/>
                <w:spacing w:val="-1"/>
                <w:sz w:val="18"/>
              </w:rPr>
              <w:t>0,00</w:t>
            </w:r>
          </w:p>
        </w:tc>
        <w:tc>
          <w:tcPr>
            <w:tcW w:w="475" w:type="dxa"/>
            <w:tcBorders>
              <w:top w:val="single" w:sz="8" w:space="0" w:color="000000"/>
              <w:left w:val="nil"/>
              <w:righ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158"/>
              <w:rPr>
                <w:sz w:val="17"/>
              </w:rPr>
            </w:pPr>
            <w:r>
              <w:rPr>
                <w:sz w:val="17"/>
              </w:rPr>
              <w:t>Kč</w:t>
            </w:r>
          </w:p>
          <w:p>
            <w:pPr>
              <w:pStyle w:val="TableParagraph"/>
              <w:spacing w:line="194" w:lineRule="exact" w:before="20"/>
              <w:ind w:left="158" w:right="98"/>
              <w:rPr>
                <w:sz w:val="17"/>
              </w:rPr>
            </w:pPr>
            <w:r>
              <w:rPr>
                <w:sz w:val="17"/>
              </w:rPr>
              <w:t>Kč</w:t>
            </w:r>
            <w:r>
              <w:rPr>
                <w:spacing w:val="-1"/>
                <w:w w:val="100"/>
                <w:sz w:val="17"/>
              </w:rPr>
              <w:t> </w:t>
            </w:r>
            <w:r>
              <w:rPr>
                <w:sz w:val="17"/>
              </w:rPr>
              <w:t>Kč</w:t>
            </w:r>
          </w:p>
        </w:tc>
        <w:tc>
          <w:tcPr>
            <w:tcW w:w="1606" w:type="dxa"/>
            <w:gridSpan w:val="2"/>
            <w:tcBorders>
              <w:top w:val="single" w:sz="8" w:space="0" w:color="000000"/>
              <w:left w:val="nil"/>
              <w:right w:val="single" w:sz="8" w:space="0" w:color="000000"/>
            </w:tcBorders>
          </w:tcPr>
          <w:p>
            <w:pPr>
              <w:pStyle w:val="TableParagraph"/>
              <w:spacing w:before="7"/>
              <w:ind w:left="153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méněpráce</w:t>
            </w:r>
          </w:p>
          <w:p>
            <w:pPr>
              <w:pStyle w:val="TableParagraph"/>
              <w:spacing w:before="9"/>
              <w:ind w:left="818"/>
              <w:rPr>
                <w:sz w:val="18"/>
              </w:rPr>
            </w:pPr>
            <w:r>
              <w:rPr>
                <w:w w:val="105"/>
                <w:sz w:val="18"/>
              </w:rPr>
              <w:t>NE</w:t>
            </w:r>
          </w:p>
        </w:tc>
      </w:tr>
      <w:tr>
        <w:trPr>
          <w:trHeight w:val="1161" w:hRule="atLeast"/>
        </w:trPr>
        <w:tc>
          <w:tcPr>
            <w:tcW w:w="8989" w:type="dxa"/>
            <w:gridSpan w:val="2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tabs>
                <w:tab w:pos="3607" w:val="left" w:leader="none"/>
                <w:tab w:pos="5218" w:val="left" w:leader="none"/>
                <w:tab w:pos="6876" w:val="left" w:leader="none"/>
              </w:tabs>
              <w:spacing w:before="68"/>
              <w:ind w:left="39"/>
              <w:rPr>
                <w:i/>
                <w:sz w:val="18"/>
              </w:rPr>
            </w:pPr>
            <w:r>
              <w:rPr>
                <w:b/>
                <w:spacing w:val="7"/>
                <w:sz w:val="17"/>
              </w:rPr>
              <w:t>vliv </w:t>
            </w:r>
            <w:r>
              <w:rPr>
                <w:b/>
                <w:spacing w:val="4"/>
                <w:sz w:val="17"/>
              </w:rPr>
              <w:t>na</w:t>
            </w:r>
            <w:r>
              <w:rPr>
                <w:b/>
                <w:spacing w:val="-38"/>
                <w:sz w:val="17"/>
              </w:rPr>
              <w:t> </w:t>
            </w:r>
            <w:r>
              <w:rPr>
                <w:b/>
                <w:spacing w:val="3"/>
                <w:sz w:val="17"/>
              </w:rPr>
              <w:t>cenu</w:t>
            </w:r>
            <w:r>
              <w:rPr>
                <w:b/>
                <w:spacing w:val="-12"/>
                <w:sz w:val="17"/>
              </w:rPr>
              <w:t> </w:t>
            </w:r>
            <w:r>
              <w:rPr>
                <w:b/>
                <w:spacing w:val="3"/>
                <w:sz w:val="17"/>
              </w:rPr>
              <w:t>díla:</w:t>
              <w:tab/>
            </w:r>
            <w:r>
              <w:rPr>
                <w:i/>
                <w:sz w:val="18"/>
              </w:rPr>
              <w:t>ANO</w:t>
              <w:tab/>
            </w:r>
            <w:r>
              <w:rPr>
                <w:b/>
                <w:sz w:val="17"/>
              </w:rPr>
              <w:t>rozpočet:</w:t>
              <w:tab/>
            </w:r>
            <w:r>
              <w:rPr>
                <w:i/>
                <w:sz w:val="18"/>
              </w:rPr>
              <w:t>v příloze ZL</w:t>
            </w:r>
            <w:r>
              <w:rPr>
                <w:i/>
                <w:spacing w:val="-16"/>
                <w:sz w:val="18"/>
              </w:rPr>
              <w:t> </w:t>
            </w:r>
            <w:r>
              <w:rPr>
                <w:i/>
                <w:sz w:val="18"/>
              </w:rPr>
              <w:t>1</w:t>
            </w:r>
          </w:p>
          <w:p>
            <w:pPr>
              <w:pStyle w:val="TableParagraph"/>
              <w:spacing w:before="2"/>
              <w:rPr>
                <w:b/>
                <w:sz w:val="20"/>
              </w:rPr>
            </w:pPr>
          </w:p>
          <w:p>
            <w:pPr>
              <w:pStyle w:val="TableParagraph"/>
              <w:tabs>
                <w:tab w:pos="1699" w:val="left" w:leader="none"/>
                <w:tab w:pos="2654" w:val="left" w:leader="none"/>
              </w:tabs>
              <w:ind w:right="173"/>
              <w:jc w:val="right"/>
              <w:rPr>
                <w:b/>
                <w:i/>
                <w:sz w:val="18"/>
              </w:rPr>
            </w:pPr>
            <w:r>
              <w:rPr>
                <w:b/>
                <w:w w:val="105"/>
                <w:sz w:val="17"/>
              </w:rPr>
              <w:t>cena:</w:t>
              <w:tab/>
            </w:r>
            <w:r>
              <w:rPr>
                <w:i/>
                <w:w w:val="105"/>
                <w:sz w:val="15"/>
              </w:rPr>
              <w:t>bez</w:t>
            </w:r>
            <w:r>
              <w:rPr>
                <w:i/>
                <w:spacing w:val="-11"/>
                <w:w w:val="105"/>
                <w:sz w:val="15"/>
              </w:rPr>
              <w:t> </w:t>
            </w:r>
            <w:r>
              <w:rPr>
                <w:i/>
                <w:w w:val="105"/>
                <w:sz w:val="15"/>
              </w:rPr>
              <w:t>DPH</w:t>
              <w:tab/>
            </w:r>
            <w:r>
              <w:rPr>
                <w:b/>
                <w:i/>
                <w:w w:val="105"/>
                <w:sz w:val="18"/>
              </w:rPr>
              <w:t>195</w:t>
            </w:r>
            <w:r>
              <w:rPr>
                <w:b/>
                <w:i/>
                <w:spacing w:val="-17"/>
                <w:w w:val="105"/>
                <w:sz w:val="18"/>
              </w:rPr>
              <w:t> </w:t>
            </w:r>
            <w:r>
              <w:rPr>
                <w:b/>
                <w:i/>
                <w:w w:val="105"/>
                <w:sz w:val="18"/>
              </w:rPr>
              <w:t>014,12</w:t>
            </w:r>
          </w:p>
          <w:p>
            <w:pPr>
              <w:pStyle w:val="TableParagraph"/>
              <w:tabs>
                <w:tab w:pos="1039" w:val="left" w:leader="none"/>
              </w:tabs>
              <w:spacing w:before="16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21%DPH</w:t>
              <w:tab/>
            </w:r>
            <w:r>
              <w:rPr>
                <w:i/>
                <w:w w:val="105"/>
                <w:sz w:val="18"/>
              </w:rPr>
              <w:t>40</w:t>
            </w:r>
            <w:r>
              <w:rPr>
                <w:i/>
                <w:spacing w:val="-15"/>
                <w:w w:val="105"/>
                <w:sz w:val="18"/>
              </w:rPr>
              <w:t> </w:t>
            </w:r>
            <w:r>
              <w:rPr>
                <w:i/>
                <w:w w:val="105"/>
                <w:sz w:val="18"/>
              </w:rPr>
              <w:t>952,97</w:t>
            </w:r>
          </w:p>
          <w:p>
            <w:pPr>
              <w:pStyle w:val="TableParagraph"/>
              <w:tabs>
                <w:tab w:pos="789" w:val="left" w:leader="none"/>
              </w:tabs>
              <w:spacing w:line="188" w:lineRule="exact" w:before="16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celkem</w:t>
              <w:tab/>
            </w:r>
            <w:r>
              <w:rPr>
                <w:i/>
                <w:w w:val="105"/>
                <w:sz w:val="18"/>
              </w:rPr>
              <w:t>235</w:t>
            </w:r>
            <w:r>
              <w:rPr>
                <w:i/>
                <w:spacing w:val="-17"/>
                <w:w w:val="105"/>
                <w:sz w:val="18"/>
              </w:rPr>
              <w:t> </w:t>
            </w:r>
            <w:r>
              <w:rPr>
                <w:i/>
                <w:w w:val="105"/>
                <w:sz w:val="18"/>
              </w:rPr>
              <w:t>967,09</w:t>
            </w:r>
          </w:p>
        </w:tc>
        <w:tc>
          <w:tcPr>
            <w:tcW w:w="475" w:type="dxa"/>
            <w:tcBorders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b/>
                <w:sz w:val="18"/>
              </w:rPr>
            </w:pPr>
          </w:p>
          <w:p>
            <w:pPr>
              <w:pStyle w:val="TableParagraph"/>
              <w:spacing w:before="8"/>
              <w:rPr>
                <w:b/>
                <w:sz w:val="24"/>
              </w:rPr>
            </w:pPr>
          </w:p>
          <w:p>
            <w:pPr>
              <w:pStyle w:val="TableParagraph"/>
              <w:spacing w:line="220" w:lineRule="atLeast" w:before="1"/>
              <w:ind w:left="158" w:right="117"/>
              <w:jc w:val="both"/>
              <w:rPr>
                <w:sz w:val="17"/>
              </w:rPr>
            </w:pPr>
            <w:r>
              <w:rPr>
                <w:sz w:val="17"/>
              </w:rPr>
              <w:t>Kč</w:t>
            </w:r>
            <w:r>
              <w:rPr>
                <w:w w:val="100"/>
                <w:sz w:val="17"/>
              </w:rPr>
              <w:t> </w:t>
            </w:r>
            <w:r>
              <w:rPr>
                <w:sz w:val="17"/>
              </w:rPr>
              <w:t>Kč</w:t>
            </w:r>
            <w:r>
              <w:rPr>
                <w:w w:val="100"/>
                <w:sz w:val="17"/>
              </w:rPr>
              <w:t> </w:t>
            </w:r>
            <w:r>
              <w:rPr>
                <w:sz w:val="17"/>
              </w:rPr>
              <w:t>Kč</w:t>
            </w:r>
          </w:p>
        </w:tc>
        <w:tc>
          <w:tcPr>
            <w:tcW w:w="1606" w:type="dxa"/>
            <w:gridSpan w:val="2"/>
            <w:tcBorders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8"/>
              <w:ind w:left="21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vícepráce</w:t>
            </w:r>
          </w:p>
          <w:p>
            <w:pPr>
              <w:pStyle w:val="TableParagraph"/>
              <w:spacing w:before="9"/>
              <w:ind w:left="744"/>
              <w:rPr>
                <w:sz w:val="18"/>
              </w:rPr>
            </w:pPr>
            <w:r>
              <w:rPr>
                <w:w w:val="105"/>
                <w:sz w:val="18"/>
              </w:rPr>
              <w:t>ANO</w:t>
            </w:r>
          </w:p>
        </w:tc>
      </w:tr>
      <w:tr>
        <w:trPr>
          <w:trHeight w:val="649" w:hRule="atLeast"/>
        </w:trPr>
        <w:tc>
          <w:tcPr>
            <w:tcW w:w="8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tabs>
                <w:tab w:pos="5218" w:val="left" w:leader="none"/>
                <w:tab w:pos="6917" w:val="left" w:leader="none"/>
                <w:tab w:pos="7872" w:val="left" w:leader="none"/>
              </w:tabs>
              <w:spacing w:line="190" w:lineRule="exact"/>
              <w:ind w:left="39"/>
              <w:rPr>
                <w:b/>
                <w:i/>
                <w:sz w:val="18"/>
              </w:rPr>
            </w:pPr>
            <w:r>
              <w:rPr>
                <w:b/>
                <w:sz w:val="17"/>
              </w:rPr>
              <w:t>CELKOVÁ BILANCE MÉNĚPRACÍ</w:t>
            </w:r>
            <w:r>
              <w:rPr>
                <w:b/>
                <w:spacing w:val="-16"/>
                <w:sz w:val="17"/>
              </w:rPr>
              <w:t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-10"/>
                <w:sz w:val="17"/>
              </w:rPr>
              <w:t> </w:t>
            </w:r>
            <w:r>
              <w:rPr>
                <w:b/>
                <w:sz w:val="17"/>
              </w:rPr>
              <w:t>VÍCEPRACÍ</w:t>
              <w:tab/>
              <w:t>cena:</w:t>
              <w:tab/>
            </w:r>
            <w:r>
              <w:rPr>
                <w:i/>
                <w:sz w:val="15"/>
              </w:rPr>
              <w:t>bez</w:t>
            </w:r>
            <w:r>
              <w:rPr>
                <w:i/>
                <w:spacing w:val="-1"/>
                <w:sz w:val="15"/>
              </w:rPr>
              <w:t> </w:t>
            </w:r>
            <w:r>
              <w:rPr>
                <w:i/>
                <w:sz w:val="15"/>
              </w:rPr>
              <w:t>DPH</w:t>
              <w:tab/>
            </w:r>
            <w:r>
              <w:rPr>
                <w:b/>
                <w:i/>
                <w:sz w:val="18"/>
              </w:rPr>
              <w:t>195</w:t>
            </w:r>
            <w:r>
              <w:rPr>
                <w:b/>
                <w:i/>
                <w:spacing w:val="28"/>
                <w:sz w:val="18"/>
              </w:rPr>
              <w:t> </w:t>
            </w:r>
            <w:r>
              <w:rPr>
                <w:b/>
                <w:i/>
                <w:sz w:val="18"/>
              </w:rPr>
              <w:t>014,12</w:t>
            </w:r>
          </w:p>
          <w:p>
            <w:pPr>
              <w:pStyle w:val="TableParagraph"/>
              <w:tabs>
                <w:tab w:pos="1039" w:val="left" w:leader="none"/>
              </w:tabs>
              <w:spacing w:before="16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21%DPH</w:t>
              <w:tab/>
            </w:r>
            <w:r>
              <w:rPr>
                <w:i/>
                <w:w w:val="105"/>
                <w:sz w:val="18"/>
              </w:rPr>
              <w:t>40</w:t>
            </w:r>
            <w:r>
              <w:rPr>
                <w:i/>
                <w:spacing w:val="-15"/>
                <w:w w:val="105"/>
                <w:sz w:val="18"/>
              </w:rPr>
              <w:t> </w:t>
            </w:r>
            <w:r>
              <w:rPr>
                <w:i/>
                <w:w w:val="105"/>
                <w:sz w:val="18"/>
              </w:rPr>
              <w:t>952,97</w:t>
            </w:r>
          </w:p>
          <w:p>
            <w:pPr>
              <w:pStyle w:val="TableParagraph"/>
              <w:tabs>
                <w:tab w:pos="789" w:val="left" w:leader="none"/>
              </w:tabs>
              <w:spacing w:line="200" w:lineRule="exact" w:before="16"/>
              <w:ind w:right="214"/>
              <w:jc w:val="right"/>
              <w:rPr>
                <w:i/>
                <w:sz w:val="18"/>
              </w:rPr>
            </w:pPr>
            <w:r>
              <w:rPr>
                <w:i/>
                <w:w w:val="105"/>
                <w:sz w:val="15"/>
              </w:rPr>
              <w:t>celkem</w:t>
              <w:tab/>
            </w:r>
            <w:r>
              <w:rPr>
                <w:i/>
                <w:w w:val="105"/>
                <w:sz w:val="18"/>
              </w:rPr>
              <w:t>235</w:t>
            </w:r>
            <w:r>
              <w:rPr>
                <w:i/>
                <w:spacing w:val="-17"/>
                <w:w w:val="105"/>
                <w:sz w:val="18"/>
              </w:rPr>
              <w:t> </w:t>
            </w:r>
            <w:r>
              <w:rPr>
                <w:i/>
                <w:w w:val="105"/>
                <w:sz w:val="18"/>
              </w:rPr>
              <w:t>967,09</w:t>
            </w:r>
          </w:p>
        </w:tc>
        <w:tc>
          <w:tcPr>
            <w:tcW w:w="4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73" w:lineRule="auto"/>
              <w:ind w:left="158" w:right="98"/>
              <w:rPr>
                <w:sz w:val="17"/>
              </w:rPr>
            </w:pPr>
            <w:r>
              <w:rPr>
                <w:sz w:val="17"/>
              </w:rPr>
              <w:t>Kč</w:t>
            </w:r>
            <w:r>
              <w:rPr>
                <w:spacing w:val="-1"/>
                <w:w w:val="100"/>
                <w:sz w:val="17"/>
              </w:rPr>
              <w:t> </w:t>
            </w:r>
            <w:r>
              <w:rPr>
                <w:sz w:val="17"/>
              </w:rPr>
              <w:t>Kč</w:t>
            </w:r>
          </w:p>
          <w:p>
            <w:pPr>
              <w:pStyle w:val="TableParagraph"/>
              <w:spacing w:line="191" w:lineRule="exact"/>
              <w:ind w:left="158"/>
              <w:rPr>
                <w:sz w:val="17"/>
              </w:rPr>
            </w:pPr>
            <w:r>
              <w:rPr>
                <w:sz w:val="17"/>
              </w:rPr>
              <w:t>Kč</w:t>
            </w:r>
          </w:p>
        </w:tc>
        <w:tc>
          <w:tcPr>
            <w:tcW w:w="16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18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8" w:lineRule="exact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vliv na termín dokončení:</w:t>
            </w:r>
          </w:p>
          <w:p>
            <w:pPr>
              <w:pStyle w:val="TableParagraph"/>
              <w:spacing w:before="119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Práce nemají vliv na termín dokončení díla.</w:t>
            </w:r>
          </w:p>
        </w:tc>
      </w:tr>
      <w:tr>
        <w:trPr>
          <w:trHeight w:val="486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8" w:lineRule="exact"/>
              <w:ind w:left="39"/>
              <w:rPr>
                <w:b/>
                <w:sz w:val="17"/>
              </w:rPr>
            </w:pPr>
            <w:r>
              <w:rPr>
                <w:b/>
                <w:sz w:val="17"/>
              </w:rPr>
              <w:t>jiné vlivy (na změnu PD apod.):</w:t>
            </w:r>
          </w:p>
          <w:p>
            <w:pPr>
              <w:pStyle w:val="TableParagraph"/>
              <w:spacing w:before="49"/>
              <w:ind w:left="39"/>
              <w:rPr>
                <w:sz w:val="17"/>
              </w:rPr>
            </w:pPr>
            <w:r>
              <w:rPr>
                <w:sz w:val="17"/>
              </w:rPr>
              <w:t>Změna nevyžaduje provedení změny ve výkresové dokumentaci. Bude řešeno v rámci dokumentace skutečného provedení stavby.</w:t>
            </w:r>
          </w:p>
        </w:tc>
      </w:tr>
      <w:tr>
        <w:trPr>
          <w:trHeight w:val="735" w:hRule="atLeast"/>
        </w:trPr>
        <w:tc>
          <w:tcPr>
            <w:tcW w:w="1107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9137" w:val="left" w:leader="none"/>
              </w:tabs>
              <w:spacing w:line="188" w:lineRule="exact"/>
              <w:ind w:left="39"/>
              <w:rPr>
                <w:sz w:val="17"/>
              </w:rPr>
            </w:pPr>
            <w:r>
              <w:rPr>
                <w:b/>
                <w:spacing w:val="6"/>
                <w:sz w:val="17"/>
              </w:rPr>
              <w:t>přílohy</w:t>
            </w:r>
            <w:r>
              <w:rPr>
                <w:b/>
                <w:spacing w:val="-16"/>
                <w:sz w:val="17"/>
              </w:rPr>
              <w:t> </w:t>
            </w:r>
            <w:r>
              <w:rPr>
                <w:b/>
                <w:sz w:val="17"/>
              </w:rPr>
              <w:t>:</w:t>
              <w:tab/>
            </w:r>
            <w:r>
              <w:rPr>
                <w:sz w:val="17"/>
              </w:rPr>
              <w:t>počet</w:t>
            </w:r>
            <w:r>
              <w:rPr>
                <w:spacing w:val="46"/>
                <w:sz w:val="17"/>
              </w:rPr>
              <w:t> </w:t>
            </w:r>
            <w:r>
              <w:rPr>
                <w:sz w:val="17"/>
              </w:rPr>
              <w:t>formát</w:t>
            </w:r>
          </w:p>
          <w:p>
            <w:pPr>
              <w:pStyle w:val="TableParagraph"/>
              <w:tabs>
                <w:tab w:pos="9130" w:val="left" w:leader="none"/>
                <w:tab w:pos="10299" w:val="left" w:leader="none"/>
              </w:tabs>
              <w:spacing w:before="15"/>
              <w:ind w:left="39"/>
              <w:rPr>
                <w:sz w:val="17"/>
              </w:rPr>
            </w:pPr>
            <w:r>
              <w:rPr>
                <w:b/>
                <w:spacing w:val="5"/>
                <w:sz w:val="17"/>
              </w:rPr>
              <w:t>Příloha</w:t>
            </w:r>
            <w:r>
              <w:rPr>
                <w:b/>
                <w:spacing w:val="-19"/>
                <w:sz w:val="17"/>
              </w:rPr>
              <w:t> </w:t>
            </w:r>
            <w:r>
              <w:rPr>
                <w:b/>
                <w:spacing w:val="4"/>
                <w:sz w:val="17"/>
              </w:rPr>
              <w:t>č.</w:t>
            </w:r>
            <w:r>
              <w:rPr>
                <w:b/>
                <w:spacing w:val="-18"/>
                <w:sz w:val="17"/>
              </w:rPr>
              <w:t> </w:t>
            </w:r>
            <w:r>
              <w:rPr>
                <w:b/>
                <w:sz w:val="17"/>
              </w:rPr>
              <w:t>1</w:t>
            </w:r>
            <w:r>
              <w:rPr>
                <w:b/>
                <w:spacing w:val="-19"/>
                <w:sz w:val="17"/>
              </w:rPr>
              <w:t> </w:t>
            </w:r>
            <w:r>
              <w:rPr>
                <w:b/>
                <w:sz w:val="17"/>
              </w:rPr>
              <w:t>-</w:t>
            </w:r>
            <w:r>
              <w:rPr>
                <w:b/>
                <w:spacing w:val="-18"/>
                <w:sz w:val="17"/>
              </w:rPr>
              <w:t> </w:t>
            </w:r>
            <w:r>
              <w:rPr>
                <w:b/>
                <w:spacing w:val="5"/>
                <w:sz w:val="17"/>
              </w:rPr>
              <w:t>Položkový</w:t>
            </w:r>
            <w:r>
              <w:rPr>
                <w:b/>
                <w:spacing w:val="-13"/>
                <w:sz w:val="17"/>
              </w:rPr>
              <w:t> </w:t>
            </w:r>
            <w:r>
              <w:rPr>
                <w:b/>
                <w:spacing w:val="7"/>
                <w:sz w:val="17"/>
              </w:rPr>
              <w:t>soupis</w:t>
            </w:r>
            <w:r>
              <w:rPr>
                <w:b/>
                <w:spacing w:val="-13"/>
                <w:sz w:val="17"/>
              </w:rPr>
              <w:t> </w:t>
            </w:r>
            <w:r>
              <w:rPr>
                <w:b/>
                <w:spacing w:val="4"/>
                <w:sz w:val="17"/>
              </w:rPr>
              <w:t>prací,</w:t>
            </w:r>
            <w:r>
              <w:rPr>
                <w:b/>
                <w:spacing w:val="-17"/>
                <w:sz w:val="17"/>
              </w:rPr>
              <w:t> </w:t>
            </w:r>
            <w:r>
              <w:rPr>
                <w:b/>
                <w:sz w:val="17"/>
              </w:rPr>
              <w:t>ZL</w:t>
            </w:r>
            <w:r>
              <w:rPr>
                <w:b/>
                <w:spacing w:val="-13"/>
                <w:sz w:val="17"/>
              </w:rPr>
              <w:t> </w:t>
            </w:r>
            <w:r>
              <w:rPr>
                <w:b/>
                <w:sz w:val="17"/>
              </w:rPr>
              <w:t>1</w:t>
              <w:tab/>
            </w:r>
            <w:r>
              <w:rPr>
                <w:sz w:val="15"/>
              </w:rPr>
              <w:t>3</w:t>
            </w:r>
            <w:r>
              <w:rPr>
                <w:spacing w:val="5"/>
                <w:sz w:val="15"/>
              </w:rPr>
              <w:t> </w:t>
            </w:r>
            <w:r>
              <w:rPr>
                <w:sz w:val="15"/>
              </w:rPr>
              <w:t>strany</w:t>
              <w:tab/>
            </w:r>
            <w:r>
              <w:rPr>
                <w:sz w:val="17"/>
              </w:rPr>
              <w:t>A4</w:t>
            </w:r>
          </w:p>
        </w:tc>
      </w:tr>
      <w:tr>
        <w:trPr>
          <w:trHeight w:val="810" w:hRule="atLeast"/>
        </w:trPr>
        <w:tc>
          <w:tcPr>
            <w:tcW w:w="8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tabs>
                <w:tab w:pos="3607" w:val="left" w:leader="none"/>
              </w:tabs>
              <w:spacing w:line="188" w:lineRule="exact"/>
              <w:ind w:left="39"/>
              <w:rPr>
                <w:sz w:val="17"/>
              </w:rPr>
            </w:pPr>
            <w:r>
              <w:rPr>
                <w:b/>
                <w:sz w:val="17"/>
              </w:rPr>
              <w:t>Vyjádření</w:t>
            </w:r>
            <w:r>
              <w:rPr>
                <w:b/>
                <w:spacing w:val="-4"/>
                <w:sz w:val="17"/>
              </w:rPr>
              <w:t> </w:t>
            </w:r>
            <w:r>
              <w:rPr>
                <w:b/>
                <w:sz w:val="17"/>
              </w:rPr>
              <w:t>zhotovitele:</w:t>
              <w:tab/>
            </w:r>
            <w:r>
              <w:rPr>
                <w:sz w:val="17"/>
              </w:rPr>
              <w:t>BOLID M s.r.o. - Oldřich Albrecht</w:t>
            </w:r>
          </w:p>
          <w:p>
            <w:pPr>
              <w:pStyle w:val="TableParagraph"/>
              <w:spacing w:before="5"/>
              <w:rPr>
                <w:b/>
                <w:sz w:val="18"/>
              </w:rPr>
            </w:pPr>
          </w:p>
          <w:p>
            <w:pPr>
              <w:pStyle w:val="TableParagraph"/>
              <w:ind w:left="39"/>
              <w:rPr>
                <w:sz w:val="17"/>
              </w:rPr>
            </w:pPr>
            <w:r>
              <w:rPr>
                <w:sz w:val="17"/>
              </w:rPr>
              <w:t>Zhotovitel akceptuje provedení změn na základě rozhodnutí zadavatele.</w:t>
            </w:r>
          </w:p>
          <w:p>
            <w:pPr>
              <w:pStyle w:val="TableParagraph"/>
              <w:spacing w:line="179" w:lineRule="exact" w:before="16"/>
              <w:ind w:left="7620"/>
              <w:rPr>
                <w:sz w:val="17"/>
              </w:rPr>
            </w:pPr>
            <w:r>
              <w:rPr>
                <w:sz w:val="17"/>
              </w:rPr>
              <w:t>Datum a podpis:</w:t>
            </w:r>
          </w:p>
        </w:tc>
        <w:tc>
          <w:tcPr>
            <w:tcW w:w="4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8" w:lineRule="exact"/>
              <w:ind w:left="744"/>
              <w:rPr>
                <w:sz w:val="17"/>
              </w:rPr>
            </w:pPr>
            <w:r>
              <w:rPr>
                <w:sz w:val="17"/>
              </w:rPr>
              <w:t>14.08.2026</w:t>
            </w:r>
          </w:p>
        </w:tc>
      </w:tr>
      <w:tr>
        <w:trPr>
          <w:trHeight w:val="1050" w:hRule="atLeast"/>
        </w:trPr>
        <w:tc>
          <w:tcPr>
            <w:tcW w:w="8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tabs>
                <w:tab w:pos="3607" w:val="left" w:leader="none"/>
              </w:tabs>
              <w:spacing w:before="35"/>
              <w:ind w:left="39"/>
              <w:rPr>
                <w:sz w:val="17"/>
              </w:rPr>
            </w:pPr>
            <w:r>
              <w:rPr>
                <w:b/>
                <w:sz w:val="17"/>
              </w:rPr>
              <w:t>Vyjádření</w:t>
            </w:r>
            <w:r>
              <w:rPr>
                <w:b/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TDS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:</w:t>
              <w:tab/>
            </w:r>
            <w:r>
              <w:rPr>
                <w:sz w:val="17"/>
              </w:rPr>
              <w:t>Ing. Jiří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Mach</w:t>
            </w:r>
          </w:p>
          <w:p>
            <w:pPr>
              <w:pStyle w:val="TableParagraph"/>
              <w:spacing w:before="1"/>
              <w:rPr>
                <w:b/>
                <w:sz w:val="18"/>
              </w:rPr>
            </w:pPr>
          </w:p>
          <w:p>
            <w:pPr>
              <w:pStyle w:val="TableParagraph"/>
              <w:spacing w:line="259" w:lineRule="auto"/>
              <w:ind w:left="39" w:right="1173"/>
              <w:rPr>
                <w:sz w:val="17"/>
              </w:rPr>
            </w:pPr>
            <w:r>
              <w:rPr>
                <w:sz w:val="17"/>
              </w:rPr>
              <w:t>TDS prověřil potřebu prováděných změn, předložil tyto problémy k projednání na KD a následně prověřil hodnotové nacenění změn jednotlivých položek rozpočtu.</w:t>
            </w:r>
          </w:p>
          <w:p>
            <w:pPr>
              <w:pStyle w:val="TableParagraph"/>
              <w:spacing w:line="169" w:lineRule="exact"/>
              <w:ind w:left="7620"/>
              <w:rPr>
                <w:sz w:val="17"/>
              </w:rPr>
            </w:pPr>
            <w:r>
              <w:rPr>
                <w:sz w:val="17"/>
              </w:rPr>
              <w:t>Datum a podpis:</w:t>
            </w:r>
          </w:p>
        </w:tc>
        <w:tc>
          <w:tcPr>
            <w:tcW w:w="4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35"/>
              <w:ind w:left="744"/>
              <w:rPr>
                <w:sz w:val="17"/>
              </w:rPr>
            </w:pPr>
            <w:r>
              <w:rPr>
                <w:sz w:val="17"/>
              </w:rPr>
              <w:t>14.08.2026</w:t>
            </w:r>
          </w:p>
        </w:tc>
      </w:tr>
      <w:tr>
        <w:trPr>
          <w:trHeight w:val="932" w:hRule="atLeast"/>
        </w:trPr>
        <w:tc>
          <w:tcPr>
            <w:tcW w:w="89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tabs>
                <w:tab w:pos="3607" w:val="left" w:leader="none"/>
              </w:tabs>
              <w:spacing w:before="37"/>
              <w:ind w:left="39"/>
              <w:rPr>
                <w:sz w:val="17"/>
              </w:rPr>
            </w:pPr>
            <w:r>
              <w:rPr>
                <w:b/>
                <w:spacing w:val="4"/>
                <w:w w:val="95"/>
                <w:position w:val="3"/>
                <w:sz w:val="17"/>
              </w:rPr>
              <w:t>Vyjádření</w:t>
            </w:r>
            <w:r>
              <w:rPr>
                <w:b/>
                <w:spacing w:val="-4"/>
                <w:w w:val="95"/>
                <w:position w:val="3"/>
                <w:sz w:val="17"/>
              </w:rPr>
              <w:t> </w:t>
            </w:r>
            <w:r>
              <w:rPr>
                <w:b/>
                <w:spacing w:val="4"/>
                <w:w w:val="95"/>
                <w:position w:val="3"/>
                <w:sz w:val="17"/>
              </w:rPr>
              <w:t>objednatele:</w:t>
              <w:tab/>
            </w:r>
            <w:r>
              <w:rPr>
                <w:sz w:val="17"/>
              </w:rPr>
              <w:t>NPÚ-ÚPS Ústí nad Labem - Bc. Jitka Márová,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DiS.</w:t>
            </w:r>
          </w:p>
          <w:p>
            <w:pPr>
              <w:pStyle w:val="TableParagraph"/>
              <w:spacing w:line="210" w:lineRule="atLeast" w:before="118"/>
              <w:ind w:left="39" w:right="1173"/>
              <w:rPr>
                <w:sz w:val="17"/>
              </w:rPr>
            </w:pPr>
            <w:r>
              <w:rPr>
                <w:sz w:val="17"/>
              </w:rPr>
              <w:t>Souhlasím s realizací změny dle přiloženého rozpočtu. Rozsah předmětného plnění odpovídá skutečnosti.</w:t>
            </w:r>
          </w:p>
          <w:p>
            <w:pPr>
              <w:pStyle w:val="TableParagraph"/>
              <w:spacing w:line="112" w:lineRule="exact"/>
              <w:ind w:left="7620"/>
              <w:rPr>
                <w:sz w:val="17"/>
              </w:rPr>
            </w:pPr>
            <w:r>
              <w:rPr>
                <w:sz w:val="17"/>
              </w:rPr>
              <w:t>Datum a podpis:</w:t>
            </w:r>
          </w:p>
        </w:tc>
        <w:tc>
          <w:tcPr>
            <w:tcW w:w="4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0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67"/>
              <w:ind w:left="744"/>
              <w:rPr>
                <w:sz w:val="17"/>
              </w:rPr>
            </w:pPr>
            <w:r>
              <w:rPr>
                <w:sz w:val="17"/>
              </w:rPr>
              <w:t>14.08.2026</w:t>
            </w:r>
          </w:p>
        </w:tc>
      </w:tr>
    </w:tbl>
    <w:p>
      <w:pPr>
        <w:spacing w:after="0"/>
        <w:rPr>
          <w:sz w:val="17"/>
        </w:rPr>
        <w:sectPr>
          <w:type w:val="continuous"/>
          <w:pgSz w:w="11910" w:h="16840"/>
          <w:pgMar w:top="360" w:bottom="280" w:left="340" w:right="220"/>
        </w:sectPr>
      </w:pPr>
    </w:p>
    <w:p>
      <w:pPr>
        <w:pStyle w:val="BodyText"/>
        <w:spacing w:before="78" w:after="12"/>
        <w:ind w:left="3270" w:right="3451"/>
        <w:jc w:val="center"/>
      </w:pPr>
      <w:bookmarkStart w:name="Kalkulace" w:id="2"/>
      <w:bookmarkEnd w:id="2"/>
      <w:r>
        <w:rPr>
          <w:b w:val="0"/>
        </w:rPr>
      </w:r>
      <w:r>
        <w:rPr/>
        <w:t>Příloha č. 1 - Položkový soupis prací, ZL 1</w:t>
      </w:r>
    </w:p>
    <w:tbl>
      <w:tblPr>
        <w:tblW w:w="0" w:type="auto"/>
        <w:jc w:val="left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1089"/>
        <w:gridCol w:w="8329"/>
      </w:tblGrid>
      <w:tr>
        <w:trPr>
          <w:trHeight w:val="443" w:hRule="atLeast"/>
        </w:trPr>
        <w:tc>
          <w:tcPr>
            <w:tcW w:w="365" w:type="dxa"/>
          </w:tcPr>
          <w:p>
            <w:pPr>
              <w:pStyle w:val="TableParagraph"/>
              <w:spacing w:before="111"/>
              <w:ind w:left="35"/>
              <w:rPr>
                <w:sz w:val="19"/>
              </w:rPr>
            </w:pPr>
            <w:r>
              <w:rPr>
                <w:sz w:val="19"/>
              </w:rPr>
              <w:t>S:</w:t>
            </w:r>
          </w:p>
        </w:tc>
        <w:tc>
          <w:tcPr>
            <w:tcW w:w="1089" w:type="dxa"/>
            <w:tcBorders>
              <w:right w:val="nil"/>
            </w:tcBorders>
          </w:tcPr>
          <w:p>
            <w:pPr>
              <w:pStyle w:val="TableParagraph"/>
              <w:spacing w:before="111"/>
              <w:ind w:left="35"/>
              <w:rPr>
                <w:sz w:val="19"/>
              </w:rPr>
            </w:pPr>
            <w:r>
              <w:rPr>
                <w:sz w:val="19"/>
              </w:rPr>
              <w:t>1043_D1</w:t>
            </w:r>
          </w:p>
        </w:tc>
        <w:tc>
          <w:tcPr>
            <w:tcW w:w="8329" w:type="dxa"/>
            <w:tcBorders>
              <w:left w:val="nil"/>
            </w:tcBorders>
          </w:tcPr>
          <w:p>
            <w:pPr>
              <w:pStyle w:val="TableParagraph"/>
              <w:spacing w:before="102"/>
              <w:ind w:left="288"/>
              <w:rPr>
                <w:sz w:val="19"/>
              </w:rPr>
            </w:pPr>
            <w:r>
              <w:rPr>
                <w:sz w:val="19"/>
              </w:rPr>
              <w:t>SZ Březnice DODATEK 1</w:t>
            </w:r>
          </w:p>
        </w:tc>
      </w:tr>
      <w:tr>
        <w:trPr>
          <w:trHeight w:val="443" w:hRule="atLeast"/>
        </w:trPr>
        <w:tc>
          <w:tcPr>
            <w:tcW w:w="365" w:type="dxa"/>
          </w:tcPr>
          <w:p>
            <w:pPr>
              <w:pStyle w:val="TableParagraph"/>
              <w:spacing w:before="112"/>
              <w:ind w:left="35"/>
              <w:rPr>
                <w:sz w:val="19"/>
              </w:rPr>
            </w:pPr>
            <w:r>
              <w:rPr>
                <w:sz w:val="19"/>
              </w:rPr>
              <w:t>O:</w:t>
            </w:r>
          </w:p>
        </w:tc>
        <w:tc>
          <w:tcPr>
            <w:tcW w:w="1089" w:type="dxa"/>
            <w:tcBorders>
              <w:right w:val="nil"/>
            </w:tcBorders>
          </w:tcPr>
          <w:p>
            <w:pPr>
              <w:pStyle w:val="TableParagraph"/>
              <w:spacing w:before="112"/>
              <w:ind w:left="35"/>
              <w:rPr>
                <w:sz w:val="19"/>
              </w:rPr>
            </w:pPr>
            <w:r>
              <w:rPr>
                <w:sz w:val="19"/>
              </w:rPr>
              <w:t>01</w:t>
            </w:r>
          </w:p>
        </w:tc>
        <w:tc>
          <w:tcPr>
            <w:tcW w:w="8329" w:type="dxa"/>
            <w:tcBorders>
              <w:left w:val="nil"/>
            </w:tcBorders>
          </w:tcPr>
          <w:p>
            <w:pPr>
              <w:pStyle w:val="TableParagraph"/>
              <w:spacing w:before="102"/>
              <w:ind w:left="288"/>
              <w:rPr>
                <w:sz w:val="19"/>
              </w:rPr>
            </w:pPr>
            <w:r>
              <w:rPr>
                <w:sz w:val="19"/>
              </w:rPr>
              <w:t>Oprava části stropu fáze 4-5</w:t>
            </w:r>
          </w:p>
        </w:tc>
      </w:tr>
      <w:tr>
        <w:trPr>
          <w:trHeight w:val="443" w:hRule="atLeast"/>
        </w:trPr>
        <w:tc>
          <w:tcPr>
            <w:tcW w:w="365" w:type="dxa"/>
            <w:shd w:val="clear" w:color="auto" w:fill="D5E0ED"/>
          </w:tcPr>
          <w:p>
            <w:pPr>
              <w:pStyle w:val="TableParagraph"/>
              <w:spacing w:before="112"/>
              <w:ind w:left="35"/>
              <w:rPr>
                <w:sz w:val="19"/>
              </w:rPr>
            </w:pPr>
            <w:r>
              <w:rPr>
                <w:sz w:val="19"/>
              </w:rPr>
              <w:t>R:</w:t>
            </w:r>
          </w:p>
        </w:tc>
        <w:tc>
          <w:tcPr>
            <w:tcW w:w="1089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before="112"/>
              <w:ind w:left="35"/>
              <w:rPr>
                <w:sz w:val="19"/>
              </w:rPr>
            </w:pPr>
            <w:r>
              <w:rPr>
                <w:sz w:val="19"/>
              </w:rPr>
              <w:t>001</w:t>
            </w:r>
          </w:p>
        </w:tc>
        <w:tc>
          <w:tcPr>
            <w:tcW w:w="8329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before="102"/>
              <w:ind w:left="288"/>
              <w:rPr>
                <w:sz w:val="19"/>
              </w:rPr>
            </w:pPr>
            <w:r>
              <w:rPr>
                <w:sz w:val="19"/>
              </w:rPr>
              <w:t>Oprava části stropu fáze 4-5</w:t>
            </w:r>
          </w:p>
        </w:tc>
      </w:tr>
    </w:tbl>
    <w:p>
      <w:pPr>
        <w:spacing w:line="240" w:lineRule="auto" w:before="11" w:after="0"/>
        <w:rPr>
          <w:b/>
          <w:sz w:val="18"/>
        </w:rPr>
      </w:pPr>
    </w:p>
    <w:tbl>
      <w:tblPr>
        <w:tblW w:w="0" w:type="auto"/>
        <w:jc w:val="left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1332"/>
        <w:gridCol w:w="4058"/>
        <w:gridCol w:w="513"/>
        <w:gridCol w:w="1120"/>
        <w:gridCol w:w="1043"/>
        <w:gridCol w:w="1348"/>
      </w:tblGrid>
      <w:tr>
        <w:trPr>
          <w:trHeight w:val="692" w:hRule="atLeast"/>
        </w:trPr>
        <w:tc>
          <w:tcPr>
            <w:tcW w:w="365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right="-29"/>
              <w:jc w:val="right"/>
              <w:rPr>
                <w:sz w:val="19"/>
              </w:rPr>
            </w:pPr>
            <w:r>
              <w:rPr>
                <w:sz w:val="19"/>
              </w:rPr>
              <w:t>P.č.</w:t>
            </w:r>
          </w:p>
        </w:tc>
        <w:tc>
          <w:tcPr>
            <w:tcW w:w="1332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left="35"/>
              <w:rPr>
                <w:sz w:val="19"/>
              </w:rPr>
            </w:pPr>
            <w:r>
              <w:rPr>
                <w:sz w:val="19"/>
              </w:rPr>
              <w:t>Číslo položky</w:t>
            </w:r>
          </w:p>
        </w:tc>
        <w:tc>
          <w:tcPr>
            <w:tcW w:w="4058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left="35"/>
              <w:rPr>
                <w:sz w:val="19"/>
              </w:rPr>
            </w:pPr>
            <w:r>
              <w:rPr>
                <w:sz w:val="19"/>
              </w:rPr>
              <w:t>Název položky</w:t>
            </w:r>
          </w:p>
        </w:tc>
        <w:tc>
          <w:tcPr>
            <w:tcW w:w="513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right="97"/>
              <w:jc w:val="right"/>
              <w:rPr>
                <w:sz w:val="19"/>
              </w:rPr>
            </w:pPr>
            <w:r>
              <w:rPr>
                <w:sz w:val="19"/>
              </w:rPr>
              <w:t>MJ</w:t>
            </w:r>
          </w:p>
        </w:tc>
        <w:tc>
          <w:tcPr>
            <w:tcW w:w="1120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left="36"/>
              <w:rPr>
                <w:sz w:val="19"/>
              </w:rPr>
            </w:pPr>
            <w:r>
              <w:rPr>
                <w:sz w:val="19"/>
              </w:rPr>
              <w:t>Množství</w:t>
            </w:r>
          </w:p>
        </w:tc>
        <w:tc>
          <w:tcPr>
            <w:tcW w:w="1043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left="37"/>
              <w:rPr>
                <w:sz w:val="19"/>
              </w:rPr>
            </w:pPr>
            <w:r>
              <w:rPr>
                <w:sz w:val="19"/>
              </w:rPr>
              <w:t>Cena / MJ</w:t>
            </w:r>
          </w:p>
        </w:tc>
        <w:tc>
          <w:tcPr>
            <w:tcW w:w="1348" w:type="dxa"/>
            <w:shd w:val="clear" w:color="auto" w:fill="DBDBDB"/>
          </w:tcPr>
          <w:p>
            <w:pPr>
              <w:pStyle w:val="TableParagraph"/>
              <w:rPr>
                <w:b/>
                <w:sz w:val="20"/>
              </w:rPr>
            </w:pPr>
          </w:p>
          <w:p>
            <w:pPr>
              <w:pStyle w:val="TableParagraph"/>
              <w:spacing w:before="9"/>
              <w:rPr>
                <w:b/>
                <w:sz w:val="20"/>
              </w:rPr>
            </w:pPr>
          </w:p>
          <w:p>
            <w:pPr>
              <w:pStyle w:val="TableParagraph"/>
              <w:spacing w:line="203" w:lineRule="exact"/>
              <w:ind w:left="38"/>
              <w:rPr>
                <w:sz w:val="19"/>
              </w:rPr>
            </w:pPr>
            <w:r>
              <w:rPr>
                <w:sz w:val="19"/>
              </w:rPr>
              <w:t>Celkem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right="19"/>
              <w:jc w:val="righ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Díl: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099</w:t>
            </w:r>
          </w:p>
        </w:tc>
        <w:tc>
          <w:tcPr>
            <w:tcW w:w="4058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1" w:lineRule="exact" w:before="6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Přesun hmot HSV</w:t>
            </w:r>
          </w:p>
        </w:tc>
        <w:tc>
          <w:tcPr>
            <w:tcW w:w="51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8 214,33</w:t>
            </w: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997013213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Vnitrostaveništní doprava suti a vybouraných hmot pro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budovy v přes 9 do 12 m ručně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t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2,72900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572,00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1 560,99</w:t>
            </w:r>
          </w:p>
        </w:tc>
      </w:tr>
      <w:tr>
        <w:trPr>
          <w:trHeight w:val="209" w:hRule="atLeast"/>
        </w:trPr>
        <w:tc>
          <w:tcPr>
            <w:tcW w:w="36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dem. hmot. položky pořadí 25 : 0,27000</w:t>
            </w:r>
          </w:p>
        </w:tc>
        <w:tc>
          <w:tcPr>
            <w:tcW w:w="51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0,27000</w:t>
            </w:r>
          </w:p>
        </w:tc>
        <w:tc>
          <w:tcPr>
            <w:tcW w:w="104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1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dem. hmot. položky pořadí 26 : 0,09800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1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0,09800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1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dem. hmot. položky pořadí 27 : 1,20000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1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1,20000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1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dem. hmot. položky pořadí 34 : 0,82500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1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0,82500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36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31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dem. hmot. položky pořadí 37 : 0,33600</w:t>
            </w:r>
          </w:p>
        </w:tc>
        <w:tc>
          <w:tcPr>
            <w:tcW w:w="51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31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0,33600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2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997013501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Odvoz suti a vybouraných hmot na skládku nebo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meziskládku do 1 km se složením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t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2,72900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330,50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901,93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1 : 2,72900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2,72900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3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997013509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Příplatek k odvozu suti a vybouraných hmot na skládku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ZKD 1 km přes 1 km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t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38,20600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28,20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1 077,41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2 : 2,72900*14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38,20600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4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997013631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Poplatek za uložení na skládce (skládkovné) stavebního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odpadu směsného kód odpadu 17 09 04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t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1,56800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1 500,00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2 352,00</w:t>
            </w:r>
          </w:p>
        </w:tc>
      </w:tr>
      <w:tr>
        <w:trPr>
          <w:trHeight w:val="209" w:hRule="atLeast"/>
        </w:trPr>
        <w:tc>
          <w:tcPr>
            <w:tcW w:w="36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2 : 2,72900</w:t>
            </w:r>
          </w:p>
        </w:tc>
        <w:tc>
          <w:tcPr>
            <w:tcW w:w="51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2,72900</w:t>
            </w:r>
          </w:p>
        </w:tc>
        <w:tc>
          <w:tcPr>
            <w:tcW w:w="104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36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31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5 : 1,16100*-1</w:t>
            </w:r>
          </w:p>
        </w:tc>
        <w:tc>
          <w:tcPr>
            <w:tcW w:w="51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31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-1,16100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5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997013811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Poplatek za uložení na skládce (skládkovné) stavebního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odpadu dřevěného kód odpadu 17 02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t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1,16100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2 000,00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2 322,00</w:t>
            </w:r>
          </w:p>
        </w:tc>
      </w:tr>
      <w:tr>
        <w:trPr>
          <w:trHeight w:val="209" w:hRule="atLeast"/>
        </w:trPr>
        <w:tc>
          <w:tcPr>
            <w:tcW w:w="36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dem. hmot. položky pořadí 34 : 0,82500</w:t>
            </w:r>
          </w:p>
        </w:tc>
        <w:tc>
          <w:tcPr>
            <w:tcW w:w="51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0,82500</w:t>
            </w:r>
          </w:p>
        </w:tc>
        <w:tc>
          <w:tcPr>
            <w:tcW w:w="104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36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31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dem. hmot. položky pořadí 37 : 0,33600</w:t>
            </w:r>
          </w:p>
        </w:tc>
        <w:tc>
          <w:tcPr>
            <w:tcW w:w="51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31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0,33600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right="19"/>
              <w:jc w:val="righ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Díl: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left="45"/>
              <w:rPr>
                <w:b/>
                <w:sz w:val="19"/>
              </w:rPr>
            </w:pPr>
            <w:r>
              <w:rPr>
                <w:b/>
                <w:w w:val="101"/>
                <w:sz w:val="19"/>
              </w:rPr>
              <w:t>3</w:t>
            </w:r>
          </w:p>
        </w:tc>
        <w:tc>
          <w:tcPr>
            <w:tcW w:w="4058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1" w:lineRule="exact" w:before="6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Svislé a kompletní konstrukce</w:t>
            </w:r>
          </w:p>
        </w:tc>
        <w:tc>
          <w:tcPr>
            <w:tcW w:w="51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1 736,00</w:t>
            </w: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6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346244381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Plentování jednostranné v do 200 mm cihlami CS ÚRS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13"/>
              <w:jc w:val="right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1,40000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1 240,00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1 736,00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7,00*0,20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1,40000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right="19"/>
              <w:jc w:val="righ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Díl: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left="45"/>
              <w:rPr>
                <w:b/>
                <w:sz w:val="19"/>
              </w:rPr>
            </w:pPr>
            <w:r>
              <w:rPr>
                <w:b/>
                <w:w w:val="101"/>
                <w:sz w:val="19"/>
              </w:rPr>
              <w:t>4</w:t>
            </w:r>
          </w:p>
        </w:tc>
        <w:tc>
          <w:tcPr>
            <w:tcW w:w="4058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1" w:lineRule="exact" w:before="6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Vodorovné konstrukce</w:t>
            </w:r>
          </w:p>
        </w:tc>
        <w:tc>
          <w:tcPr>
            <w:tcW w:w="51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4 100,00</w:t>
            </w: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7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413231231RT2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Úprava kapes pro zhlaví stropních trámů doplnění a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zarovnání po obsekání zhlaví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3"/>
              <w:jc w:val="right"/>
              <w:rPr>
                <w:sz w:val="15"/>
              </w:rPr>
            </w:pPr>
            <w:r>
              <w:rPr>
                <w:sz w:val="15"/>
              </w:rPr>
              <w:t>kus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5,00000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820,00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4 100,00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25 : 5,00000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5,00000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right="19"/>
              <w:jc w:val="righ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Díl: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61</w:t>
            </w:r>
          </w:p>
        </w:tc>
        <w:tc>
          <w:tcPr>
            <w:tcW w:w="4058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1" w:lineRule="exact" w:before="6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Úpravy povrchů vnitřní</w:t>
            </w:r>
          </w:p>
        </w:tc>
        <w:tc>
          <w:tcPr>
            <w:tcW w:w="51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line="189" w:lineRule="exact" w:before="8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39 701,50</w:t>
            </w: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8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610991111R00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Zakrývání výplní vnitřních otvorů překrytí a zalepení folií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13"/>
              <w:jc w:val="right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5,00000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71,90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359,50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zakrývání pro výmalbu, předpoklad : 5,00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5,00000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0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9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611142022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Pletivo vnitřních ploch rákosová rohož přichycená na strop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v jedné vrstvě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13"/>
              <w:jc w:val="right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24,00000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209,00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5 016,00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27 : 24,00000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24,00000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06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10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611143011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273" w:lineRule="auto" w:before="3"/>
              <w:ind w:left="30" w:right="151"/>
              <w:rPr>
                <w:sz w:val="15"/>
              </w:rPr>
            </w:pPr>
            <w:r>
              <w:rPr>
                <w:sz w:val="15"/>
              </w:rPr>
              <w:t>Okrajová výdřeva v podhledu stropů pro napnutí pletiva pod omítku na zdech a průvlacích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6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m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20,00000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575,00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11 500,00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12 : 20,00000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20,00000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11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611311141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Vápenná omítka štuková dvouvrstvá vnitřních stropů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rovných nanášená ručně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13"/>
              <w:jc w:val="right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24,00000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534,00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12 816,00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9 : 24,00000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24,00000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12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619315131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Vytažení vápenných fabionů, hran nebo koutů CS ÚRS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64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m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20,00000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319,00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6 380,00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předpoklad : 20,00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20,00000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13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784011222RT2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Zakrytí podlah, včetně odstranění včetně materiálu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13"/>
              <w:jc w:val="right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50,00000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72,60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3 630,00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fáze 4-5 : 50,00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50,00000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55" w:hRule="atLeast"/>
        </w:trPr>
        <w:tc>
          <w:tcPr>
            <w:tcW w:w="365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before="8"/>
              <w:ind w:right="19"/>
              <w:jc w:val="righ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Díl: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before="8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95</w:t>
            </w:r>
          </w:p>
        </w:tc>
        <w:tc>
          <w:tcPr>
            <w:tcW w:w="4058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before="6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Dokončovací konstrukce na pozemních</w:t>
            </w:r>
          </w:p>
          <w:p>
            <w:pPr>
              <w:pStyle w:val="TableParagraph"/>
              <w:spacing w:line="182" w:lineRule="exact" w:before="29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stavbách</w:t>
            </w:r>
          </w:p>
        </w:tc>
        <w:tc>
          <w:tcPr>
            <w:tcW w:w="51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before="8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17 682,70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14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34201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Dočasná přepážka prachotěsná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13"/>
              <w:jc w:val="right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4,00000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72,60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290,40</w:t>
            </w:r>
          </w:p>
        </w:tc>
      </w:tr>
      <w:tr>
        <w:trPr>
          <w:trHeight w:val="229" w:hRule="atLeast"/>
        </w:trPr>
        <w:tc>
          <w:tcPr>
            <w:tcW w:w="365" w:type="dxa"/>
            <w:tcBorders>
              <w:bottom w:val="nil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9"/>
              <w:jc w:val="right"/>
              <w:rPr>
                <w:sz w:val="15"/>
              </w:rPr>
            </w:pPr>
            <w:r>
              <w:rPr>
                <w:sz w:val="15"/>
              </w:rPr>
              <w:t>15</w:t>
            </w:r>
          </w:p>
        </w:tc>
        <w:tc>
          <w:tcPr>
            <w:tcW w:w="1332" w:type="dxa"/>
            <w:tcBorders>
              <w:left w:val="single" w:sz="8" w:space="0" w:color="808080"/>
              <w:bottom w:val="nil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771101101R00</w:t>
            </w:r>
          </w:p>
        </w:tc>
        <w:tc>
          <w:tcPr>
            <w:tcW w:w="4058" w:type="dxa"/>
            <w:tcBorders>
              <w:left w:val="single" w:sz="8" w:space="0" w:color="808080"/>
              <w:bottom w:val="nil"/>
              <w:right w:val="single" w:sz="8" w:space="0" w:color="808080"/>
            </w:tcBorders>
          </w:tcPr>
          <w:p>
            <w:pPr>
              <w:pStyle w:val="TableParagraph"/>
              <w:spacing w:before="3"/>
              <w:ind w:left="30"/>
              <w:rPr>
                <w:sz w:val="15"/>
              </w:rPr>
            </w:pPr>
            <w:r>
              <w:rPr>
                <w:sz w:val="15"/>
              </w:rPr>
              <w:t>Vysávání stěn průmyslovým vysavačem</w:t>
            </w:r>
          </w:p>
        </w:tc>
        <w:tc>
          <w:tcPr>
            <w:tcW w:w="513" w:type="dxa"/>
            <w:tcBorders>
              <w:left w:val="single" w:sz="8" w:space="0" w:color="808080"/>
              <w:bottom w:val="nil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113"/>
              <w:jc w:val="right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bottom w:val="nil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75,00000</w:t>
            </w:r>
          </w:p>
        </w:tc>
        <w:tc>
          <w:tcPr>
            <w:tcW w:w="1043" w:type="dxa"/>
            <w:tcBorders>
              <w:left w:val="single" w:sz="8" w:space="0" w:color="808080"/>
              <w:bottom w:val="nil"/>
              <w:right w:val="single" w:sz="8" w:space="0" w:color="808080"/>
            </w:tcBorders>
          </w:tcPr>
          <w:p>
            <w:pPr>
              <w:pStyle w:val="TableParagraph"/>
              <w:spacing w:before="3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11,10</w:t>
            </w:r>
          </w:p>
        </w:tc>
        <w:tc>
          <w:tcPr>
            <w:tcW w:w="1348" w:type="dxa"/>
            <w:tcBorders>
              <w:left w:val="single" w:sz="8" w:space="0" w:color="808080"/>
              <w:bottom w:val="nil"/>
            </w:tcBorders>
          </w:tcPr>
          <w:p>
            <w:pPr>
              <w:pStyle w:val="TableParagraph"/>
              <w:spacing w:before="3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832,50</w:t>
            </w:r>
          </w:p>
        </w:tc>
      </w:tr>
    </w:tbl>
    <w:p>
      <w:pPr>
        <w:spacing w:after="0"/>
        <w:jc w:val="right"/>
        <w:rPr>
          <w:sz w:val="15"/>
        </w:rPr>
        <w:sectPr>
          <w:pgSz w:w="11910" w:h="16840"/>
          <w:pgMar w:top="1060" w:bottom="280" w:left="340" w:right="220"/>
        </w:sectPr>
      </w:pPr>
    </w:p>
    <w:tbl>
      <w:tblPr>
        <w:tblW w:w="0" w:type="auto"/>
        <w:jc w:val="left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1332"/>
        <w:gridCol w:w="4058"/>
        <w:gridCol w:w="513"/>
        <w:gridCol w:w="1120"/>
        <w:gridCol w:w="1043"/>
        <w:gridCol w:w="1348"/>
      </w:tblGrid>
      <w:tr>
        <w:trPr>
          <w:trHeight w:val="611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16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946111113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273" w:lineRule="auto"/>
              <w:ind w:left="30" w:right="151"/>
              <w:rPr>
                <w:sz w:val="15"/>
              </w:rPr>
            </w:pPr>
            <w:r>
              <w:rPr>
                <w:sz w:val="15"/>
              </w:rPr>
              <w:t>Montáž pojízdných věží trubkových nebo dílcových š od 0,6 do 0,9 m dl do 3,2 m v přes 2,5 do 3,5 m CS ÚRS</w:t>
            </w:r>
          </w:p>
          <w:p>
            <w:pPr>
              <w:pStyle w:val="TableParagraph"/>
              <w:ind w:left="30"/>
              <w:rPr>
                <w:sz w:val="15"/>
              </w:rPr>
            </w:pPr>
            <w:r>
              <w:rPr>
                <w:sz w:val="15"/>
              </w:rPr>
              <w:t>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3"/>
              <w:rPr>
                <w:sz w:val="15"/>
              </w:rPr>
            </w:pPr>
            <w:r>
              <w:rPr>
                <w:sz w:val="15"/>
              </w:rPr>
              <w:t>kus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2 870,00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2 870,00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fáze 4-5 částečný rozsah : 1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06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17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946111213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Každý den použití pojízdných věží trubkových nebo</w:t>
            </w:r>
          </w:p>
          <w:p>
            <w:pPr>
              <w:pStyle w:val="TableParagraph"/>
              <w:spacing w:line="190" w:lineRule="atLeast" w:before="7"/>
              <w:ind w:left="30" w:right="151"/>
              <w:rPr>
                <w:sz w:val="15"/>
              </w:rPr>
            </w:pPr>
            <w:r>
              <w:rPr>
                <w:sz w:val="15"/>
              </w:rPr>
              <w:t>dílcových š od 0,6 do 0,9 m dl do 3,2 m v přes 2,5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58" w:lineRule="exact"/>
              <w:ind w:left="40"/>
              <w:rPr>
                <w:sz w:val="14"/>
              </w:rPr>
            </w:pPr>
            <w:r>
              <w:rPr>
                <w:w w:val="95"/>
                <w:sz w:val="14"/>
              </w:rPr>
              <w:t>kusden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12,00000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310,00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3 720,00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16 : 1,00000*12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12,00000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06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18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946111813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Demontáž pojízdných věží trubkových nebo dílcových š</w:t>
            </w:r>
          </w:p>
          <w:p>
            <w:pPr>
              <w:pStyle w:val="TableParagraph"/>
              <w:spacing w:line="190" w:lineRule="atLeast" w:before="6"/>
              <w:ind w:left="30"/>
              <w:rPr>
                <w:sz w:val="15"/>
              </w:rPr>
            </w:pPr>
            <w:r>
              <w:rPr>
                <w:sz w:val="15"/>
              </w:rPr>
              <w:t>od 0,6 do 0,9 m dl do 3,2 m v přes 2,5 do 3,5 m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3"/>
              <w:rPr>
                <w:sz w:val="15"/>
              </w:rPr>
            </w:pPr>
            <w:r>
              <w:rPr>
                <w:sz w:val="15"/>
              </w:rPr>
              <w:t>kus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1 720,00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1 720,00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16 : 1,00000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19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952901111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Vyčištění budov bytové a občanské výstavby při výšce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podlaží do 4 m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55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50,00000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161,00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8 050,00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fáze 4-5 : 50,00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50,00000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20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993122311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Dovoz lešení prostorového lehkého do 10 km včetně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naložení a složení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69"/>
              <w:rPr>
                <w:sz w:val="15"/>
              </w:rPr>
            </w:pPr>
            <w:r>
              <w:rPr>
                <w:sz w:val="15"/>
              </w:rPr>
              <w:t>m3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6,00000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12,20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73,20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pojízdná lešeňová věž : 0,80*3,00*2,50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6,00000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21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993122319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Příplatek k ceně dovozu lešení prostorového lehkého ZKD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10 km přes 10 km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69"/>
              <w:rPr>
                <w:sz w:val="15"/>
              </w:rPr>
            </w:pPr>
            <w:r>
              <w:rPr>
                <w:sz w:val="15"/>
              </w:rPr>
              <w:t>m3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6,00000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3,45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20,70</w:t>
            </w:r>
          </w:p>
        </w:tc>
      </w:tr>
      <w:tr>
        <w:trPr>
          <w:trHeight w:val="455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20"/>
              </w:rPr>
            </w:pPr>
          </w:p>
          <w:p>
            <w:pPr>
              <w:pStyle w:val="TableParagraph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20 : 6,00000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20"/>
              </w:rPr>
            </w:pPr>
          </w:p>
          <w:p>
            <w:pPr>
              <w:pStyle w:val="TableParagraph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6,00000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22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993122411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Odvoz lešení prostorového lehkého do 10 km včetně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naložení a složení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69"/>
              <w:rPr>
                <w:sz w:val="15"/>
              </w:rPr>
            </w:pPr>
            <w:r>
              <w:rPr>
                <w:sz w:val="15"/>
              </w:rPr>
              <w:t>m3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6,00000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14,20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85,20</w:t>
            </w:r>
          </w:p>
        </w:tc>
      </w:tr>
      <w:tr>
        <w:trPr>
          <w:trHeight w:val="455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20"/>
              </w:rPr>
            </w:pPr>
          </w:p>
          <w:p>
            <w:pPr>
              <w:pStyle w:val="TableParagraph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20 : 6,00000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20"/>
              </w:rPr>
            </w:pPr>
          </w:p>
          <w:p>
            <w:pPr>
              <w:pStyle w:val="TableParagraph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6,00000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23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993122419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Příplatek k ceně odvozu lešení prostorového lehkého ZKD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10 km přes 10 km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69"/>
              <w:rPr>
                <w:sz w:val="15"/>
              </w:rPr>
            </w:pPr>
            <w:r>
              <w:rPr>
                <w:sz w:val="15"/>
              </w:rPr>
              <w:t>m3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6,00000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3,45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20,70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22 : 6,00000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6,00000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left="19" w:right="5"/>
              <w:jc w:val="center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Díl: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96</w:t>
            </w:r>
          </w:p>
        </w:tc>
        <w:tc>
          <w:tcPr>
            <w:tcW w:w="4058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5" w:lineRule="exact" w:before="3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Bourání konstrukcí</w:t>
            </w:r>
          </w:p>
        </w:tc>
        <w:tc>
          <w:tcPr>
            <w:tcW w:w="51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17 752,00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24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009001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Odříznutí omítky v místech kolem otloukání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m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30,00000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244,00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7 320,00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25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964061341R00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Uvolnění zhlaví trámu, zeď cihel. obsekání zhlaví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3"/>
              <w:rPr>
                <w:sz w:val="15"/>
              </w:rPr>
            </w:pPr>
            <w:r>
              <w:rPr>
                <w:sz w:val="15"/>
              </w:rPr>
              <w:t>kus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5,00000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831,00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4 155,00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vyměňované trámy : 5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5,00000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26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973031336R00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Vysekání kapes a výklenků ve zdivu z cihel na MVC,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plocha do 0,16 m2, hloubka do 450 mm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3"/>
              <w:rPr>
                <w:sz w:val="15"/>
              </w:rPr>
            </w:pPr>
            <w:r>
              <w:rPr>
                <w:sz w:val="15"/>
              </w:rPr>
              <w:t>kus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781,00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781,00</w:t>
            </w:r>
          </w:p>
        </w:tc>
      </w:tr>
      <w:tr>
        <w:trPr>
          <w:trHeight w:val="39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nová kapsa pro vyměňovaný trám - změna polohy</w:t>
            </w:r>
          </w:p>
          <w:p>
            <w:pPr>
              <w:pStyle w:val="TableParagraph"/>
              <w:spacing w:before="24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osazení : 1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06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27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978012191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273" w:lineRule="auto"/>
              <w:ind w:left="30"/>
              <w:rPr>
                <w:sz w:val="15"/>
              </w:rPr>
            </w:pPr>
            <w:r>
              <w:rPr>
                <w:sz w:val="15"/>
              </w:rPr>
              <w:t>Otlučení (osekání) vnitřní stropů tl do 25 mm potažených pletivem v rozsahu přes 50 do 100%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55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24,00000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229,00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5 496,00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37 : 24,00000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24,00000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left="19" w:right="5"/>
              <w:jc w:val="center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Díl: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99</w:t>
            </w:r>
          </w:p>
        </w:tc>
        <w:tc>
          <w:tcPr>
            <w:tcW w:w="4058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5" w:lineRule="exact" w:before="3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Staveništní přesun hmot</w:t>
            </w:r>
          </w:p>
        </w:tc>
        <w:tc>
          <w:tcPr>
            <w:tcW w:w="51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7 203,43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28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999281148R00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Přesun hmot pro opravy a údržbu ztížený, nošením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8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t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2,52752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2 850,00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7 203,43</w:t>
            </w:r>
          </w:p>
        </w:tc>
      </w:tr>
      <w:tr>
        <w:trPr>
          <w:trHeight w:val="209" w:hRule="atLeast"/>
        </w:trPr>
        <w:tc>
          <w:tcPr>
            <w:tcW w:w="36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6 : 0,25346</w:t>
            </w:r>
          </w:p>
        </w:tc>
        <w:tc>
          <w:tcPr>
            <w:tcW w:w="51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0,25346</w:t>
            </w:r>
          </w:p>
        </w:tc>
        <w:tc>
          <w:tcPr>
            <w:tcW w:w="104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7 : 0,37725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0,37725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8 : 0,00020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0,00020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9 : 0,02256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0,02256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10 : 0,58940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0,58940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11 : 0,86736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0,86736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12 : 0,30680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0,30680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13 : 0,01150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0,01150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14 : 0,08840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0,08840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19 : 0,00200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0,00200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25 : 0,00810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0,00810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36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hmot. položky pořadí 26 : 0,00049</w:t>
            </w:r>
          </w:p>
        </w:tc>
        <w:tc>
          <w:tcPr>
            <w:tcW w:w="51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0,00049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left="19" w:right="5"/>
              <w:jc w:val="center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Díl: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762</w:t>
            </w:r>
          </w:p>
        </w:tc>
        <w:tc>
          <w:tcPr>
            <w:tcW w:w="4058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5" w:lineRule="exact" w:before="3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Konstrukce tesařské</w:t>
            </w:r>
          </w:p>
        </w:tc>
        <w:tc>
          <w:tcPr>
            <w:tcW w:w="51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81 636,66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29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7620041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Podepření podhledu trámových dřevěných stropů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3"/>
              <w:rPr>
                <w:sz w:val="15"/>
              </w:rPr>
            </w:pPr>
            <w:r>
              <w:rPr>
                <w:sz w:val="15"/>
              </w:rPr>
              <w:t>kus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4 000,00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4 000,00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fáze 4-5 : 1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30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762081150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Hoblování hraněného řeziva ve staveništní dílně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55"/>
              <w:rPr>
                <w:sz w:val="15"/>
              </w:rPr>
            </w:pPr>
            <w:r>
              <w:rPr>
                <w:sz w:val="15"/>
              </w:rPr>
              <w:t>m3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1,29600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2 900,00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3 758,40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vyměňované trámy : 5*0,16*0,30*5,00*1,08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1,29600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31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762395000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Spojovací prostředky krovů, bednění, laťování,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nadstřešních konstrukcí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55"/>
              <w:rPr>
                <w:sz w:val="15"/>
              </w:rPr>
            </w:pPr>
            <w:r>
              <w:rPr>
                <w:sz w:val="15"/>
              </w:rPr>
              <w:t>m3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2,02176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1 413,00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2 856,75</w:t>
            </w:r>
          </w:p>
        </w:tc>
      </w:tr>
      <w:tr>
        <w:trPr>
          <w:trHeight w:val="209" w:hRule="atLeast"/>
        </w:trPr>
        <w:tc>
          <w:tcPr>
            <w:tcW w:w="36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33 : 1,29600</w:t>
            </w:r>
          </w:p>
        </w:tc>
        <w:tc>
          <w:tcPr>
            <w:tcW w:w="51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1,29600</w:t>
            </w:r>
          </w:p>
        </w:tc>
        <w:tc>
          <w:tcPr>
            <w:tcW w:w="104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04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56" w:lineRule="exact"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36 : 0,72576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156" w:lineRule="exact"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0,72576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>
      <w:pPr>
        <w:spacing w:after="0"/>
        <w:rPr>
          <w:rFonts w:ascii="Times New Roman"/>
          <w:sz w:val="14"/>
        </w:rPr>
        <w:sectPr>
          <w:pgSz w:w="11910" w:h="16840"/>
          <w:pgMar w:top="1120" w:bottom="280" w:left="340" w:right="220"/>
        </w:sectPr>
      </w:pPr>
    </w:p>
    <w:tbl>
      <w:tblPr>
        <w:tblW w:w="0" w:type="auto"/>
        <w:jc w:val="left"/>
        <w:tblInd w:w="6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5"/>
        <w:gridCol w:w="1332"/>
        <w:gridCol w:w="4058"/>
        <w:gridCol w:w="513"/>
        <w:gridCol w:w="1120"/>
        <w:gridCol w:w="1043"/>
        <w:gridCol w:w="1348"/>
      </w:tblGrid>
      <w:tr>
        <w:trPr>
          <w:trHeight w:val="402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32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762822140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Montáž stropního trámu z hraněného řeziva průřezové pl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přes 450 do 540 cm2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m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25,00000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223,00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5 575,00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34 : 25,00000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25,00000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33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60512136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hranol stavební řezivo, vysušené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1" w:right="102"/>
              <w:jc w:val="center"/>
              <w:rPr>
                <w:sz w:val="15"/>
              </w:rPr>
            </w:pPr>
            <w:r>
              <w:rPr>
                <w:sz w:val="15"/>
              </w:rPr>
              <w:t>m3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1,29600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18 000,00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23 328,00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vyměňované trámy : 5*0,16*0,30*5,00*1,08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1,29600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34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762822840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Demontáž stropních trámů z hraněného řeziva průřezové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pl přes 450 do 540 cm2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2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m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25,00000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99,60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2 490,00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vyměňované trámy : 5*5,00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25,00000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35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762841110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Montáž podbíjení stropů a střech rovných z hrubých prken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na sraz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1" w:right="102"/>
              <w:jc w:val="center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24,00000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164,00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3 936,00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37 : 24,00000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24,00000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06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36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60511120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273" w:lineRule="auto"/>
              <w:ind w:left="30" w:right="10"/>
              <w:rPr>
                <w:sz w:val="15"/>
              </w:rPr>
            </w:pPr>
            <w:r>
              <w:rPr>
                <w:sz w:val="15"/>
              </w:rPr>
              <w:t>řezivo stavební prkna prismovaná středová tl 25(32)mm dl 2-5m, 1. jakostní třídy, pevnostní třídy C24, vysušené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1" w:right="102"/>
              <w:jc w:val="center"/>
              <w:rPr>
                <w:sz w:val="15"/>
              </w:rPr>
            </w:pPr>
            <w:r>
              <w:rPr>
                <w:sz w:val="15"/>
              </w:rPr>
              <w:t>m3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0,72576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16 800,00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12 192,77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fáze 4-5 : 0,028*24,00*1,08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0,72576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37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762841811R00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Demontáž podbití stropů z prken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1" w:right="102"/>
              <w:jc w:val="center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24,00000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186,60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4 478,40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fáze 4-5 částečný rozsah : 24,00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24,00000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815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38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763613111RW6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273" w:lineRule="auto"/>
              <w:ind w:left="30" w:right="46"/>
              <w:jc w:val="both"/>
              <w:rPr>
                <w:sz w:val="15"/>
              </w:rPr>
            </w:pPr>
            <w:r>
              <w:rPr>
                <w:sz w:val="15"/>
              </w:rPr>
              <w:t>Zakrytí podlahy, včetně dodávky desky OSB, manipulace, dopravy a rozebrání po dokončení vč. odvozu montáž vč. přiřezání desek a drobného spojovacího materiálu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1" w:right="102"/>
              <w:jc w:val="center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50,00000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320,00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16 000,00</w:t>
            </w:r>
          </w:p>
        </w:tc>
      </w:tr>
      <w:tr>
        <w:trPr>
          <w:trHeight w:val="39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pro vyklizení a odvoz suti a vyčištění prostoru mezi trámy</w:t>
            </w:r>
          </w:p>
          <w:p>
            <w:pPr>
              <w:pStyle w:val="TableParagraph"/>
              <w:spacing w:before="24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po rozebrání záklopu v polích 2-6 : 50,00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50,00000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39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998762202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Přesun hmot procentní pro kce tesařské v objektech v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přes 6 do 12 m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6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%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3,07000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984,15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3 021,34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left="19" w:right="5"/>
              <w:jc w:val="center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Díl: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783</w:t>
            </w:r>
          </w:p>
        </w:tc>
        <w:tc>
          <w:tcPr>
            <w:tcW w:w="4058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5" w:lineRule="exact" w:before="3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Nátěry</w:t>
            </w:r>
          </w:p>
        </w:tc>
        <w:tc>
          <w:tcPr>
            <w:tcW w:w="51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7 387,50</w:t>
            </w: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40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783213121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Napouštěcí dvojnásobný syntetický biocidní nátěr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tesařských konstrukcí zabudovaných do konstrukce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1" w:right="102"/>
              <w:jc w:val="center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75,00000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98,50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7 387,50</w:t>
            </w:r>
          </w:p>
        </w:tc>
      </w:tr>
      <w:tr>
        <w:trPr>
          <w:trHeight w:val="209" w:hRule="atLeast"/>
        </w:trPr>
        <w:tc>
          <w:tcPr>
            <w:tcW w:w="36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vyměňované trámy : 5*2*(0,16+0,30)*5,00</w:t>
            </w:r>
          </w:p>
        </w:tc>
        <w:tc>
          <w:tcPr>
            <w:tcW w:w="51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23,00000</w:t>
            </w:r>
          </w:p>
        </w:tc>
        <w:tc>
          <w:tcPr>
            <w:tcW w:w="104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podbití : 2*24,00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48,00000</w:t>
            </w:r>
          </w:p>
        </w:tc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46" w:hRule="atLeast"/>
        </w:trPr>
        <w:tc>
          <w:tcPr>
            <w:tcW w:w="36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28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kapsy ve zdivu před výměnou trámů : 5*5*0,40*0,40</w:t>
            </w:r>
          </w:p>
        </w:tc>
        <w:tc>
          <w:tcPr>
            <w:tcW w:w="51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28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4,00000</w:t>
            </w:r>
          </w:p>
        </w:tc>
        <w:tc>
          <w:tcPr>
            <w:tcW w:w="1043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365" w:type="dxa"/>
            <w:tcBorders>
              <w:righ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left="19" w:right="5"/>
              <w:jc w:val="center"/>
              <w:rPr>
                <w:b/>
                <w:sz w:val="19"/>
              </w:rPr>
            </w:pPr>
            <w:r>
              <w:rPr>
                <w:b/>
                <w:w w:val="95"/>
                <w:sz w:val="19"/>
              </w:rPr>
              <w:t>Díl:</w:t>
            </w:r>
          </w:p>
        </w:tc>
        <w:tc>
          <w:tcPr>
            <w:tcW w:w="1332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784</w:t>
            </w:r>
          </w:p>
        </w:tc>
        <w:tc>
          <w:tcPr>
            <w:tcW w:w="4058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spacing w:line="195" w:lineRule="exact" w:before="3"/>
              <w:ind w:left="45"/>
              <w:rPr>
                <w:b/>
                <w:sz w:val="19"/>
              </w:rPr>
            </w:pPr>
            <w:r>
              <w:rPr>
                <w:b/>
                <w:sz w:val="19"/>
              </w:rPr>
              <w:t>Malby</w:t>
            </w:r>
          </w:p>
        </w:tc>
        <w:tc>
          <w:tcPr>
            <w:tcW w:w="51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nil"/>
              <w:right w:val="nil"/>
            </w:tcBorders>
            <w:shd w:val="clear" w:color="auto" w:fill="D5E0ED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</w:tcBorders>
            <w:shd w:val="clear" w:color="auto" w:fill="D5E0ED"/>
          </w:tcPr>
          <w:p>
            <w:pPr>
              <w:pStyle w:val="TableParagraph"/>
              <w:spacing w:line="192" w:lineRule="exact" w:before="5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9 600,00</w:t>
            </w:r>
          </w:p>
        </w:tc>
      </w:tr>
      <w:tr>
        <w:trPr>
          <w:trHeight w:val="397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41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784181001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Jednonásobné pačokování v místnostech v do 3,80 m CS</w:t>
            </w:r>
          </w:p>
          <w:p>
            <w:pPr>
              <w:pStyle w:val="TableParagraph"/>
              <w:spacing w:before="24"/>
              <w:ind w:left="30"/>
              <w:rPr>
                <w:sz w:val="15"/>
              </w:rPr>
            </w:pPr>
            <w:r>
              <w:rPr>
                <w:sz w:val="15"/>
              </w:rPr>
              <w:t>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1" w:right="102"/>
              <w:jc w:val="center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125,00000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24,70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3 087,50</w:t>
            </w:r>
          </w:p>
        </w:tc>
      </w:tr>
      <w:tr>
        <w:trPr>
          <w:trHeight w:val="217" w:hRule="atLeast"/>
        </w:trPr>
        <w:tc>
          <w:tcPr>
            <w:tcW w:w="365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58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Odkaz na mn. položky pořadí 42 : 125,00000</w:t>
            </w:r>
          </w:p>
        </w:tc>
        <w:tc>
          <w:tcPr>
            <w:tcW w:w="51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0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72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125,00000</w:t>
            </w:r>
          </w:p>
        </w:tc>
        <w:tc>
          <w:tcPr>
            <w:tcW w:w="10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48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06" w:hRule="atLeast"/>
        </w:trPr>
        <w:tc>
          <w:tcPr>
            <w:tcW w:w="365" w:type="dxa"/>
            <w:tcBorders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8"/>
              <w:jc w:val="center"/>
              <w:rPr>
                <w:sz w:val="15"/>
              </w:rPr>
            </w:pPr>
            <w:r>
              <w:rPr>
                <w:sz w:val="15"/>
              </w:rPr>
              <w:t>42</w:t>
            </w:r>
          </w:p>
        </w:tc>
        <w:tc>
          <w:tcPr>
            <w:tcW w:w="1332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784221101</w:t>
            </w:r>
          </w:p>
        </w:tc>
        <w:tc>
          <w:tcPr>
            <w:tcW w:w="4058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30"/>
              <w:rPr>
                <w:sz w:val="15"/>
              </w:rPr>
            </w:pPr>
            <w:r>
              <w:rPr>
                <w:sz w:val="15"/>
              </w:rPr>
              <w:t>Dvojnásobné bílé malby ze směsí za sucha dobře</w:t>
            </w:r>
          </w:p>
          <w:p>
            <w:pPr>
              <w:pStyle w:val="TableParagraph"/>
              <w:spacing w:line="190" w:lineRule="atLeast" w:before="7"/>
              <w:ind w:left="30" w:right="151"/>
              <w:rPr>
                <w:sz w:val="15"/>
              </w:rPr>
            </w:pPr>
            <w:r>
              <w:rPr>
                <w:sz w:val="15"/>
              </w:rPr>
              <w:t>oděruvzdorných v místnnostech do 3,80 m CS ÚRS 2026 01</w:t>
            </w:r>
          </w:p>
        </w:tc>
        <w:tc>
          <w:tcPr>
            <w:tcW w:w="51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left="141" w:right="102"/>
              <w:jc w:val="center"/>
              <w:rPr>
                <w:sz w:val="15"/>
              </w:rPr>
            </w:pPr>
            <w:r>
              <w:rPr>
                <w:sz w:val="15"/>
              </w:rPr>
              <w:t>m2</w:t>
            </w:r>
          </w:p>
        </w:tc>
        <w:tc>
          <w:tcPr>
            <w:tcW w:w="1120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8"/>
              <w:jc w:val="right"/>
              <w:rPr>
                <w:sz w:val="15"/>
              </w:rPr>
            </w:pPr>
            <w:r>
              <w:rPr>
                <w:sz w:val="15"/>
              </w:rPr>
              <w:t>125,00000</w:t>
            </w:r>
          </w:p>
        </w:tc>
        <w:tc>
          <w:tcPr>
            <w:tcW w:w="1043" w:type="dxa"/>
            <w:tcBorders>
              <w:left w:val="single" w:sz="8" w:space="0" w:color="808080"/>
              <w:right w:val="single" w:sz="8" w:space="0" w:color="808080"/>
            </w:tcBorders>
          </w:tcPr>
          <w:p>
            <w:pPr>
              <w:pStyle w:val="TableParagraph"/>
              <w:spacing w:line="172" w:lineRule="exact"/>
              <w:ind w:right="7"/>
              <w:jc w:val="right"/>
              <w:rPr>
                <w:sz w:val="15"/>
              </w:rPr>
            </w:pPr>
            <w:r>
              <w:rPr>
                <w:sz w:val="15"/>
              </w:rPr>
              <w:t>52,10</w:t>
            </w:r>
          </w:p>
        </w:tc>
        <w:tc>
          <w:tcPr>
            <w:tcW w:w="1348" w:type="dxa"/>
            <w:tcBorders>
              <w:left w:val="single" w:sz="8" w:space="0" w:color="808080"/>
            </w:tcBorders>
          </w:tcPr>
          <w:p>
            <w:pPr>
              <w:pStyle w:val="TableParagraph"/>
              <w:spacing w:line="172" w:lineRule="exact"/>
              <w:ind w:right="6"/>
              <w:jc w:val="right"/>
              <w:rPr>
                <w:sz w:val="15"/>
              </w:rPr>
            </w:pPr>
            <w:r>
              <w:rPr>
                <w:sz w:val="15"/>
              </w:rPr>
              <w:t>6 512,50</w:t>
            </w:r>
          </w:p>
        </w:tc>
      </w:tr>
      <w:tr>
        <w:trPr>
          <w:trHeight w:val="176" w:hRule="atLeast"/>
        </w:trPr>
        <w:tc>
          <w:tcPr>
            <w:tcW w:w="365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3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5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56" w:lineRule="exact"/>
              <w:ind w:left="40"/>
              <w:rPr>
                <w:sz w:val="15"/>
              </w:rPr>
            </w:pPr>
            <w:r>
              <w:rPr>
                <w:color w:val="0000FF"/>
                <w:sz w:val="15"/>
              </w:rPr>
              <w:t>výmalba dotčeného prostoru - stěny a strop : 125,00</w:t>
            </w:r>
          </w:p>
        </w:tc>
        <w:tc>
          <w:tcPr>
            <w:tcW w:w="51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20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156" w:lineRule="exact"/>
              <w:ind w:right="13"/>
              <w:jc w:val="right"/>
              <w:rPr>
                <w:sz w:val="15"/>
              </w:rPr>
            </w:pPr>
            <w:r>
              <w:rPr>
                <w:color w:val="0000FF"/>
                <w:sz w:val="15"/>
              </w:rPr>
              <w:t>125,00000</w:t>
            </w:r>
          </w:p>
        </w:tc>
        <w:tc>
          <w:tcPr>
            <w:tcW w:w="1043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48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sectPr>
      <w:pgSz w:w="11910" w:h="16840"/>
      <w:pgMar w:top="1120" w:bottom="280" w:left="34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s-CZ" w:eastAsia="cs-CZ" w:bidi="cs-CZ"/>
    </w:rPr>
  </w:style>
  <w:style w:styleId="BodyText" w:type="paragraph">
    <w:name w:val="Body Text"/>
    <w:basedOn w:val="Normal"/>
    <w:uiPriority w:val="1"/>
    <w:qFormat/>
    <w:pPr>
      <w:spacing w:before="0"/>
    </w:pPr>
    <w:rPr>
      <w:rFonts w:ascii="Arial" w:hAnsi="Arial" w:eastAsia="Arial" w:cs="Arial"/>
      <w:b/>
      <w:bCs/>
      <w:sz w:val="23"/>
      <w:szCs w:val="23"/>
      <w:lang w:val="cs-CZ" w:eastAsia="cs-CZ" w:bidi="cs-CZ"/>
    </w:rPr>
  </w:style>
  <w:style w:styleId="ListParagraph" w:type="paragraph">
    <w:name w:val="List Paragraph"/>
    <w:basedOn w:val="Normal"/>
    <w:uiPriority w:val="1"/>
    <w:qFormat/>
    <w:pPr/>
    <w:rPr>
      <w:lang w:val="cs-CZ" w:eastAsia="cs-CZ" w:bidi="cs-CZ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cs-CZ" w:eastAsia="cs-CZ" w:bidi="cs-CZ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Mrazek</dc:creator>
  <dcterms:created xsi:type="dcterms:W3CDTF">2026-10-06T11:28:57Z</dcterms:created>
  <dcterms:modified xsi:type="dcterms:W3CDTF">2026-10-06T11:28:57Z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2026-10-06T00:00:00Z</vt:filetime>
  </property>
  <property fmtid="{D5CDD505-2E9C-101B-9397-08002B2CF9AE}" pid="3" name="Creator">
    <vt:lpwstr>Acrobat PDFMaker 20 pro Excel</vt:lpwstr>
  </property>
  <property fmtid="{D5CDD505-2E9C-101B-9397-08002B2CF9AE}" pid="4" name="LastSaved">
    <vt:filetime>2026-10-06T00:00:00Z</vt:filetime>
  </property>
</Properties>
</file>