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50" w:rsidRDefault="00751650" w:rsidP="00751650">
      <w:pPr>
        <w:jc w:val="both"/>
        <w:rPr>
          <w:rFonts w:ascii="Arial" w:hAnsi="Arial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-223520</wp:posOffset>
            </wp:positionV>
            <wp:extent cx="1005840" cy="914400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50" w:rsidRDefault="00751650" w:rsidP="00751650">
      <w:pPr>
        <w:rPr>
          <w:rFonts w:ascii="Arial" w:hAnsi="Arial"/>
        </w:rPr>
      </w:pPr>
    </w:p>
    <w:p w:rsidR="00751650" w:rsidRDefault="00751650" w:rsidP="00751650">
      <w:pPr>
        <w:rPr>
          <w:rFonts w:ascii="Arial" w:hAnsi="Arial"/>
          <w:b/>
          <w:smallCap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  <w:smallCaps/>
        </w:rPr>
        <w:t>Fakultní nemocnice Královské Vinohrady</w:t>
      </w:r>
    </w:p>
    <w:p w:rsidR="00751650" w:rsidRDefault="00751650" w:rsidP="0075165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  <w:t xml:space="preserve">                            provozně technický náměstek</w:t>
      </w:r>
    </w:p>
    <w:p w:rsidR="00751650" w:rsidRDefault="00751650" w:rsidP="00751650">
      <w:pPr>
        <w:pBdr>
          <w:bottom w:val="single" w:sz="4" w:space="1" w:color="auto"/>
        </w:pBdr>
        <w:rPr>
          <w:rFonts w:ascii="Arial" w:hAnsi="Arial"/>
        </w:rPr>
      </w:pPr>
    </w:p>
    <w:p w:rsidR="00751650" w:rsidRDefault="00751650" w:rsidP="00751650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  <w:smallCaps/>
        </w:rPr>
        <w:t>Šrobárova</w:t>
      </w:r>
      <w:proofErr w:type="spellEnd"/>
      <w:r>
        <w:rPr>
          <w:rFonts w:ascii="Arial" w:hAnsi="Arial"/>
          <w:smallCaps/>
        </w:rPr>
        <w:t xml:space="preserve"> </w:t>
      </w:r>
      <w:proofErr w:type="gramStart"/>
      <w:r>
        <w:rPr>
          <w:rFonts w:ascii="Arial" w:hAnsi="Arial"/>
          <w:smallCaps/>
        </w:rPr>
        <w:t>50,      100 34</w:t>
      </w:r>
      <w:proofErr w:type="gramEnd"/>
      <w:r>
        <w:rPr>
          <w:rFonts w:ascii="Arial" w:hAnsi="Arial"/>
          <w:smallCaps/>
        </w:rPr>
        <w:t xml:space="preserve"> Praha 10,       Telefon: 26716 3330,       </w:t>
      </w:r>
      <w:proofErr w:type="spellStart"/>
      <w:r>
        <w:rPr>
          <w:rFonts w:ascii="Arial" w:hAnsi="Arial"/>
          <w:smallCaps/>
        </w:rPr>
        <w:t>iČo</w:t>
      </w:r>
      <w:proofErr w:type="spellEnd"/>
      <w:r>
        <w:rPr>
          <w:rFonts w:ascii="Arial" w:hAnsi="Arial"/>
          <w:smallCaps/>
        </w:rPr>
        <w:t>: 000 64 173</w:t>
      </w: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51650">
        <w:rPr>
          <w:rFonts w:ascii="Garamond" w:hAnsi="Garamond"/>
          <w:sz w:val="28"/>
          <w:szCs w:val="28"/>
        </w:rPr>
        <w:t>Znalecký ústav</w:t>
      </w:r>
    </w:p>
    <w:p w:rsidR="008563CE" w:rsidRDefault="008563CE" w:rsidP="007516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8563CE">
        <w:rPr>
          <w:rFonts w:ascii="Garamond" w:hAnsi="Garamond"/>
          <w:sz w:val="28"/>
          <w:szCs w:val="28"/>
        </w:rPr>
        <w:t xml:space="preserve">Grant </w:t>
      </w:r>
      <w:proofErr w:type="spellStart"/>
      <w:r w:rsidRPr="008563CE">
        <w:rPr>
          <w:rFonts w:ascii="Garamond" w:hAnsi="Garamond"/>
          <w:sz w:val="28"/>
          <w:szCs w:val="28"/>
        </w:rPr>
        <w:t>Thornton</w:t>
      </w:r>
      <w:proofErr w:type="spellEnd"/>
      <w:r w:rsidRPr="008563CE">
        <w:rPr>
          <w:rFonts w:ascii="Garamond" w:hAnsi="Garamond"/>
          <w:sz w:val="28"/>
          <w:szCs w:val="28"/>
        </w:rPr>
        <w:t xml:space="preserve"> </w:t>
      </w:r>
      <w:proofErr w:type="spellStart"/>
      <w:r w:rsidRPr="008563CE">
        <w:rPr>
          <w:rFonts w:ascii="Garamond" w:hAnsi="Garamond"/>
          <w:sz w:val="28"/>
          <w:szCs w:val="28"/>
        </w:rPr>
        <w:t>Valuations</w:t>
      </w:r>
      <w:proofErr w:type="spellEnd"/>
      <w:r w:rsidR="00A80E4E">
        <w:rPr>
          <w:rFonts w:ascii="Garamond" w:hAnsi="Garamond"/>
          <w:sz w:val="28"/>
          <w:szCs w:val="28"/>
        </w:rPr>
        <w:t>, a.s.</w:t>
      </w:r>
      <w:r w:rsidRPr="008563CE">
        <w:rPr>
          <w:rFonts w:ascii="Garamond" w:hAnsi="Garamond"/>
          <w:sz w:val="28"/>
          <w:szCs w:val="28"/>
        </w:rPr>
        <w:t xml:space="preserve"> </w:t>
      </w:r>
    </w:p>
    <w:p w:rsidR="008563CE" w:rsidRDefault="008563CE" w:rsidP="007516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8563CE">
        <w:rPr>
          <w:rFonts w:ascii="Garamond" w:hAnsi="Garamond"/>
          <w:sz w:val="28"/>
          <w:szCs w:val="28"/>
        </w:rPr>
        <w:t>Jindřišská</w:t>
      </w:r>
      <w:proofErr w:type="spellEnd"/>
      <w:r w:rsidRPr="008563CE">
        <w:rPr>
          <w:rFonts w:ascii="Garamond" w:hAnsi="Garamond"/>
          <w:sz w:val="28"/>
          <w:szCs w:val="28"/>
        </w:rPr>
        <w:t xml:space="preserve"> 937/16</w:t>
      </w:r>
    </w:p>
    <w:p w:rsidR="00751650" w:rsidRDefault="008563CE" w:rsidP="007516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110 00  Praha</w:t>
      </w:r>
      <w:proofErr w:type="gramEnd"/>
      <w:r>
        <w:rPr>
          <w:rFonts w:ascii="Garamond" w:hAnsi="Garamond"/>
          <w:sz w:val="28"/>
          <w:szCs w:val="28"/>
        </w:rPr>
        <w:t xml:space="preserve"> 1</w:t>
      </w:r>
    </w:p>
    <w:p w:rsidR="00A80E4E" w:rsidRDefault="00A80E4E" w:rsidP="007516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IČO: </w:t>
      </w:r>
      <w:r w:rsidRPr="00A80E4E">
        <w:rPr>
          <w:rFonts w:ascii="Garamond" w:hAnsi="Garamond"/>
          <w:sz w:val="28"/>
          <w:szCs w:val="28"/>
        </w:rPr>
        <w:t>63079798</w:t>
      </w: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čj</w:t>
      </w:r>
      <w:proofErr w:type="spellEnd"/>
      <w:r>
        <w:rPr>
          <w:rFonts w:ascii="Garamond" w:hAnsi="Garamond"/>
          <w:sz w:val="28"/>
          <w:szCs w:val="28"/>
        </w:rPr>
        <w:t>.</w:t>
      </w:r>
      <w:r w:rsidR="008563CE">
        <w:rPr>
          <w:rFonts w:ascii="Garamond" w:hAnsi="Garamond"/>
          <w:sz w:val="28"/>
          <w:szCs w:val="28"/>
        </w:rPr>
        <w:t xml:space="preserve"> FNKV 15142</w:t>
      </w:r>
      <w:r w:rsidR="00BA61CA">
        <w:rPr>
          <w:rFonts w:ascii="Garamond" w:hAnsi="Garamond"/>
          <w:sz w:val="28"/>
          <w:szCs w:val="28"/>
        </w:rPr>
        <w:t>/2017</w:t>
      </w:r>
      <w:r w:rsidR="00BA61CA">
        <w:rPr>
          <w:rFonts w:ascii="Garamond" w:hAnsi="Garamond"/>
          <w:sz w:val="28"/>
          <w:szCs w:val="28"/>
        </w:rPr>
        <w:tab/>
      </w:r>
      <w:r w:rsidR="008563CE">
        <w:rPr>
          <w:rFonts w:ascii="Garamond" w:hAnsi="Garamond"/>
          <w:sz w:val="28"/>
          <w:szCs w:val="28"/>
        </w:rPr>
        <w:t xml:space="preserve">       </w:t>
      </w:r>
      <w:r w:rsidR="008563CE">
        <w:rPr>
          <w:rFonts w:ascii="Garamond" w:hAnsi="Garamond"/>
          <w:sz w:val="28"/>
          <w:szCs w:val="28"/>
        </w:rPr>
        <w:tab/>
      </w:r>
      <w:r w:rsidR="008563CE">
        <w:rPr>
          <w:rFonts w:ascii="Garamond" w:hAnsi="Garamond"/>
          <w:sz w:val="28"/>
          <w:szCs w:val="28"/>
        </w:rPr>
        <w:tab/>
      </w:r>
      <w:r w:rsidR="008563CE">
        <w:rPr>
          <w:rFonts w:ascii="Garamond" w:hAnsi="Garamond"/>
          <w:sz w:val="28"/>
          <w:szCs w:val="28"/>
        </w:rPr>
        <w:tab/>
        <w:t xml:space="preserve">         13. 10. 2017</w:t>
      </w: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</w:p>
    <w:p w:rsidR="00751650" w:rsidRPr="008563CE" w:rsidRDefault="00751650" w:rsidP="00F97973">
      <w:pPr>
        <w:tabs>
          <w:tab w:val="left" w:pos="851"/>
        </w:tabs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Věc: Objednávka</w:t>
      </w:r>
      <w:r w:rsidR="00F97973">
        <w:rPr>
          <w:rFonts w:ascii="Garamond" w:hAnsi="Garamond"/>
          <w:b/>
          <w:sz w:val="28"/>
          <w:szCs w:val="28"/>
        </w:rPr>
        <w:t xml:space="preserve"> zpracování </w:t>
      </w:r>
      <w:r w:rsidR="008563CE">
        <w:rPr>
          <w:rFonts w:ascii="Garamond" w:hAnsi="Garamond"/>
          <w:b/>
          <w:sz w:val="28"/>
          <w:szCs w:val="28"/>
        </w:rPr>
        <w:t xml:space="preserve">znaleckého posudku pro stanovení výše nájmu </w:t>
      </w:r>
      <w:r w:rsidR="008563CE" w:rsidRPr="008563CE">
        <w:rPr>
          <w:rFonts w:ascii="Garamond" w:hAnsi="Garamond"/>
          <w:b/>
          <w:sz w:val="28"/>
          <w:szCs w:val="28"/>
          <w:u w:val="single"/>
        </w:rPr>
        <w:t xml:space="preserve">prostor pro Oční tkáňovou banku na adrese </w:t>
      </w:r>
      <w:proofErr w:type="spellStart"/>
      <w:r w:rsidR="008563CE" w:rsidRPr="008563CE">
        <w:rPr>
          <w:rFonts w:ascii="Garamond" w:hAnsi="Garamond"/>
          <w:b/>
          <w:sz w:val="28"/>
          <w:szCs w:val="28"/>
          <w:u w:val="single"/>
        </w:rPr>
        <w:t>Šrobárova</w:t>
      </w:r>
      <w:proofErr w:type="spellEnd"/>
      <w:r w:rsidR="008563CE" w:rsidRPr="008563CE">
        <w:rPr>
          <w:rFonts w:ascii="Garamond" w:hAnsi="Garamond"/>
          <w:b/>
          <w:sz w:val="28"/>
          <w:szCs w:val="28"/>
          <w:u w:val="single"/>
        </w:rPr>
        <w:t xml:space="preserve"> 2112, Praha 3</w:t>
      </w:r>
      <w:r w:rsidR="008563CE">
        <w:rPr>
          <w:rFonts w:ascii="Garamond" w:hAnsi="Garamond"/>
          <w:b/>
          <w:sz w:val="28"/>
          <w:szCs w:val="28"/>
          <w:u w:val="single"/>
        </w:rPr>
        <w:t>_____</w:t>
      </w: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</w:p>
    <w:p w:rsidR="008563CE" w:rsidRPr="008563CE" w:rsidRDefault="008563CE" w:rsidP="008563C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1843"/>
        </w:tabs>
        <w:spacing w:after="120" w:line="276" w:lineRule="auto"/>
        <w:jc w:val="both"/>
        <w:outlineLvl w:val="9"/>
        <w:rPr>
          <w:rFonts w:ascii="Garamond" w:hAnsi="Garamond"/>
          <w:b w:val="0"/>
          <w:sz w:val="28"/>
          <w:szCs w:val="28"/>
        </w:rPr>
      </w:pPr>
      <w:r w:rsidRPr="008563CE">
        <w:rPr>
          <w:rFonts w:ascii="Garamond" w:hAnsi="Garamond"/>
          <w:b w:val="0"/>
          <w:sz w:val="28"/>
          <w:szCs w:val="28"/>
        </w:rPr>
        <w:t xml:space="preserve">Vyjádřete se, zda jsou nebytové prostory v domě na adrese </w:t>
      </w:r>
      <w:proofErr w:type="spellStart"/>
      <w:r w:rsidRPr="008563CE">
        <w:rPr>
          <w:rFonts w:ascii="Garamond" w:hAnsi="Garamond"/>
          <w:b w:val="0"/>
          <w:sz w:val="28"/>
          <w:szCs w:val="28"/>
        </w:rPr>
        <w:t>Šrobárova</w:t>
      </w:r>
      <w:proofErr w:type="spellEnd"/>
      <w:r w:rsidRPr="008563CE">
        <w:rPr>
          <w:rFonts w:ascii="Garamond" w:hAnsi="Garamond"/>
          <w:b w:val="0"/>
          <w:sz w:val="28"/>
          <w:szCs w:val="28"/>
        </w:rPr>
        <w:t xml:space="preserve"> ul. č.</w:t>
      </w:r>
      <w:r w:rsidR="0071546D">
        <w:rPr>
          <w:rFonts w:ascii="Garamond" w:hAnsi="Garamond"/>
          <w:b w:val="0"/>
          <w:sz w:val="28"/>
          <w:szCs w:val="28"/>
        </w:rPr>
        <w:t xml:space="preserve"> </w:t>
      </w:r>
      <w:r w:rsidRPr="008563CE">
        <w:rPr>
          <w:rFonts w:ascii="Garamond" w:hAnsi="Garamond"/>
          <w:b w:val="0"/>
          <w:sz w:val="28"/>
          <w:szCs w:val="28"/>
        </w:rPr>
        <w:t>p. 2112, Praha 3 umístěné ve 2. a 3. NP a technologie umístěné v suterénu vhodné pro provozování oční tkáňové banky.</w:t>
      </w:r>
    </w:p>
    <w:p w:rsidR="008563CE" w:rsidRPr="008563CE" w:rsidRDefault="008563CE" w:rsidP="008563C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1843"/>
        </w:tabs>
        <w:spacing w:after="120" w:line="276" w:lineRule="auto"/>
        <w:jc w:val="both"/>
        <w:outlineLvl w:val="9"/>
        <w:rPr>
          <w:rFonts w:ascii="Garamond" w:hAnsi="Garamond"/>
          <w:b w:val="0"/>
          <w:sz w:val="28"/>
          <w:szCs w:val="28"/>
        </w:rPr>
      </w:pPr>
      <w:r w:rsidRPr="008563CE">
        <w:rPr>
          <w:rFonts w:ascii="Garamond" w:hAnsi="Garamond"/>
          <w:b w:val="0"/>
          <w:sz w:val="28"/>
          <w:szCs w:val="28"/>
        </w:rPr>
        <w:t xml:space="preserve">Vymezte současný rozsah užívání prostor v domě na adrese </w:t>
      </w:r>
      <w:proofErr w:type="spellStart"/>
      <w:r w:rsidRPr="008563CE">
        <w:rPr>
          <w:rFonts w:ascii="Garamond" w:hAnsi="Garamond"/>
          <w:b w:val="0"/>
          <w:sz w:val="28"/>
          <w:szCs w:val="28"/>
        </w:rPr>
        <w:t>Šrobárova</w:t>
      </w:r>
      <w:proofErr w:type="spellEnd"/>
      <w:r w:rsidRPr="008563CE">
        <w:rPr>
          <w:rFonts w:ascii="Garamond" w:hAnsi="Garamond"/>
          <w:b w:val="0"/>
          <w:sz w:val="28"/>
          <w:szCs w:val="28"/>
        </w:rPr>
        <w:t xml:space="preserve"> </w:t>
      </w:r>
      <w:bookmarkStart w:id="0" w:name="_GoBack"/>
      <w:bookmarkEnd w:id="0"/>
      <w:r w:rsidRPr="008563CE">
        <w:rPr>
          <w:rFonts w:ascii="Garamond" w:hAnsi="Garamond"/>
          <w:b w:val="0"/>
          <w:sz w:val="28"/>
          <w:szCs w:val="28"/>
        </w:rPr>
        <w:t>ul. č.</w:t>
      </w:r>
      <w:r w:rsidR="0071546D">
        <w:rPr>
          <w:rFonts w:ascii="Garamond" w:hAnsi="Garamond"/>
          <w:b w:val="0"/>
          <w:sz w:val="28"/>
          <w:szCs w:val="28"/>
        </w:rPr>
        <w:t xml:space="preserve"> </w:t>
      </w:r>
      <w:r w:rsidRPr="008563CE">
        <w:rPr>
          <w:rFonts w:ascii="Garamond" w:hAnsi="Garamond"/>
          <w:b w:val="0"/>
          <w:sz w:val="28"/>
          <w:szCs w:val="28"/>
        </w:rPr>
        <w:t>p. 2112 a určete, které prostory lze využít pro potřeby oční tkáňové banky</w:t>
      </w:r>
    </w:p>
    <w:p w:rsidR="008563CE" w:rsidRPr="008563CE" w:rsidRDefault="0071546D" w:rsidP="008563C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1843"/>
        </w:tabs>
        <w:spacing w:after="120" w:line="276" w:lineRule="auto"/>
        <w:jc w:val="both"/>
        <w:outlineLvl w:val="9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Zjistěte a dokladujte j</w:t>
      </w:r>
      <w:r w:rsidR="008563CE" w:rsidRPr="008563CE">
        <w:rPr>
          <w:rFonts w:ascii="Garamond" w:hAnsi="Garamond"/>
          <w:b w:val="0"/>
          <w:sz w:val="28"/>
          <w:szCs w:val="28"/>
        </w:rPr>
        <w:t xml:space="preserve">aká je cena obvyklá nebytových prostor na adrese </w:t>
      </w:r>
      <w:proofErr w:type="spellStart"/>
      <w:r w:rsidR="008563CE" w:rsidRPr="008563CE">
        <w:rPr>
          <w:rFonts w:ascii="Garamond" w:hAnsi="Garamond"/>
          <w:b w:val="0"/>
          <w:sz w:val="28"/>
          <w:szCs w:val="28"/>
        </w:rPr>
        <w:t>Šrobárova</w:t>
      </w:r>
      <w:proofErr w:type="spellEnd"/>
      <w:r w:rsidR="008563CE" w:rsidRPr="008563CE">
        <w:rPr>
          <w:rFonts w:ascii="Garamond" w:hAnsi="Garamond"/>
          <w:b w:val="0"/>
          <w:sz w:val="28"/>
          <w:szCs w:val="28"/>
        </w:rPr>
        <w:t xml:space="preserve"> ul. č.</w:t>
      </w:r>
      <w:r>
        <w:rPr>
          <w:rFonts w:ascii="Garamond" w:hAnsi="Garamond"/>
          <w:b w:val="0"/>
          <w:sz w:val="28"/>
          <w:szCs w:val="28"/>
        </w:rPr>
        <w:t xml:space="preserve"> </w:t>
      </w:r>
      <w:r w:rsidR="008563CE" w:rsidRPr="008563CE">
        <w:rPr>
          <w:rFonts w:ascii="Garamond" w:hAnsi="Garamond"/>
          <w:b w:val="0"/>
          <w:sz w:val="28"/>
          <w:szCs w:val="28"/>
        </w:rPr>
        <w:t>p. 2112, Praha 3, které jsou vhodné pro provozování oční tkáňové banky, při sjednání nájmu na dobu 1, 5, 10, 15 a 20 let? Předmětem nájmu jsou nebytové prostory ve 2. a 3. NP, společné prostory prokazatelně sloužící oční tkáňové bance v 1.NP a su</w:t>
      </w:r>
      <w:r>
        <w:rPr>
          <w:rFonts w:ascii="Garamond" w:hAnsi="Garamond"/>
          <w:b w:val="0"/>
          <w:sz w:val="28"/>
          <w:szCs w:val="28"/>
        </w:rPr>
        <w:t>terénu a dále zajištění provozuschopnosti technologií souvisejících s chodem čistých provozů po dobu trvání nájmu.</w:t>
      </w:r>
    </w:p>
    <w:p w:rsidR="00751650" w:rsidRDefault="00751650" w:rsidP="00751650">
      <w:pPr>
        <w:jc w:val="both"/>
        <w:rPr>
          <w:rFonts w:ascii="Garamond" w:hAnsi="Garamond"/>
          <w:sz w:val="28"/>
          <w:szCs w:val="28"/>
        </w:rPr>
      </w:pPr>
    </w:p>
    <w:p w:rsidR="00751650" w:rsidRDefault="00F97973" w:rsidP="007516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Termín plnění: </w:t>
      </w:r>
      <w:r w:rsidR="008563CE">
        <w:rPr>
          <w:rFonts w:ascii="Garamond" w:hAnsi="Garamond"/>
          <w:sz w:val="28"/>
          <w:szCs w:val="28"/>
        </w:rPr>
        <w:t>do 45 dní od vystavení objednávky</w:t>
      </w:r>
    </w:p>
    <w:p w:rsidR="00751650" w:rsidRDefault="00F97973" w:rsidP="007516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Cena: </w:t>
      </w:r>
      <w:r w:rsidR="008563CE">
        <w:rPr>
          <w:rFonts w:ascii="Garamond" w:hAnsi="Garamond"/>
          <w:sz w:val="28"/>
          <w:szCs w:val="28"/>
        </w:rPr>
        <w:t>do 150 000,-</w:t>
      </w:r>
      <w:r>
        <w:rPr>
          <w:rFonts w:ascii="Garamond" w:hAnsi="Garamond"/>
          <w:sz w:val="28"/>
          <w:szCs w:val="28"/>
        </w:rPr>
        <w:t xml:space="preserve"> </w:t>
      </w:r>
      <w:r w:rsidR="00BA61CA">
        <w:rPr>
          <w:rFonts w:ascii="Garamond" w:hAnsi="Garamond"/>
          <w:sz w:val="28"/>
          <w:szCs w:val="28"/>
        </w:rPr>
        <w:t>Kč +</w:t>
      </w:r>
      <w:r w:rsidR="00032951">
        <w:rPr>
          <w:rFonts w:ascii="Garamond" w:hAnsi="Garamond"/>
          <w:sz w:val="28"/>
          <w:szCs w:val="28"/>
        </w:rPr>
        <w:t xml:space="preserve"> DPH</w:t>
      </w:r>
    </w:p>
    <w:p w:rsidR="00032951" w:rsidRDefault="00032951" w:rsidP="00751650">
      <w:pPr>
        <w:jc w:val="both"/>
        <w:rPr>
          <w:rFonts w:ascii="Garamond" w:hAnsi="Garamond"/>
          <w:sz w:val="28"/>
          <w:szCs w:val="28"/>
        </w:rPr>
      </w:pPr>
    </w:p>
    <w:p w:rsidR="008563CE" w:rsidRDefault="008563CE" w:rsidP="00751650">
      <w:pPr>
        <w:jc w:val="both"/>
        <w:rPr>
          <w:rFonts w:ascii="Garamond" w:hAnsi="Garamond"/>
          <w:sz w:val="28"/>
          <w:szCs w:val="28"/>
        </w:rPr>
      </w:pPr>
    </w:p>
    <w:p w:rsidR="00032951" w:rsidRDefault="00032951" w:rsidP="00032951">
      <w:pPr>
        <w:ind w:left="495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Ing. Václav Čulík</w:t>
      </w:r>
    </w:p>
    <w:p w:rsidR="00032951" w:rsidRDefault="00032951" w:rsidP="00032951">
      <w:pPr>
        <w:ind w:left="495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provozně technický náměstek </w:t>
      </w:r>
    </w:p>
    <w:p w:rsidR="008563CE" w:rsidRDefault="008563CE" w:rsidP="00032951">
      <w:pPr>
        <w:ind w:left="4956"/>
        <w:jc w:val="both"/>
        <w:rPr>
          <w:rFonts w:ascii="Garamond" w:hAnsi="Garamond"/>
          <w:sz w:val="28"/>
          <w:szCs w:val="28"/>
        </w:rPr>
      </w:pPr>
    </w:p>
    <w:p w:rsidR="008563CE" w:rsidRDefault="008563CE" w:rsidP="00032951">
      <w:pPr>
        <w:ind w:left="4956"/>
        <w:jc w:val="both"/>
        <w:rPr>
          <w:rFonts w:ascii="Garamond" w:hAnsi="Garamond"/>
          <w:sz w:val="28"/>
          <w:szCs w:val="28"/>
        </w:rPr>
      </w:pPr>
    </w:p>
    <w:sectPr w:rsidR="008563CE" w:rsidSect="00E3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426"/>
    <w:multiLevelType w:val="hybridMultilevel"/>
    <w:tmpl w:val="DC180D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650"/>
    <w:rsid w:val="00012451"/>
    <w:rsid w:val="00032951"/>
    <w:rsid w:val="000528B7"/>
    <w:rsid w:val="000F5FE0"/>
    <w:rsid w:val="001436E0"/>
    <w:rsid w:val="00172455"/>
    <w:rsid w:val="00191291"/>
    <w:rsid w:val="001A7BA0"/>
    <w:rsid w:val="001B0FC8"/>
    <w:rsid w:val="002072F4"/>
    <w:rsid w:val="00243287"/>
    <w:rsid w:val="0025552C"/>
    <w:rsid w:val="00284CE4"/>
    <w:rsid w:val="00292DDE"/>
    <w:rsid w:val="00316FF4"/>
    <w:rsid w:val="00331618"/>
    <w:rsid w:val="00331809"/>
    <w:rsid w:val="003379D4"/>
    <w:rsid w:val="003567CB"/>
    <w:rsid w:val="003A517D"/>
    <w:rsid w:val="003B7714"/>
    <w:rsid w:val="003C3EEA"/>
    <w:rsid w:val="003D2AA7"/>
    <w:rsid w:val="003D3882"/>
    <w:rsid w:val="003E44BE"/>
    <w:rsid w:val="0048718C"/>
    <w:rsid w:val="00493458"/>
    <w:rsid w:val="004D0295"/>
    <w:rsid w:val="0050368E"/>
    <w:rsid w:val="0052642F"/>
    <w:rsid w:val="005C09C6"/>
    <w:rsid w:val="005D3B56"/>
    <w:rsid w:val="00606AFA"/>
    <w:rsid w:val="006135C4"/>
    <w:rsid w:val="00630619"/>
    <w:rsid w:val="006371F3"/>
    <w:rsid w:val="00654313"/>
    <w:rsid w:val="00663AB2"/>
    <w:rsid w:val="006652D9"/>
    <w:rsid w:val="006A70AB"/>
    <w:rsid w:val="006B1247"/>
    <w:rsid w:val="006B340C"/>
    <w:rsid w:val="006B58F3"/>
    <w:rsid w:val="00706C0C"/>
    <w:rsid w:val="0071546D"/>
    <w:rsid w:val="007431F8"/>
    <w:rsid w:val="00751650"/>
    <w:rsid w:val="007619C1"/>
    <w:rsid w:val="007663E9"/>
    <w:rsid w:val="007C47B5"/>
    <w:rsid w:val="007D5652"/>
    <w:rsid w:val="007E0BA3"/>
    <w:rsid w:val="007E6343"/>
    <w:rsid w:val="007F10B7"/>
    <w:rsid w:val="007F3F30"/>
    <w:rsid w:val="007F5775"/>
    <w:rsid w:val="00804DB0"/>
    <w:rsid w:val="00832E64"/>
    <w:rsid w:val="008563CE"/>
    <w:rsid w:val="00856BFE"/>
    <w:rsid w:val="00892DF3"/>
    <w:rsid w:val="008C6930"/>
    <w:rsid w:val="008F0CFE"/>
    <w:rsid w:val="00906AFC"/>
    <w:rsid w:val="009104AB"/>
    <w:rsid w:val="00961FB0"/>
    <w:rsid w:val="00981448"/>
    <w:rsid w:val="00993F6F"/>
    <w:rsid w:val="009D6D15"/>
    <w:rsid w:val="009E7580"/>
    <w:rsid w:val="009F195D"/>
    <w:rsid w:val="00A175A7"/>
    <w:rsid w:val="00A206A3"/>
    <w:rsid w:val="00A544ED"/>
    <w:rsid w:val="00A80E4E"/>
    <w:rsid w:val="00AD43F3"/>
    <w:rsid w:val="00B47A93"/>
    <w:rsid w:val="00B52068"/>
    <w:rsid w:val="00B707C2"/>
    <w:rsid w:val="00B8141D"/>
    <w:rsid w:val="00BA61CA"/>
    <w:rsid w:val="00C11EF2"/>
    <w:rsid w:val="00C1287D"/>
    <w:rsid w:val="00C3200E"/>
    <w:rsid w:val="00C3311D"/>
    <w:rsid w:val="00C4503E"/>
    <w:rsid w:val="00CC116F"/>
    <w:rsid w:val="00CC2130"/>
    <w:rsid w:val="00D0051C"/>
    <w:rsid w:val="00D00626"/>
    <w:rsid w:val="00D01F8F"/>
    <w:rsid w:val="00D46467"/>
    <w:rsid w:val="00D47FA0"/>
    <w:rsid w:val="00D978EE"/>
    <w:rsid w:val="00DA46D6"/>
    <w:rsid w:val="00DB134B"/>
    <w:rsid w:val="00DC3264"/>
    <w:rsid w:val="00DD44DC"/>
    <w:rsid w:val="00DD6650"/>
    <w:rsid w:val="00E32259"/>
    <w:rsid w:val="00E37B87"/>
    <w:rsid w:val="00E37E6B"/>
    <w:rsid w:val="00E458BC"/>
    <w:rsid w:val="00E60CCC"/>
    <w:rsid w:val="00E65CF1"/>
    <w:rsid w:val="00E8356C"/>
    <w:rsid w:val="00E97145"/>
    <w:rsid w:val="00EA7E00"/>
    <w:rsid w:val="00EC4CF7"/>
    <w:rsid w:val="00EC4F6F"/>
    <w:rsid w:val="00EE686E"/>
    <w:rsid w:val="00F179CA"/>
    <w:rsid w:val="00F707E7"/>
    <w:rsid w:val="00F72DDA"/>
    <w:rsid w:val="00F76850"/>
    <w:rsid w:val="00F83230"/>
    <w:rsid w:val="00F97973"/>
    <w:rsid w:val="00F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50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A4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A46D6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1" w:color="auto"/>
      </w:pBdr>
      <w:shd w:val="clear" w:color="auto" w:fill="00FFFF"/>
      <w:tabs>
        <w:tab w:val="left" w:pos="1843"/>
      </w:tabs>
      <w:ind w:left="284"/>
      <w:contextualSpacing/>
      <w:jc w:val="center"/>
      <w:outlineLvl w:val="0"/>
    </w:pPr>
    <w:rPr>
      <w:rFonts w:eastAsia="Times New Roman"/>
      <w:b/>
    </w:rPr>
  </w:style>
  <w:style w:type="character" w:customStyle="1" w:styleId="Nadpis1Char">
    <w:name w:val="Nadpis 1 Char"/>
    <w:basedOn w:val="Standardnpsmoodstavce"/>
    <w:link w:val="Nadpis1"/>
    <w:uiPriority w:val="9"/>
    <w:rsid w:val="00DA4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A46D6"/>
    <w:pPr>
      <w:jc w:val="both"/>
    </w:pPr>
    <w:rPr>
      <w:rFonts w:ascii="Garamond" w:hAnsi="Garamond"/>
      <w:sz w:val="28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46D6"/>
    <w:rPr>
      <w:rFonts w:ascii="Garamond" w:eastAsia="Times New Roman" w:hAnsi="Garamond"/>
      <w:b/>
      <w:sz w:val="28"/>
      <w:szCs w:val="28"/>
      <w:shd w:val="clear" w:color="auto" w:fill="00FFFF"/>
    </w:rPr>
  </w:style>
  <w:style w:type="paragraph" w:customStyle="1" w:styleId="Styl1">
    <w:name w:val="Styl1"/>
    <w:basedOn w:val="Odstavecseseznamem"/>
    <w:link w:val="Styl1Char"/>
    <w:qFormat/>
    <w:rsid w:val="00DA4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b w:val="0"/>
    </w:rPr>
  </w:style>
  <w:style w:type="character" w:customStyle="1" w:styleId="Styl1Char">
    <w:name w:val="Styl1 Char"/>
    <w:basedOn w:val="OdstavecseseznamemChar"/>
    <w:link w:val="Styl1"/>
    <w:rsid w:val="00DA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vranovah</dc:creator>
  <cp:lastModifiedBy>leitlovar</cp:lastModifiedBy>
  <cp:revision>2</cp:revision>
  <cp:lastPrinted>2017-10-13T09:44:00Z</cp:lastPrinted>
  <dcterms:created xsi:type="dcterms:W3CDTF">2017-10-16T08:38:00Z</dcterms:created>
  <dcterms:modified xsi:type="dcterms:W3CDTF">2017-10-16T08:38:00Z</dcterms:modified>
</cp:coreProperties>
</file>