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7585E" w14:textId="77777777" w:rsidR="00F95191" w:rsidRDefault="00000000">
      <w:pPr>
        <w:pStyle w:val="Heading10"/>
        <w:keepNext/>
        <w:keepLines/>
      </w:pPr>
      <w:bookmarkStart w:id="0" w:name="bookmark0"/>
      <w:r>
        <w:rPr>
          <w:rStyle w:val="Heading1"/>
          <w:b/>
          <w:bCs/>
        </w:rPr>
        <w:t>Smlouva o využití výsledků</w:t>
      </w:r>
      <w:bookmarkEnd w:id="0"/>
    </w:p>
    <w:p w14:paraId="3D360416" w14:textId="77777777" w:rsidR="00F95191" w:rsidRDefault="00000000">
      <w:pPr>
        <w:pStyle w:val="Zkladntext"/>
        <w:spacing w:after="540" w:line="226" w:lineRule="auto"/>
        <w:jc w:val="center"/>
      </w:pPr>
      <w:r>
        <w:rPr>
          <w:rStyle w:val="ZkladntextChar"/>
          <w:b/>
          <w:bCs/>
          <w:sz w:val="32"/>
          <w:szCs w:val="32"/>
        </w:rPr>
        <w:t>dosažených při řešení projektu výzkumu a vývoje TQ15000325</w:t>
      </w:r>
      <w:r>
        <w:rPr>
          <w:rStyle w:val="ZkladntextChar"/>
          <w:b/>
          <w:bCs/>
          <w:sz w:val="32"/>
          <w:szCs w:val="32"/>
        </w:rPr>
        <w:br/>
      </w:r>
      <w:r>
        <w:rPr>
          <w:rStyle w:val="ZkladntextChar"/>
        </w:rPr>
        <w:t>uzavřená v souladu se zákonem č. 130/2002 Sb., o podpoře výzkumu a vývoje z veřejných</w:t>
      </w:r>
      <w:r>
        <w:rPr>
          <w:rStyle w:val="ZkladntextChar"/>
        </w:rPr>
        <w:br/>
        <w:t>prostředků o změně některých souvisejících zákonů (zákon o podpoře výzkumu a vývoje), v</w:t>
      </w:r>
      <w:r>
        <w:rPr>
          <w:rStyle w:val="ZkladntextChar"/>
        </w:rPr>
        <w:br/>
        <w:t>platném znění (ZPVV)</w:t>
      </w:r>
    </w:p>
    <w:p w14:paraId="5C479615" w14:textId="77777777" w:rsidR="00F95191" w:rsidRDefault="00000000">
      <w:pPr>
        <w:pStyle w:val="Heading30"/>
        <w:keepNext/>
        <w:keepLines/>
        <w:numPr>
          <w:ilvl w:val="0"/>
          <w:numId w:val="1"/>
        </w:numPr>
        <w:tabs>
          <w:tab w:val="left" w:pos="789"/>
        </w:tabs>
        <w:spacing w:after="0"/>
        <w:ind w:left="440"/>
        <w:jc w:val="left"/>
      </w:pPr>
      <w:bookmarkStart w:id="1" w:name="bookmark2"/>
      <w:r>
        <w:rPr>
          <w:rStyle w:val="Heading3"/>
          <w:b/>
          <w:bCs/>
        </w:rPr>
        <w:t>nextdrop s r.o.</w:t>
      </w:r>
      <w:bookmarkEnd w:id="1"/>
    </w:p>
    <w:p w14:paraId="41559884" w14:textId="77777777" w:rsidR="00F95191" w:rsidRDefault="00000000">
      <w:pPr>
        <w:pStyle w:val="Zkladntext"/>
        <w:spacing w:after="0"/>
        <w:ind w:left="440"/>
      </w:pPr>
      <w:r>
        <w:rPr>
          <w:rStyle w:val="ZkladntextChar"/>
        </w:rPr>
        <w:t>Právnická osoba zapsaná v obchodním rejstříku se sídlem Riegrova 206/1, 301 00 Plzeň IČ: 10818065</w:t>
      </w:r>
    </w:p>
    <w:p w14:paraId="0BC8E795" w14:textId="49C33DF1" w:rsidR="00F95191" w:rsidRDefault="00000000">
      <w:pPr>
        <w:pStyle w:val="Zkladntext"/>
        <w:spacing w:after="0"/>
        <w:ind w:firstLine="440"/>
      </w:pPr>
      <w:r>
        <w:rPr>
          <w:rStyle w:val="ZkladntextChar"/>
        </w:rPr>
        <w:t xml:space="preserve">bankovní spojení: Fio banka a.s., č. u. </w:t>
      </w:r>
      <w:r w:rsidR="006302BC">
        <w:rPr>
          <w:rStyle w:val="ZkladntextChar"/>
        </w:rPr>
        <w:t>xxxx</w:t>
      </w:r>
    </w:p>
    <w:p w14:paraId="3568FA9F" w14:textId="235B297C" w:rsidR="00F95191" w:rsidRDefault="00000000">
      <w:pPr>
        <w:pStyle w:val="Zkladntext"/>
        <w:spacing w:after="0"/>
        <w:ind w:firstLine="440"/>
      </w:pPr>
      <w:r>
        <w:rPr>
          <w:rStyle w:val="ZkladntextChar"/>
        </w:rPr>
        <w:t>zastoupena: I</w:t>
      </w:r>
      <w:r w:rsidR="006302BC">
        <w:rPr>
          <w:rStyle w:val="ZkladntextChar"/>
        </w:rPr>
        <w:t>xxxx</w:t>
      </w:r>
      <w:r>
        <w:rPr>
          <w:rStyle w:val="ZkladntextChar"/>
        </w:rPr>
        <w:t>. a I</w:t>
      </w:r>
      <w:r w:rsidR="006302BC">
        <w:rPr>
          <w:rStyle w:val="ZkladntextChar"/>
        </w:rPr>
        <w:t>xxxx</w:t>
      </w:r>
      <w:r>
        <w:rPr>
          <w:rStyle w:val="ZkladntextChar"/>
        </w:rPr>
        <w:t>, jednateli</w:t>
      </w:r>
    </w:p>
    <w:p w14:paraId="17638825" w14:textId="77777777" w:rsidR="00F95191" w:rsidRDefault="00000000">
      <w:pPr>
        <w:pStyle w:val="Zkladntext"/>
        <w:spacing w:after="260"/>
        <w:ind w:firstLine="440"/>
      </w:pPr>
      <w:r>
        <w:rPr>
          <w:rStyle w:val="ZkladntextChar"/>
          <w:b/>
          <w:bCs/>
        </w:rPr>
        <w:t>(</w:t>
      </w:r>
      <w:r>
        <w:rPr>
          <w:rStyle w:val="ZkladntextChar"/>
        </w:rPr>
        <w:t xml:space="preserve">dále jen </w:t>
      </w:r>
      <w:r>
        <w:rPr>
          <w:rStyle w:val="ZkladntextChar"/>
          <w:b/>
          <w:bCs/>
        </w:rPr>
        <w:t>Příjemce)</w:t>
      </w:r>
    </w:p>
    <w:p w14:paraId="606AB9DF" w14:textId="77777777" w:rsidR="00F95191" w:rsidRDefault="00000000">
      <w:pPr>
        <w:pStyle w:val="Zkladntext"/>
        <w:numPr>
          <w:ilvl w:val="0"/>
          <w:numId w:val="1"/>
        </w:numPr>
        <w:tabs>
          <w:tab w:val="left" w:pos="798"/>
        </w:tabs>
        <w:spacing w:after="0"/>
        <w:ind w:firstLine="440"/>
      </w:pPr>
      <w:r>
        <w:rPr>
          <w:rStyle w:val="ZkladntextChar"/>
          <w:b/>
          <w:bCs/>
        </w:rPr>
        <w:t>Vysoká škola chemicko-technologická v Praze (VŠCHT Praha)</w:t>
      </w:r>
    </w:p>
    <w:p w14:paraId="79699652" w14:textId="77777777" w:rsidR="00F95191" w:rsidRDefault="00000000">
      <w:pPr>
        <w:pStyle w:val="Zkladntext"/>
        <w:spacing w:after="0"/>
        <w:ind w:firstLine="440"/>
      </w:pPr>
      <w:r>
        <w:rPr>
          <w:rStyle w:val="ZkladntextChar"/>
        </w:rPr>
        <w:t>se sídlem: Technická 5, 166 28 Praha 6 - Dejvice</w:t>
      </w:r>
    </w:p>
    <w:p w14:paraId="62B8C0B9" w14:textId="77777777" w:rsidR="00F95191" w:rsidRDefault="00000000">
      <w:pPr>
        <w:pStyle w:val="Zkladntext"/>
        <w:spacing w:after="0"/>
        <w:ind w:firstLine="440"/>
      </w:pPr>
      <w:r>
        <w:rPr>
          <w:rStyle w:val="ZkladntextChar"/>
        </w:rPr>
        <w:t>IČ: 60461373</w:t>
      </w:r>
    </w:p>
    <w:p w14:paraId="64C659A3" w14:textId="77777777" w:rsidR="00F95191" w:rsidRDefault="00000000">
      <w:pPr>
        <w:pStyle w:val="Zkladntext"/>
        <w:spacing w:after="0"/>
        <w:ind w:firstLine="440"/>
      </w:pPr>
      <w:r>
        <w:rPr>
          <w:rStyle w:val="ZkladntextChar"/>
        </w:rPr>
        <w:t>DIČ: CZ60461373</w:t>
      </w:r>
    </w:p>
    <w:p w14:paraId="2869B9A7" w14:textId="1A988E68" w:rsidR="00F95191" w:rsidRDefault="00000000">
      <w:pPr>
        <w:pStyle w:val="Zkladntext"/>
        <w:spacing w:after="0"/>
        <w:ind w:firstLine="440"/>
      </w:pPr>
      <w:r>
        <w:rPr>
          <w:rStyle w:val="ZkladntextChar"/>
        </w:rPr>
        <w:t xml:space="preserve">bankovní spojení: ČSOB, a.s., č. u: </w:t>
      </w:r>
      <w:r w:rsidR="006302BC">
        <w:rPr>
          <w:rStyle w:val="ZkladntextChar"/>
        </w:rPr>
        <w:t>xxxxxx</w:t>
      </w:r>
      <w:r>
        <w:rPr>
          <w:rStyle w:val="ZkladntextChar"/>
        </w:rPr>
        <w:t xml:space="preserve"> VS 217234</w:t>
      </w:r>
      <w:r w:rsidR="006302BC">
        <w:rPr>
          <w:rStyle w:val="ZkladntextChar"/>
        </w:rPr>
        <w:t>5372</w:t>
      </w:r>
    </w:p>
    <w:p w14:paraId="7B0403AC" w14:textId="5E9F0888" w:rsidR="00F95191" w:rsidRDefault="00000000">
      <w:pPr>
        <w:pStyle w:val="Zkladntext"/>
        <w:spacing w:after="260"/>
        <w:ind w:left="440"/>
      </w:pPr>
      <w:r>
        <w:rPr>
          <w:rStyle w:val="ZkladntextChar"/>
        </w:rPr>
        <w:t>zastoupena: p</w:t>
      </w:r>
      <w:r w:rsidR="006302BC">
        <w:rPr>
          <w:rStyle w:val="ZkladntextChar"/>
        </w:rPr>
        <w:t>xxxxxx</w:t>
      </w:r>
      <w:r>
        <w:rPr>
          <w:rStyle w:val="ZkladntextChar"/>
        </w:rPr>
        <w:t>, prorektorem pro vědu a výzkum (dále jen Další účastník projektu)</w:t>
      </w:r>
    </w:p>
    <w:p w14:paraId="640DCCAD" w14:textId="77777777" w:rsidR="00F95191" w:rsidRDefault="00000000">
      <w:pPr>
        <w:pStyle w:val="Zkladntext"/>
        <w:spacing w:after="260"/>
        <w:ind w:left="2000"/>
      </w:pPr>
      <w:r>
        <w:rPr>
          <w:rStyle w:val="ZkladntextChar"/>
        </w:rPr>
        <w:t>(společně též jako „smluvní strany“ nebo „účastníci smlouvy“)</w:t>
      </w:r>
    </w:p>
    <w:p w14:paraId="0071F7F8" w14:textId="77777777" w:rsidR="00F95191" w:rsidRDefault="00000000">
      <w:pPr>
        <w:pStyle w:val="Zkladntext"/>
        <w:spacing w:after="540"/>
        <w:jc w:val="center"/>
      </w:pPr>
      <w:r>
        <w:rPr>
          <w:rStyle w:val="ZkladntextChar"/>
        </w:rPr>
        <w:t>uzavírají níže uvedeného dne, měsíce a roku tuto smlouvu o využití výsledků</w:t>
      </w:r>
      <w:r>
        <w:rPr>
          <w:rStyle w:val="ZkladntextChar"/>
        </w:rPr>
        <w:br/>
        <w:t>dosažených při řešení projektu výzkumu a vývoje (dále též „smlouva“)</w:t>
      </w:r>
    </w:p>
    <w:p w14:paraId="2F42A6E2" w14:textId="77777777" w:rsidR="00F95191" w:rsidRDefault="00F95191">
      <w:pPr>
        <w:pStyle w:val="Heading30"/>
        <w:keepNext/>
        <w:keepLines/>
        <w:numPr>
          <w:ilvl w:val="0"/>
          <w:numId w:val="2"/>
        </w:numPr>
        <w:spacing w:after="0"/>
      </w:pPr>
      <w:bookmarkStart w:id="2" w:name="bookmark4"/>
      <w:bookmarkEnd w:id="2"/>
    </w:p>
    <w:p w14:paraId="2B08F203" w14:textId="77777777" w:rsidR="00F95191" w:rsidRDefault="00000000">
      <w:pPr>
        <w:pStyle w:val="Heading30"/>
        <w:keepNext/>
        <w:keepLines/>
      </w:pPr>
      <w:r>
        <w:rPr>
          <w:rStyle w:val="Heading3"/>
          <w:b/>
          <w:bCs/>
        </w:rPr>
        <w:t>Základní údaje o projektu</w:t>
      </w:r>
    </w:p>
    <w:p w14:paraId="11392E21" w14:textId="77777777" w:rsidR="00F95191" w:rsidRDefault="00000000">
      <w:pPr>
        <w:pStyle w:val="Zkladntext"/>
        <w:numPr>
          <w:ilvl w:val="0"/>
          <w:numId w:val="3"/>
        </w:numPr>
        <w:tabs>
          <w:tab w:val="left" w:pos="723"/>
        </w:tabs>
        <w:spacing w:line="276" w:lineRule="auto"/>
        <w:ind w:left="720" w:hanging="340"/>
      </w:pPr>
      <w:r>
        <w:rPr>
          <w:rStyle w:val="ZkladntextChar"/>
        </w:rPr>
        <w:t xml:space="preserve">Předmětem smlouvy je způsob využití výsledků stran realizovaného projektu TQ15000325 </w:t>
      </w:r>
      <w:r>
        <w:rPr>
          <w:rStyle w:val="ZkladntextChar"/>
          <w:i/>
          <w:iCs/>
        </w:rPr>
        <w:t>Detekce a eliminace úniku vody v průmyslových areálech</w:t>
      </w:r>
      <w:r>
        <w:rPr>
          <w:rStyle w:val="ZkladntextChar"/>
        </w:rPr>
        <w:t xml:space="preserve"> (dále jen „</w:t>
      </w:r>
      <w:r>
        <w:rPr>
          <w:rStyle w:val="ZkladntextChar"/>
          <w:b/>
          <w:bCs/>
        </w:rPr>
        <w:t>Projekt</w:t>
      </w:r>
      <w:r>
        <w:rPr>
          <w:rStyle w:val="ZkladntextChar"/>
        </w:rPr>
        <w:t>“), a to na základě Smlouvy o poskytnutí podpory na řešení projektu. Poskytovatelem podpory je Technologická agentura České republiky (dále jen „</w:t>
      </w:r>
      <w:r>
        <w:rPr>
          <w:rStyle w:val="ZkladntextChar"/>
          <w:b/>
          <w:bCs/>
        </w:rPr>
        <w:t>poskytovatel</w:t>
      </w:r>
      <w:r>
        <w:rPr>
          <w:rStyle w:val="ZkladntextChar"/>
        </w:rPr>
        <w:t>“).</w:t>
      </w:r>
    </w:p>
    <w:p w14:paraId="59AB5954" w14:textId="77777777" w:rsidR="00F95191" w:rsidRDefault="00000000">
      <w:pPr>
        <w:pStyle w:val="Zkladntext"/>
        <w:numPr>
          <w:ilvl w:val="0"/>
          <w:numId w:val="3"/>
        </w:numPr>
        <w:tabs>
          <w:tab w:val="left" w:pos="723"/>
        </w:tabs>
        <w:spacing w:after="260"/>
      </w:pPr>
      <w:r>
        <w:rPr>
          <w:rStyle w:val="ZkladntextChar"/>
        </w:rPr>
        <w:t>Projekt byl ukončen 30. 6. 2026</w:t>
      </w:r>
    </w:p>
    <w:p w14:paraId="1D8EC997" w14:textId="77777777" w:rsidR="00F95191" w:rsidRDefault="00000000">
      <w:pPr>
        <w:pStyle w:val="Zkladntext"/>
        <w:numPr>
          <w:ilvl w:val="0"/>
          <w:numId w:val="3"/>
        </w:numPr>
        <w:tabs>
          <w:tab w:val="left" w:pos="723"/>
        </w:tabs>
      </w:pPr>
      <w:r>
        <w:rPr>
          <w:rStyle w:val="ZkladntextChar"/>
        </w:rPr>
        <w:t xml:space="preserve">Příjemce dotace: </w:t>
      </w:r>
      <w:r>
        <w:rPr>
          <w:rStyle w:val="ZkladntextChar"/>
          <w:b/>
          <w:bCs/>
        </w:rPr>
        <w:t>nextdrop s r.o.</w:t>
      </w:r>
    </w:p>
    <w:p w14:paraId="09D86E64" w14:textId="77777777" w:rsidR="00F95191" w:rsidRDefault="00000000">
      <w:pPr>
        <w:pStyle w:val="Zkladntext"/>
        <w:numPr>
          <w:ilvl w:val="0"/>
          <w:numId w:val="3"/>
        </w:numPr>
        <w:tabs>
          <w:tab w:val="left" w:pos="723"/>
        </w:tabs>
        <w:spacing w:after="0"/>
      </w:pPr>
      <w:r>
        <w:rPr>
          <w:rStyle w:val="ZkladntextChar"/>
        </w:rPr>
        <w:t>Na základě Smlouvy o spolupráci na řešení projektu je dalším účastníkem projektu Vysoká</w:t>
      </w:r>
    </w:p>
    <w:p w14:paraId="4F0F9F36" w14:textId="77777777" w:rsidR="00F95191" w:rsidRDefault="00000000">
      <w:pPr>
        <w:pStyle w:val="Zkladntext"/>
        <w:ind w:firstLine="720"/>
      </w:pPr>
      <w:r>
        <w:rPr>
          <w:rStyle w:val="ZkladntextChar"/>
        </w:rPr>
        <w:t>škola chemicko-technologická v Praze.</w:t>
      </w:r>
    </w:p>
    <w:p w14:paraId="255BACE4" w14:textId="77777777" w:rsidR="00F95191" w:rsidRDefault="00000000">
      <w:pPr>
        <w:pStyle w:val="Zkladntext"/>
        <w:numPr>
          <w:ilvl w:val="0"/>
          <w:numId w:val="3"/>
        </w:numPr>
        <w:tabs>
          <w:tab w:val="left" w:pos="723"/>
        </w:tabs>
        <w:spacing w:after="0"/>
      </w:pPr>
      <w:r>
        <w:rPr>
          <w:rStyle w:val="ZkladntextChar"/>
        </w:rPr>
        <w:t>Údaje o projektu podléhají kódu důvěrnosti údajů: S - Předmět řešení projektu nepodléhá ochraně</w:t>
      </w:r>
    </w:p>
    <w:p w14:paraId="49046B3D" w14:textId="77777777" w:rsidR="00F95191" w:rsidRDefault="00000000">
      <w:pPr>
        <w:pStyle w:val="Zkladntext"/>
        <w:spacing w:after="260"/>
        <w:ind w:firstLine="720"/>
        <w:rPr>
          <w:rStyle w:val="ZkladntextChar"/>
        </w:rPr>
      </w:pPr>
      <w:r>
        <w:rPr>
          <w:rStyle w:val="ZkladntextChar"/>
        </w:rPr>
        <w:t>dle zvláštních předpisů.</w:t>
      </w:r>
    </w:p>
    <w:p w14:paraId="15A96045" w14:textId="77777777" w:rsidR="006302BC" w:rsidRDefault="006302BC">
      <w:pPr>
        <w:pStyle w:val="Zkladntext"/>
        <w:spacing w:after="260"/>
        <w:ind w:firstLine="720"/>
        <w:rPr>
          <w:rStyle w:val="ZkladntextChar"/>
        </w:rPr>
      </w:pPr>
    </w:p>
    <w:p w14:paraId="0E25EDA9" w14:textId="77777777" w:rsidR="006302BC" w:rsidRDefault="006302BC">
      <w:pPr>
        <w:pStyle w:val="Zkladntext"/>
        <w:spacing w:after="260"/>
        <w:ind w:firstLine="720"/>
        <w:rPr>
          <w:rStyle w:val="ZkladntextChar"/>
        </w:rPr>
      </w:pPr>
    </w:p>
    <w:p w14:paraId="0B71A1E3" w14:textId="77777777" w:rsidR="006302BC" w:rsidRDefault="006302BC">
      <w:pPr>
        <w:pStyle w:val="Zkladntext"/>
        <w:spacing w:after="260"/>
        <w:ind w:firstLine="720"/>
      </w:pPr>
    </w:p>
    <w:p w14:paraId="4992D6C8" w14:textId="77777777" w:rsidR="00F95191" w:rsidRDefault="00F95191">
      <w:pPr>
        <w:pStyle w:val="Zkladntext"/>
        <w:numPr>
          <w:ilvl w:val="0"/>
          <w:numId w:val="2"/>
        </w:numPr>
        <w:spacing w:after="0"/>
        <w:jc w:val="center"/>
      </w:pPr>
    </w:p>
    <w:p w14:paraId="21468568" w14:textId="77777777" w:rsidR="00F95191" w:rsidRDefault="00000000">
      <w:pPr>
        <w:pStyle w:val="Zkladntext"/>
        <w:spacing w:after="260"/>
        <w:jc w:val="center"/>
      </w:pPr>
      <w:r>
        <w:rPr>
          <w:rStyle w:val="ZkladntextChar"/>
          <w:b/>
          <w:bCs/>
        </w:rPr>
        <w:t>Vymezení výsledků a vlastnických práv k nim</w:t>
      </w:r>
    </w:p>
    <w:p w14:paraId="2978BCF3" w14:textId="77777777" w:rsidR="00F95191" w:rsidRDefault="00000000">
      <w:pPr>
        <w:pStyle w:val="Zkladntext"/>
        <w:numPr>
          <w:ilvl w:val="0"/>
          <w:numId w:val="4"/>
        </w:numPr>
        <w:tabs>
          <w:tab w:val="left" w:pos="762"/>
        </w:tabs>
        <w:spacing w:after="260"/>
      </w:pPr>
      <w:r>
        <w:rPr>
          <w:rStyle w:val="ZkladntextChar"/>
        </w:rPr>
        <w:t>Smluvní strany dosáhly při řešení projektu následujících výsledků:</w:t>
      </w:r>
    </w:p>
    <w:p w14:paraId="17F58BC6" w14:textId="77777777" w:rsidR="00F95191" w:rsidRDefault="00000000">
      <w:pPr>
        <w:pStyle w:val="Zkladntext"/>
        <w:numPr>
          <w:ilvl w:val="0"/>
          <w:numId w:val="5"/>
        </w:numPr>
        <w:tabs>
          <w:tab w:val="left" w:pos="743"/>
        </w:tabs>
        <w:spacing w:after="0"/>
        <w:ind w:firstLine="380"/>
      </w:pPr>
      <w:r>
        <w:rPr>
          <w:rStyle w:val="ZkladntextChar"/>
        </w:rPr>
        <w:t>TQ15000325 - V1 - Adaptivní algoritmus detekce úniků z vnitřního vodovodu</w:t>
      </w:r>
    </w:p>
    <w:p w14:paraId="41FFE812" w14:textId="77777777" w:rsidR="00F95191" w:rsidRDefault="00000000">
      <w:pPr>
        <w:pStyle w:val="Zkladntext"/>
        <w:spacing w:after="0"/>
        <w:ind w:firstLine="720"/>
        <w:rPr>
          <w:sz w:val="16"/>
          <w:szCs w:val="16"/>
        </w:rPr>
      </w:pPr>
      <w:r>
        <w:rPr>
          <w:rStyle w:val="ZkladntextChar"/>
        </w:rPr>
        <w:t>Dle metodiky RIVC: R - Software</w:t>
      </w:r>
      <w:r>
        <w:rPr>
          <w:rStyle w:val="ZkladntextChar"/>
          <w:sz w:val="16"/>
          <w:szCs w:val="16"/>
        </w:rPr>
        <w:t>.</w:t>
      </w:r>
    </w:p>
    <w:p w14:paraId="1176DCC6" w14:textId="77777777" w:rsidR="00F95191" w:rsidRDefault="00000000">
      <w:pPr>
        <w:pStyle w:val="Zkladntext"/>
        <w:spacing w:after="0"/>
        <w:ind w:firstLine="720"/>
      </w:pPr>
      <w:r>
        <w:rPr>
          <w:rStyle w:val="ZkladntextChar"/>
        </w:rPr>
        <w:t>Datum výstupu: 06/2026</w:t>
      </w:r>
    </w:p>
    <w:p w14:paraId="1800506E" w14:textId="77777777" w:rsidR="00F95191" w:rsidRDefault="00000000">
      <w:pPr>
        <w:pStyle w:val="Zkladntext"/>
        <w:spacing w:after="0"/>
        <w:ind w:firstLine="720"/>
      </w:pPr>
      <w:r>
        <w:rPr>
          <w:rStyle w:val="ZkladntextChar"/>
        </w:rPr>
        <w:t>Garant výstupu: nextdrop s.r.o.</w:t>
      </w:r>
    </w:p>
    <w:p w14:paraId="5F1A3DC9" w14:textId="77777777" w:rsidR="00F95191" w:rsidRDefault="00000000">
      <w:pPr>
        <w:pStyle w:val="Zkladntext"/>
        <w:spacing w:after="0"/>
        <w:ind w:left="720"/>
        <w:jc w:val="both"/>
      </w:pPr>
      <w:r>
        <w:rPr>
          <w:rStyle w:val="ZkladntextChar"/>
        </w:rPr>
        <w:t>Popis výstupu a uplatnění na trhu: Technologie pro detekci havarijních stavů odběru vodního hospodářství průmyslového areálu včetně mechanismu automatického a adaptivního nastavení limitů na základě průběžného měření parametrů odběru (průtok, tlak). Výsledek reflektuje hlavní záměr projektu, kterým je vývoj techniky detekce úniků včetně autonomního a individuálního nastavení limitů průtoku pro danou přípojku.</w:t>
      </w:r>
    </w:p>
    <w:p w14:paraId="0CC14035" w14:textId="77777777" w:rsidR="00F95191" w:rsidRDefault="00000000">
      <w:pPr>
        <w:pStyle w:val="Zkladntext"/>
        <w:spacing w:after="260"/>
        <w:ind w:firstLine="720"/>
      </w:pPr>
      <w:r>
        <w:rPr>
          <w:rStyle w:val="ZkladntextChar"/>
        </w:rPr>
        <w:t>Vlastnická práva: nextdrop 100 %.</w:t>
      </w:r>
    </w:p>
    <w:p w14:paraId="6CC8F237" w14:textId="77777777" w:rsidR="00F95191" w:rsidRDefault="00000000">
      <w:pPr>
        <w:pStyle w:val="Zkladntext"/>
        <w:numPr>
          <w:ilvl w:val="0"/>
          <w:numId w:val="5"/>
        </w:numPr>
        <w:tabs>
          <w:tab w:val="left" w:pos="767"/>
        </w:tabs>
        <w:spacing w:after="0"/>
        <w:ind w:left="720" w:hanging="340"/>
        <w:jc w:val="both"/>
      </w:pPr>
      <w:r>
        <w:rPr>
          <w:rStyle w:val="ZkladntextChar"/>
        </w:rPr>
        <w:t>TQ15000325 - V2 - Algoritmus modifikovaného z-skóre pro detekci úniků vody z vnitřního vodovodu</w:t>
      </w:r>
    </w:p>
    <w:p w14:paraId="74011453" w14:textId="77777777" w:rsidR="00F95191" w:rsidRDefault="00000000">
      <w:pPr>
        <w:pStyle w:val="Zkladntext"/>
        <w:spacing w:after="0"/>
        <w:ind w:firstLine="720"/>
        <w:rPr>
          <w:sz w:val="16"/>
          <w:szCs w:val="16"/>
        </w:rPr>
      </w:pPr>
      <w:r>
        <w:rPr>
          <w:rStyle w:val="ZkladntextChar"/>
        </w:rPr>
        <w:t>Dle metodiky RIVC: R - Software</w:t>
      </w:r>
      <w:r>
        <w:rPr>
          <w:rStyle w:val="ZkladntextChar"/>
          <w:sz w:val="16"/>
          <w:szCs w:val="16"/>
        </w:rPr>
        <w:t>.</w:t>
      </w:r>
    </w:p>
    <w:p w14:paraId="6875A72A" w14:textId="77777777" w:rsidR="00F95191" w:rsidRDefault="00000000">
      <w:pPr>
        <w:pStyle w:val="Zkladntext"/>
        <w:spacing w:after="0"/>
        <w:ind w:firstLine="720"/>
      </w:pPr>
      <w:r>
        <w:rPr>
          <w:rStyle w:val="ZkladntextChar"/>
        </w:rPr>
        <w:t>Datum výstupu: 06/2026</w:t>
      </w:r>
    </w:p>
    <w:p w14:paraId="049AEF92" w14:textId="77777777" w:rsidR="00F95191" w:rsidRDefault="00000000">
      <w:pPr>
        <w:pStyle w:val="Zkladntext"/>
        <w:spacing w:after="0"/>
        <w:ind w:firstLine="720"/>
      </w:pPr>
      <w:r>
        <w:rPr>
          <w:rStyle w:val="ZkladntextChar"/>
        </w:rPr>
        <w:t>Garant výstupu: VŠCHT</w:t>
      </w:r>
    </w:p>
    <w:p w14:paraId="46E56A70" w14:textId="77777777" w:rsidR="00F95191" w:rsidRDefault="00000000">
      <w:pPr>
        <w:pStyle w:val="Zkladntext"/>
        <w:spacing w:after="0"/>
        <w:ind w:left="720"/>
        <w:jc w:val="both"/>
      </w:pPr>
      <w:r>
        <w:rPr>
          <w:rStyle w:val="ZkladntextChar"/>
        </w:rPr>
        <w:t>Popis výstupu a uplatnění na trhu: Algoritmus využívající zdrojových dat průtoku vody do systému a následně vyhodnocování stochastickou metodou modifikovaného z-skóre pro odhalení malých úniků vody z uzavřeného vnitřního vodovodního systému včetně metodiky pro nastavení jednotlivých proměnných individualizovaných pro každou instalaci.</w:t>
      </w:r>
    </w:p>
    <w:p w14:paraId="6A311F94" w14:textId="77777777" w:rsidR="00F95191" w:rsidRDefault="00000000">
      <w:pPr>
        <w:pStyle w:val="Zkladntext"/>
        <w:spacing w:after="260"/>
        <w:ind w:firstLine="720"/>
      </w:pPr>
      <w:r>
        <w:rPr>
          <w:rStyle w:val="ZkladntextChar"/>
        </w:rPr>
        <w:t>Vlastnická práva: VŠCHT 100 %.</w:t>
      </w:r>
    </w:p>
    <w:p w14:paraId="7995693F" w14:textId="77777777" w:rsidR="00F95191" w:rsidRDefault="00000000">
      <w:pPr>
        <w:pStyle w:val="Zkladntext"/>
        <w:spacing w:after="260"/>
        <w:jc w:val="both"/>
      </w:pPr>
      <w:r>
        <w:rPr>
          <w:rStyle w:val="ZkladntextChar"/>
        </w:rPr>
        <w:t>(dále společně jen „</w:t>
      </w:r>
      <w:r>
        <w:rPr>
          <w:rStyle w:val="ZkladntextChar"/>
          <w:b/>
          <w:bCs/>
        </w:rPr>
        <w:t>výsledky</w:t>
      </w:r>
      <w:r>
        <w:rPr>
          <w:rStyle w:val="ZkladntextChar"/>
        </w:rPr>
        <w:t>“).</w:t>
      </w:r>
    </w:p>
    <w:p w14:paraId="73F39915" w14:textId="77777777" w:rsidR="00F95191" w:rsidRDefault="00000000">
      <w:pPr>
        <w:pStyle w:val="Zkladntext"/>
        <w:numPr>
          <w:ilvl w:val="0"/>
          <w:numId w:val="4"/>
        </w:numPr>
        <w:tabs>
          <w:tab w:val="left" w:pos="762"/>
        </w:tabs>
        <w:spacing w:after="0"/>
        <w:jc w:val="both"/>
      </w:pPr>
      <w:r>
        <w:rPr>
          <w:rStyle w:val="ZkladntextChar"/>
        </w:rPr>
        <w:t>Uvedené výsledky projektu jsou v souladu s cíli projektu. Výsledky projektu jsou</w:t>
      </w:r>
    </w:p>
    <w:p w14:paraId="6344BCED" w14:textId="77777777" w:rsidR="00F95191" w:rsidRDefault="00000000">
      <w:pPr>
        <w:pStyle w:val="Zkladntext"/>
        <w:spacing w:after="260"/>
        <w:ind w:left="800"/>
        <w:jc w:val="both"/>
      </w:pPr>
      <w:r>
        <w:rPr>
          <w:rStyle w:val="ZkladntextChar"/>
        </w:rPr>
        <w:t>příjemce a další účastníci projektu oprávněni využívat pro své účely bezplatně pro účely nekomerčního využití výsledků a v případě jejich komerčního využití pak v souladu s odst. 1 tohoto článku a uvedených velikostí spoluvlastnických práv jednotlivých účastníků.</w:t>
      </w:r>
    </w:p>
    <w:p w14:paraId="5F10CB81" w14:textId="77777777" w:rsidR="00F95191" w:rsidRDefault="00000000">
      <w:pPr>
        <w:pStyle w:val="Zkladntext"/>
        <w:numPr>
          <w:ilvl w:val="0"/>
          <w:numId w:val="4"/>
        </w:numPr>
        <w:tabs>
          <w:tab w:val="left" w:pos="762"/>
        </w:tabs>
        <w:spacing w:after="0"/>
        <w:jc w:val="both"/>
      </w:pPr>
      <w:r>
        <w:rPr>
          <w:rStyle w:val="ZkladntextChar"/>
        </w:rPr>
        <w:t>Výsledky projektu, včetně závěrečné zprávy, podléhají ochraně dle zákona</w:t>
      </w:r>
    </w:p>
    <w:p w14:paraId="225BF3EC" w14:textId="77777777" w:rsidR="00F95191" w:rsidRDefault="00000000">
      <w:pPr>
        <w:pStyle w:val="Zkladntext"/>
        <w:spacing w:after="260"/>
        <w:ind w:left="800"/>
        <w:jc w:val="both"/>
      </w:pPr>
      <w:r>
        <w:rPr>
          <w:rStyle w:val="ZkladntextChar"/>
        </w:rPr>
        <w:t>č. 121/2000 Sb., o právu autorském, o právech souvisejících s právem autorským a o změně některých zákonů (autorský zákon), ve znění pozdějších předpisů (dále též „autorský zákon“) nebo jiných zvláštních předpisů a ve smyslu § 58 autorského zákona se považují za zaměstnanecká díla, k nimž majetková práva vykonává příjemce nebo další účastník projektu.</w:t>
      </w:r>
    </w:p>
    <w:p w14:paraId="3CA97954" w14:textId="77777777" w:rsidR="00F95191" w:rsidRDefault="00000000">
      <w:pPr>
        <w:pStyle w:val="Zkladntext"/>
        <w:numPr>
          <w:ilvl w:val="0"/>
          <w:numId w:val="4"/>
        </w:numPr>
        <w:tabs>
          <w:tab w:val="left" w:pos="762"/>
        </w:tabs>
        <w:spacing w:after="0"/>
        <w:jc w:val="both"/>
      </w:pPr>
      <w:r>
        <w:rPr>
          <w:rStyle w:val="ZkladntextChar"/>
        </w:rPr>
        <w:t>Příjemce a další účastníci projektu prohlašují, že uvedené výsledky řešení projektu</w:t>
      </w:r>
    </w:p>
    <w:p w14:paraId="4CA06820" w14:textId="77777777" w:rsidR="00F95191" w:rsidRDefault="00000000">
      <w:pPr>
        <w:pStyle w:val="Zkladntext"/>
        <w:spacing w:after="260"/>
        <w:ind w:firstLine="800"/>
      </w:pPr>
      <w:r>
        <w:rPr>
          <w:rStyle w:val="ZkladntextChar"/>
        </w:rPr>
        <w:t>nejsou zároveň výsledky jiného projektu nebo výzkumného záměru.</w:t>
      </w:r>
    </w:p>
    <w:p w14:paraId="40C780F2" w14:textId="77777777" w:rsidR="00F95191" w:rsidRDefault="00F95191">
      <w:pPr>
        <w:pStyle w:val="Zkladntext"/>
        <w:numPr>
          <w:ilvl w:val="0"/>
          <w:numId w:val="2"/>
        </w:numPr>
        <w:spacing w:after="0"/>
        <w:jc w:val="center"/>
      </w:pPr>
    </w:p>
    <w:p w14:paraId="40AA9E47" w14:textId="77777777" w:rsidR="00F95191" w:rsidRDefault="00000000">
      <w:pPr>
        <w:pStyle w:val="Heading30"/>
        <w:keepNext/>
        <w:keepLines/>
        <w:spacing w:after="380"/>
      </w:pPr>
      <w:bookmarkStart w:id="3" w:name="bookmark7"/>
      <w:r>
        <w:rPr>
          <w:rStyle w:val="Heading3"/>
          <w:b/>
          <w:bCs/>
        </w:rPr>
        <w:t>Úprava užívacích práv k výsledkům projektu</w:t>
      </w:r>
      <w:bookmarkEnd w:id="3"/>
    </w:p>
    <w:p w14:paraId="6C86E5E1" w14:textId="77777777" w:rsidR="00F95191" w:rsidRDefault="00000000">
      <w:pPr>
        <w:pStyle w:val="Zkladntext"/>
        <w:numPr>
          <w:ilvl w:val="0"/>
          <w:numId w:val="6"/>
        </w:numPr>
        <w:tabs>
          <w:tab w:val="left" w:pos="332"/>
        </w:tabs>
        <w:spacing w:after="100"/>
        <w:ind w:left="380" w:hanging="380"/>
        <w:jc w:val="both"/>
      </w:pPr>
      <w:r>
        <w:rPr>
          <w:rStyle w:val="ZkladntextChar"/>
        </w:rPr>
        <w:t>Veškeré výsledky projektu vznikaly v těsné spolupráci mezi Příjemcem a Dalším účastníkem projektu. Smluvní strany mají právo obecně šířit výsledky projektu, které nemají za následek vznik práva k duševnímu vlastnictví. Odborná veřejnost tak bude mít možnost se seznámit s výsledky projektu zejména prostřednictvím publikační činnosti (výuka studentů, konferenční příspěvky, články atd.).</w:t>
      </w:r>
    </w:p>
    <w:p w14:paraId="0E2DCBA6" w14:textId="77777777" w:rsidR="00F95191" w:rsidRDefault="00000000">
      <w:pPr>
        <w:pStyle w:val="Zkladntext"/>
        <w:numPr>
          <w:ilvl w:val="0"/>
          <w:numId w:val="6"/>
        </w:numPr>
        <w:tabs>
          <w:tab w:val="left" w:pos="332"/>
        </w:tabs>
        <w:spacing w:after="100"/>
        <w:ind w:left="380" w:hanging="380"/>
        <w:jc w:val="both"/>
      </w:pPr>
      <w:r>
        <w:rPr>
          <w:rStyle w:val="ZkladntextChar"/>
        </w:rPr>
        <w:lastRenderedPageBreak/>
        <w:t>Publikační činnost smluvních stran v odborných periodikách musí být realizována takovým způsobem, aby nebyla dotčena práva smluvních stran na ochranu a komerční využití výsledků projektu. Smluvní strany se dohodly, že jakýkoliv záměr publikovat výsledek či jeho část bude předložen druhé straně ke schválení nejméně 30 dnů před plánovaným zveřejněním. Druhá strana je oprávněna zveřejnění odmítnout nebo pozastavit, pokud by tím došlo k ohrožení možnosti právní ochrany výsledku.</w:t>
      </w:r>
    </w:p>
    <w:p w14:paraId="0DEA49CB" w14:textId="77777777" w:rsidR="00F95191" w:rsidRDefault="00000000">
      <w:pPr>
        <w:pStyle w:val="Zkladntext"/>
        <w:numPr>
          <w:ilvl w:val="0"/>
          <w:numId w:val="6"/>
        </w:numPr>
        <w:tabs>
          <w:tab w:val="left" w:pos="332"/>
        </w:tabs>
        <w:spacing w:after="260"/>
        <w:ind w:left="380" w:hanging="380"/>
        <w:jc w:val="both"/>
      </w:pPr>
      <w:r>
        <w:rPr>
          <w:rStyle w:val="ZkladntextChar"/>
        </w:rPr>
        <w:t>Smluvní strana, která bude mít v úmyslu výsledek ve spoluvlastnictví komercializovat, je povinna toto písemně oznámit druhé smluvní straně a zahájit příslušná jednání k uzavření smlouvy.</w:t>
      </w:r>
    </w:p>
    <w:p w14:paraId="701DA3D8" w14:textId="77777777" w:rsidR="00F95191" w:rsidRDefault="00000000">
      <w:pPr>
        <w:pStyle w:val="Zkladntext"/>
        <w:numPr>
          <w:ilvl w:val="0"/>
          <w:numId w:val="6"/>
        </w:numPr>
        <w:tabs>
          <w:tab w:val="left" w:pos="332"/>
        </w:tabs>
        <w:spacing w:after="660"/>
        <w:ind w:left="380" w:hanging="380"/>
        <w:jc w:val="both"/>
      </w:pPr>
      <w:r>
        <w:rPr>
          <w:rStyle w:val="ZkladntextChar"/>
        </w:rPr>
        <w:t>Záměry k využití výsledků a předpokládané termíny využití jsou definovány v Implementačním plánu, který je součástí závěrečné zprávy o řešení projektu č. TQ15000325. Další účastník projektu se zavazuje spolupracovat na jeho tvorbě a aktualizaci.</w:t>
      </w:r>
    </w:p>
    <w:p w14:paraId="3C239107" w14:textId="77777777" w:rsidR="00F95191" w:rsidRDefault="00F95191">
      <w:pPr>
        <w:pStyle w:val="Zkladntext"/>
        <w:numPr>
          <w:ilvl w:val="0"/>
          <w:numId w:val="2"/>
        </w:numPr>
        <w:spacing w:after="0"/>
        <w:jc w:val="center"/>
      </w:pPr>
    </w:p>
    <w:p w14:paraId="3B7F8140" w14:textId="77777777" w:rsidR="00F95191" w:rsidRDefault="00000000">
      <w:pPr>
        <w:pStyle w:val="Heading30"/>
        <w:keepNext/>
        <w:keepLines/>
      </w:pPr>
      <w:bookmarkStart w:id="4" w:name="bookmark9"/>
      <w:r>
        <w:rPr>
          <w:rStyle w:val="Heading3"/>
          <w:b/>
          <w:bCs/>
        </w:rPr>
        <w:t>Důvěrnost informací</w:t>
      </w:r>
      <w:bookmarkEnd w:id="4"/>
    </w:p>
    <w:p w14:paraId="258E4792" w14:textId="77777777" w:rsidR="00F95191" w:rsidRDefault="00000000">
      <w:pPr>
        <w:pStyle w:val="Zkladntext"/>
        <w:numPr>
          <w:ilvl w:val="0"/>
          <w:numId w:val="7"/>
        </w:numPr>
        <w:tabs>
          <w:tab w:val="left" w:pos="701"/>
        </w:tabs>
        <w:spacing w:after="0"/>
        <w:jc w:val="both"/>
      </w:pPr>
      <w:r>
        <w:rPr>
          <w:rStyle w:val="ZkladntextChar"/>
        </w:rPr>
        <w:t>Výsledky řešení projektu uvedené v čl. II. odst. 1 tvoří duševní vlastnictví a obchodní</w:t>
      </w:r>
    </w:p>
    <w:p w14:paraId="5E5C8547" w14:textId="77777777" w:rsidR="00F95191" w:rsidRDefault="00000000">
      <w:pPr>
        <w:pStyle w:val="Zkladntext"/>
        <w:spacing w:after="260"/>
        <w:ind w:left="740"/>
        <w:jc w:val="both"/>
      </w:pPr>
      <w:r>
        <w:rPr>
          <w:rStyle w:val="ZkladntextChar"/>
        </w:rPr>
        <w:t>tajemství smluvních stran ve smyslu ustanovení § 504 zákona č. 89/2012 Sb., občanský zákoník, ve znění pozdějších předpisů, a smluvní strany se zavazují obsah tohoto obchodního tajemství nevyzradit žádné třetí osobě bez předchozího písemného souhlasu ostatních smluvních stran. Výsledky řešení projektu netvoří žádné jiné důvěrné informace, se kterými by bylo třeba nakládat podle zvláštních právních předpisů.</w:t>
      </w:r>
    </w:p>
    <w:p w14:paraId="1E71DB72" w14:textId="77777777" w:rsidR="00F95191" w:rsidRDefault="00000000">
      <w:pPr>
        <w:pStyle w:val="Zkladntext"/>
        <w:numPr>
          <w:ilvl w:val="0"/>
          <w:numId w:val="7"/>
        </w:numPr>
        <w:tabs>
          <w:tab w:val="left" w:pos="701"/>
        </w:tabs>
        <w:spacing w:after="0"/>
        <w:jc w:val="both"/>
      </w:pPr>
      <w:r>
        <w:rPr>
          <w:rStyle w:val="ZkladntextChar"/>
        </w:rPr>
        <w:t>Výsledky nevyjmenované v odst. 1 tohoto článku netvoří obchodní tajemství smluvních</w:t>
      </w:r>
    </w:p>
    <w:p w14:paraId="10FC7869" w14:textId="77777777" w:rsidR="00F95191" w:rsidRDefault="00000000">
      <w:pPr>
        <w:pStyle w:val="Zkladntext"/>
        <w:spacing w:after="380"/>
        <w:ind w:firstLine="740"/>
        <w:jc w:val="both"/>
      </w:pPr>
      <w:r>
        <w:rPr>
          <w:rStyle w:val="ZkladntextChar"/>
        </w:rPr>
        <w:t>stran a informace o nich je možné volně šířit.</w:t>
      </w:r>
    </w:p>
    <w:p w14:paraId="40A41F5F" w14:textId="77777777" w:rsidR="00F95191" w:rsidRDefault="00F95191">
      <w:pPr>
        <w:pStyle w:val="Heading30"/>
        <w:keepNext/>
        <w:keepLines/>
        <w:numPr>
          <w:ilvl w:val="0"/>
          <w:numId w:val="2"/>
        </w:numPr>
        <w:spacing w:after="0"/>
      </w:pPr>
      <w:bookmarkStart w:id="5" w:name="bookmark11"/>
      <w:bookmarkEnd w:id="5"/>
    </w:p>
    <w:p w14:paraId="7354676F" w14:textId="77777777" w:rsidR="00F95191" w:rsidRDefault="00000000">
      <w:pPr>
        <w:pStyle w:val="Heading30"/>
        <w:keepNext/>
        <w:keepLines/>
        <w:spacing w:after="380"/>
      </w:pPr>
      <w:r>
        <w:rPr>
          <w:rStyle w:val="Heading3"/>
          <w:b/>
          <w:bCs/>
        </w:rPr>
        <w:t>Sankce</w:t>
      </w:r>
    </w:p>
    <w:p w14:paraId="08110B0F" w14:textId="77777777" w:rsidR="00F95191" w:rsidRDefault="00000000">
      <w:pPr>
        <w:pStyle w:val="Zkladntext"/>
        <w:numPr>
          <w:ilvl w:val="0"/>
          <w:numId w:val="8"/>
        </w:numPr>
        <w:tabs>
          <w:tab w:val="left" w:pos="332"/>
        </w:tabs>
        <w:spacing w:after="380"/>
        <w:ind w:left="380" w:hanging="380"/>
        <w:jc w:val="both"/>
      </w:pPr>
      <w:r>
        <w:rPr>
          <w:rStyle w:val="ZkladntextChar"/>
        </w:rPr>
        <w:t>V případě porušení závazku uvedeného v čl. IV. odst. 1 kteroukoli ze smluvních stran jsou ostatní smluvní strany oprávněny požadovat uhrazení smluvní pokuty v celkové výši 10. 000,-Kč za každé takové porušení. Zaplacením smluvní pokuty nezaniká právo poškozené strany na náhradu škody, a to v plné výši.</w:t>
      </w:r>
    </w:p>
    <w:p w14:paraId="10E1EA23" w14:textId="77777777" w:rsidR="00F95191" w:rsidRDefault="00F95191">
      <w:pPr>
        <w:pStyle w:val="Zkladntext"/>
        <w:numPr>
          <w:ilvl w:val="0"/>
          <w:numId w:val="2"/>
        </w:numPr>
        <w:spacing w:after="0"/>
        <w:jc w:val="center"/>
      </w:pPr>
    </w:p>
    <w:p w14:paraId="45DFF038" w14:textId="77777777" w:rsidR="00F95191" w:rsidRDefault="00000000">
      <w:pPr>
        <w:pStyle w:val="Heading30"/>
        <w:keepNext/>
        <w:keepLines/>
      </w:pPr>
      <w:bookmarkStart w:id="6" w:name="bookmark14"/>
      <w:r>
        <w:rPr>
          <w:rStyle w:val="Heading3"/>
          <w:b/>
          <w:bCs/>
        </w:rPr>
        <w:t>Doba trvání, ukončení smlouvy</w:t>
      </w:r>
      <w:bookmarkEnd w:id="6"/>
    </w:p>
    <w:p w14:paraId="3B0F7454" w14:textId="77777777" w:rsidR="00F95191" w:rsidRDefault="00000000">
      <w:pPr>
        <w:pStyle w:val="Zkladntext"/>
        <w:numPr>
          <w:ilvl w:val="0"/>
          <w:numId w:val="9"/>
        </w:numPr>
        <w:tabs>
          <w:tab w:val="left" w:pos="701"/>
        </w:tabs>
        <w:spacing w:after="320"/>
        <w:jc w:val="both"/>
      </w:pPr>
      <w:r>
        <w:rPr>
          <w:rStyle w:val="ZkladntextChar"/>
        </w:rPr>
        <w:t>Smlouva se sjednává na dobu určitou v délce 5 let.</w:t>
      </w:r>
      <w:r>
        <w:br w:type="page"/>
      </w:r>
    </w:p>
    <w:p w14:paraId="5AEE8824" w14:textId="77777777" w:rsidR="00F95191" w:rsidRDefault="00000000">
      <w:pPr>
        <w:pStyle w:val="Zkladntext"/>
        <w:numPr>
          <w:ilvl w:val="0"/>
          <w:numId w:val="9"/>
        </w:numPr>
        <w:tabs>
          <w:tab w:val="left" w:pos="707"/>
        </w:tabs>
        <w:spacing w:after="260"/>
      </w:pPr>
      <w:r>
        <w:rPr>
          <w:rStyle w:val="ZkladntextChar"/>
        </w:rPr>
        <w:lastRenderedPageBreak/>
        <w:t>Smlouva může být ukončena vzájemnou dohodou účastníků smlouvy.</w:t>
      </w:r>
    </w:p>
    <w:p w14:paraId="0BE9ADD0" w14:textId="77777777" w:rsidR="00F95191" w:rsidRDefault="00F95191">
      <w:pPr>
        <w:pStyle w:val="Zkladntext"/>
        <w:numPr>
          <w:ilvl w:val="0"/>
          <w:numId w:val="2"/>
        </w:numPr>
        <w:spacing w:after="0"/>
        <w:jc w:val="center"/>
      </w:pPr>
    </w:p>
    <w:p w14:paraId="1EBDCB26" w14:textId="77777777" w:rsidR="00F95191" w:rsidRDefault="00000000">
      <w:pPr>
        <w:pStyle w:val="Zkladntext"/>
        <w:spacing w:after="260"/>
        <w:jc w:val="center"/>
      </w:pPr>
      <w:r>
        <w:rPr>
          <w:rStyle w:val="ZkladntextChar"/>
          <w:b/>
          <w:bCs/>
        </w:rPr>
        <w:t>Závěrečná ustanovení</w:t>
      </w:r>
    </w:p>
    <w:p w14:paraId="72272853" w14:textId="77777777" w:rsidR="00F95191" w:rsidRDefault="00000000">
      <w:pPr>
        <w:pStyle w:val="Zkladntext"/>
        <w:numPr>
          <w:ilvl w:val="0"/>
          <w:numId w:val="10"/>
        </w:numPr>
        <w:tabs>
          <w:tab w:val="left" w:pos="707"/>
        </w:tabs>
        <w:spacing w:after="0"/>
        <w:jc w:val="both"/>
      </w:pPr>
      <w:r>
        <w:rPr>
          <w:rStyle w:val="ZkladntextChar"/>
        </w:rPr>
        <w:t>Tato smlouva nabývá platnosti dnem podpisu poslední ze smluvních stran a účinnosti dnem</w:t>
      </w:r>
    </w:p>
    <w:p w14:paraId="6342E8D8" w14:textId="77777777" w:rsidR="00F95191" w:rsidRDefault="00000000">
      <w:pPr>
        <w:pStyle w:val="Zkladntext"/>
        <w:spacing w:after="260"/>
        <w:ind w:firstLine="740"/>
        <w:jc w:val="both"/>
      </w:pPr>
      <w:r>
        <w:rPr>
          <w:rStyle w:val="ZkladntextChar"/>
        </w:rPr>
        <w:t>uveřejnění smlouvy v registru smluv v souladu se zák. č. 340/2015 Sb., o registru smluv.</w:t>
      </w:r>
    </w:p>
    <w:p w14:paraId="18EB8781" w14:textId="77777777" w:rsidR="00F95191" w:rsidRDefault="00000000">
      <w:pPr>
        <w:pStyle w:val="Zkladntext"/>
        <w:numPr>
          <w:ilvl w:val="0"/>
          <w:numId w:val="10"/>
        </w:numPr>
        <w:tabs>
          <w:tab w:val="left" w:pos="707"/>
        </w:tabs>
        <w:spacing w:after="0"/>
        <w:jc w:val="both"/>
      </w:pPr>
      <w:r>
        <w:rPr>
          <w:rStyle w:val="ZkladntextChar"/>
        </w:rPr>
        <w:t>Práva a povinnosti smluvních stran touto smlouvou výslovně neupravená se řídí zákonem</w:t>
      </w:r>
    </w:p>
    <w:p w14:paraId="1EBA1BF5" w14:textId="77777777" w:rsidR="00F95191" w:rsidRDefault="00000000">
      <w:pPr>
        <w:pStyle w:val="Zkladntext"/>
        <w:spacing w:after="260"/>
        <w:ind w:left="740"/>
        <w:jc w:val="both"/>
      </w:pPr>
      <w:r>
        <w:rPr>
          <w:rStyle w:val="ZkladntextChar"/>
        </w:rPr>
        <w:t>č. 130/2002 Sb. o podpoře výzkumu a vývoje z veřejných prostředků o změně některých souvisejících zákonů ve znění pozdějších předpisů a zákonem č. 89/2012 Sb., občanský zákoník, ve znění pozdějších předpisů.</w:t>
      </w:r>
    </w:p>
    <w:p w14:paraId="64CF5367" w14:textId="77777777" w:rsidR="00F95191" w:rsidRDefault="00000000">
      <w:pPr>
        <w:pStyle w:val="Zkladntext"/>
        <w:numPr>
          <w:ilvl w:val="0"/>
          <w:numId w:val="10"/>
        </w:numPr>
        <w:tabs>
          <w:tab w:val="left" w:pos="707"/>
        </w:tabs>
        <w:spacing w:after="0"/>
        <w:jc w:val="both"/>
      </w:pPr>
      <w:r>
        <w:rPr>
          <w:rStyle w:val="ZkladntextChar"/>
        </w:rPr>
        <w:t>Tuto smlouvu je možno měnit nebo doplňovat jen písemnými dodatky vzájemně</w:t>
      </w:r>
    </w:p>
    <w:p w14:paraId="00BF889D" w14:textId="77777777" w:rsidR="00F95191" w:rsidRDefault="00000000">
      <w:pPr>
        <w:pStyle w:val="Zkladntext"/>
        <w:spacing w:after="260"/>
        <w:ind w:left="740"/>
        <w:jc w:val="both"/>
      </w:pPr>
      <w:r>
        <w:rPr>
          <w:rStyle w:val="ZkladntextChar"/>
        </w:rPr>
        <w:t>potvrzenými všemi smluvními stranami. Za písemnou formu nebude pro tento účel považována výměna e-mailových či jiných elektronických zpráv.</w:t>
      </w:r>
    </w:p>
    <w:p w14:paraId="4EE89B9E" w14:textId="77777777" w:rsidR="00F95191" w:rsidRDefault="00000000">
      <w:pPr>
        <w:pStyle w:val="Zkladntext"/>
        <w:numPr>
          <w:ilvl w:val="0"/>
          <w:numId w:val="10"/>
        </w:numPr>
        <w:tabs>
          <w:tab w:val="left" w:pos="707"/>
        </w:tabs>
        <w:spacing w:after="0"/>
        <w:jc w:val="both"/>
      </w:pPr>
      <w:r>
        <w:rPr>
          <w:rStyle w:val="ZkladntextChar"/>
        </w:rPr>
        <w:t>Tato Smlouva obsahuje úplné ujednání o předmětu smlouvy a všech náležitostech, které</w:t>
      </w:r>
    </w:p>
    <w:p w14:paraId="4CA6D929" w14:textId="77777777" w:rsidR="00F95191" w:rsidRDefault="00000000">
      <w:pPr>
        <w:pStyle w:val="Zkladntext"/>
        <w:spacing w:after="260"/>
        <w:ind w:left="740"/>
        <w:jc w:val="both"/>
      </w:pPr>
      <w:r>
        <w:rPr>
          <w:rStyle w:val="ZkladntextChar"/>
        </w:rPr>
        <w:t>smluvní strany měly a chtěly ve smlouvě ujednat, a které považují za důležité pro závaznost této smlouvy. Žádný projev smluvních stran učiněný při jednání o této smlouvě ani projev učiněný po uzavření této smlouvy nesmí být vykládán v rozporu s výslovnými ustanoveními této smlouvy a nezakládá žádný závazek žádné ze smluvních stran.</w:t>
      </w:r>
    </w:p>
    <w:p w14:paraId="37E5DA41" w14:textId="77777777" w:rsidR="00F95191" w:rsidRDefault="00000000">
      <w:pPr>
        <w:pStyle w:val="Zkladntext"/>
        <w:numPr>
          <w:ilvl w:val="0"/>
          <w:numId w:val="10"/>
        </w:numPr>
        <w:tabs>
          <w:tab w:val="left" w:pos="707"/>
        </w:tabs>
        <w:spacing w:after="0"/>
        <w:jc w:val="both"/>
      </w:pPr>
      <w:r>
        <w:rPr>
          <w:rStyle w:val="ZkladntextChar"/>
        </w:rPr>
        <w:t>Pokud by jednotlivá ustanovení této smlouvy byla nerealizovatelná nebo neplatná, nebo by</w:t>
      </w:r>
    </w:p>
    <w:p w14:paraId="07F2B9B9" w14:textId="77777777" w:rsidR="00F95191" w:rsidRDefault="00000000">
      <w:pPr>
        <w:pStyle w:val="Zkladntext"/>
        <w:spacing w:after="260"/>
        <w:ind w:left="740"/>
        <w:jc w:val="both"/>
      </w:pPr>
      <w:r>
        <w:rPr>
          <w:rStyle w:val="ZkladntextChar"/>
        </w:rPr>
        <w:t>se nerealizovatelnými nebo neplatnými stala, nebude tímto dotčena platnost ostatních ustanovení této smlouvy. Smluvní strany se zavazují, že případné neplatné nebo nerealizovatelné ustanovení této smlouvy nahradí bez zbytečného odkladu takovým ustanovením, které se pokud možno co nejvíce blíží hospodářskému účelu původního ustanovení. Ukáže-li se některé z ustanovení této Smlouvy zdánlivým (nicotným), posoudí se vliv této vady na ostatní ustanovení Smlouvy obdobně podle § 576 zákona č. 89/2012 Sb., občanský zákoník, v platném znění.</w:t>
      </w:r>
    </w:p>
    <w:p w14:paraId="05CB93FA" w14:textId="77777777" w:rsidR="00F95191" w:rsidRDefault="00000000">
      <w:pPr>
        <w:pStyle w:val="Zkladntext"/>
        <w:numPr>
          <w:ilvl w:val="0"/>
          <w:numId w:val="10"/>
        </w:numPr>
        <w:tabs>
          <w:tab w:val="left" w:pos="707"/>
        </w:tabs>
        <w:spacing w:after="0"/>
        <w:jc w:val="both"/>
      </w:pPr>
      <w:r>
        <w:rPr>
          <w:rStyle w:val="ZkladntextChar"/>
        </w:rPr>
        <w:t>Tato smlouva je vyhotovena elektronicky ve formátu PDF a podepsána všemi smluvními</w:t>
      </w:r>
    </w:p>
    <w:p w14:paraId="6DF87FE9" w14:textId="77777777" w:rsidR="00F95191" w:rsidRDefault="00000000">
      <w:pPr>
        <w:pStyle w:val="Zkladntext"/>
        <w:spacing w:after="260"/>
        <w:ind w:firstLine="740"/>
        <w:jc w:val="both"/>
      </w:pPr>
      <w:r>
        <w:rPr>
          <w:rStyle w:val="ZkladntextChar"/>
        </w:rPr>
        <w:t>stranami elektronickým podpisem, založeným na kvalifikovaném certifikátu.</w:t>
      </w:r>
    </w:p>
    <w:p w14:paraId="45752002" w14:textId="77777777" w:rsidR="006302BC" w:rsidRDefault="006302BC">
      <w:pPr>
        <w:pStyle w:val="Zkladntext"/>
        <w:spacing w:after="0"/>
        <w:rPr>
          <w:rStyle w:val="ZkladntextChar"/>
        </w:rPr>
      </w:pPr>
    </w:p>
    <w:p w14:paraId="4185B87B" w14:textId="77777777" w:rsidR="006302BC" w:rsidRDefault="006302BC">
      <w:pPr>
        <w:pStyle w:val="Zkladntext"/>
        <w:spacing w:after="0"/>
        <w:rPr>
          <w:rStyle w:val="ZkladntextChar"/>
        </w:rPr>
      </w:pPr>
    </w:p>
    <w:p w14:paraId="71500048" w14:textId="3959B51C" w:rsidR="00F95191" w:rsidRDefault="00000000">
      <w:pPr>
        <w:pStyle w:val="Zkladntext"/>
        <w:spacing w:after="0"/>
      </w:pPr>
      <w:r>
        <w:rPr>
          <w:rStyle w:val="ZkladntextChar"/>
        </w:rPr>
        <w:t>Za Příjemce:</w:t>
      </w:r>
    </w:p>
    <w:p w14:paraId="2527C710" w14:textId="77777777" w:rsidR="00F95191" w:rsidRDefault="00000000">
      <w:pPr>
        <w:pStyle w:val="Zkladntext"/>
        <w:spacing w:after="0"/>
      </w:pPr>
      <w:r>
        <w:rPr>
          <w:rStyle w:val="ZkladntextChar"/>
          <w:b/>
          <w:bCs/>
        </w:rPr>
        <w:t>nextdrop s r.o.</w:t>
      </w:r>
    </w:p>
    <w:p w14:paraId="020C82DD" w14:textId="77777777" w:rsidR="00F95191" w:rsidRDefault="00000000">
      <w:pPr>
        <w:spacing w:line="1" w:lineRule="exact"/>
        <w:sectPr w:rsidR="00F95191">
          <w:footerReference w:type="default" r:id="rId7"/>
          <w:pgSz w:w="11900" w:h="16840"/>
          <w:pgMar w:top="1134" w:right="1241" w:bottom="1126" w:left="1246" w:header="706" w:footer="3" w:gutter="0"/>
          <w:pgNumType w:start="1"/>
          <w:cols w:space="720"/>
          <w:noEndnote/>
          <w:docGrid w:linePitch="360"/>
        </w:sectPr>
      </w:pPr>
      <w:r>
        <w:rPr>
          <w:noProof/>
        </w:rPr>
        <mc:AlternateContent>
          <mc:Choice Requires="wps">
            <w:drawing>
              <wp:anchor distT="787400" distB="192405" distL="0" distR="0" simplePos="0" relativeHeight="125829378" behindDoc="0" locked="0" layoutInCell="1" allowOverlap="1" wp14:anchorId="4754D01C" wp14:editId="1BC0AAED">
                <wp:simplePos x="0" y="0"/>
                <wp:positionH relativeFrom="page">
                  <wp:posOffset>794385</wp:posOffset>
                </wp:positionH>
                <wp:positionV relativeFrom="paragraph">
                  <wp:posOffset>787400</wp:posOffset>
                </wp:positionV>
                <wp:extent cx="1429385" cy="194945"/>
                <wp:effectExtent l="0" t="0" r="0" b="0"/>
                <wp:wrapTopAndBottom/>
                <wp:docPr id="3" name="Shape 3"/>
                <wp:cNvGraphicFramePr/>
                <a:graphic xmlns:a="http://schemas.openxmlformats.org/drawingml/2006/main">
                  <a:graphicData uri="http://schemas.microsoft.com/office/word/2010/wordprocessingShape">
                    <wps:wsp>
                      <wps:cNvSpPr txBox="1"/>
                      <wps:spPr>
                        <a:xfrm>
                          <a:off x="0" y="0"/>
                          <a:ext cx="1429385" cy="194945"/>
                        </a:xfrm>
                        <a:prstGeom prst="rect">
                          <a:avLst/>
                        </a:prstGeom>
                        <a:noFill/>
                      </wps:spPr>
                      <wps:txbx>
                        <w:txbxContent>
                          <w:p w14:paraId="4B3959FC" w14:textId="5E56B2B0" w:rsidR="00F95191" w:rsidRDefault="00F95191">
                            <w:pPr>
                              <w:pStyle w:val="Zkladntext"/>
                              <w:spacing w:after="0"/>
                            </w:pPr>
                          </w:p>
                        </w:txbxContent>
                      </wps:txbx>
                      <wps:bodyPr wrap="none" lIns="0" tIns="0" rIns="0" bIns="0"/>
                    </wps:wsp>
                  </a:graphicData>
                </a:graphic>
              </wp:anchor>
            </w:drawing>
          </mc:Choice>
          <mc:Fallback>
            <w:pict>
              <v:shapetype w14:anchorId="4754D01C" id="_x0000_t202" coordsize="21600,21600" o:spt="202" path="m,l,21600r21600,l21600,xe">
                <v:stroke joinstyle="miter"/>
                <v:path gradientshapeok="t" o:connecttype="rect"/>
              </v:shapetype>
              <v:shape id="Shape 3" o:spid="_x0000_s1026" type="#_x0000_t202" style="position:absolute;margin-left:62.55pt;margin-top:62pt;width:112.55pt;height:15.35pt;z-index:125829378;visibility:visible;mso-wrap-style:none;mso-wrap-distance-left:0;mso-wrap-distance-top:62pt;mso-wrap-distance-right:0;mso-wrap-distance-bottom:15.1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" filled="f" stroked="f">
                <v:textbox inset="0,0,0,0">
                  <w:txbxContent>
                    <w:p w14:paraId="4B3959FC" w14:textId="5E56B2B0" w:rsidR="00F95191" w:rsidRDefault="00F95191">
                      <w:pPr>
                        <w:pStyle w:val="Zkladntext"/>
                        <w:spacing w:after="0"/>
                      </w:pPr>
                    </w:p>
                  </w:txbxContent>
                </v:textbox>
                <w10:wrap type="topAndBottom" anchorx="page"/>
              </v:shape>
            </w:pict>
          </mc:Fallback>
        </mc:AlternateContent>
      </w:r>
      <w:r>
        <w:rPr>
          <w:noProof/>
        </w:rPr>
        <mc:AlternateContent>
          <mc:Choice Requires="wps">
            <w:drawing>
              <wp:anchor distT="787400" distB="192405" distL="0" distR="0" simplePos="0" relativeHeight="125829380" behindDoc="0" locked="0" layoutInCell="1" allowOverlap="1" wp14:anchorId="4969F707" wp14:editId="0136927A">
                <wp:simplePos x="0" y="0"/>
                <wp:positionH relativeFrom="page">
                  <wp:posOffset>3495040</wp:posOffset>
                </wp:positionH>
                <wp:positionV relativeFrom="paragraph">
                  <wp:posOffset>787400</wp:posOffset>
                </wp:positionV>
                <wp:extent cx="1103630" cy="194945"/>
                <wp:effectExtent l="0" t="0" r="0" b="0"/>
                <wp:wrapTopAndBottom/>
                <wp:docPr id="5" name="Shape 5"/>
                <wp:cNvGraphicFramePr/>
                <a:graphic xmlns:a="http://schemas.openxmlformats.org/drawingml/2006/main">
                  <a:graphicData uri="http://schemas.microsoft.com/office/word/2010/wordprocessingShape">
                    <wps:wsp>
                      <wps:cNvSpPr txBox="1"/>
                      <wps:spPr>
                        <a:xfrm>
                          <a:off x="0" y="0"/>
                          <a:ext cx="1103630" cy="194945"/>
                        </a:xfrm>
                        <a:prstGeom prst="rect">
                          <a:avLst/>
                        </a:prstGeom>
                        <a:noFill/>
                      </wps:spPr>
                      <wps:txbx>
                        <w:txbxContent>
                          <w:p w14:paraId="50123469" w14:textId="3F11F503" w:rsidR="00F95191" w:rsidRDefault="00000000">
                            <w:pPr>
                              <w:pStyle w:val="Zkladntext"/>
                              <w:spacing w:after="0"/>
                            </w:pPr>
                            <w:r>
                              <w:rPr>
                                <w:rStyle w:val="ZkladntextChar"/>
                              </w:rPr>
                              <w:t>I</w:t>
                            </w:r>
                          </w:p>
                        </w:txbxContent>
                      </wps:txbx>
                      <wps:bodyPr wrap="none" lIns="0" tIns="0" rIns="0" bIns="0"/>
                    </wps:wsp>
                  </a:graphicData>
                </a:graphic>
              </wp:anchor>
            </w:drawing>
          </mc:Choice>
          <mc:Fallback>
            <w:pict>
              <v:shape w14:anchorId="4969F707" id="Shape 5" o:spid="_x0000_s1027" type="#_x0000_t202" style="position:absolute;margin-left:275.2pt;margin-top:62pt;width:86.9pt;height:15.35pt;z-index:125829380;visibility:visible;mso-wrap-style:none;mso-wrap-distance-left:0;mso-wrap-distance-top:62pt;mso-wrap-distance-right:0;mso-wrap-distance-bottom:15.1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" filled="f" stroked="f">
                <v:textbox inset="0,0,0,0">
                  <w:txbxContent>
                    <w:p w14:paraId="50123469" w14:textId="3F11F503" w:rsidR="00F95191" w:rsidRDefault="00000000">
                      <w:pPr>
                        <w:pStyle w:val="Zkladntext"/>
                        <w:spacing w:after="0"/>
                      </w:pPr>
                      <w:r>
                        <w:rPr>
                          <w:rStyle w:val="ZkladntextChar"/>
                        </w:rPr>
                        <w:t>I</w:t>
                      </w:r>
                    </w:p>
                  </w:txbxContent>
                </v:textbox>
                <w10:wrap type="topAndBottom" anchorx="page"/>
              </v:shape>
            </w:pict>
          </mc:Fallback>
        </mc:AlternateContent>
      </w:r>
      <w:r>
        <w:rPr>
          <w:noProof/>
        </w:rPr>
        <mc:AlternateContent>
          <mc:Choice Requires="wps">
            <w:drawing>
              <wp:anchor distT="982345" distB="635" distL="0" distR="0" simplePos="0" relativeHeight="125829382" behindDoc="0" locked="0" layoutInCell="1" allowOverlap="1" wp14:anchorId="259DF803" wp14:editId="38404C94">
                <wp:simplePos x="0" y="0"/>
                <wp:positionH relativeFrom="page">
                  <wp:posOffset>2616835</wp:posOffset>
                </wp:positionH>
                <wp:positionV relativeFrom="paragraph">
                  <wp:posOffset>982345</wp:posOffset>
                </wp:positionV>
                <wp:extent cx="594360" cy="191770"/>
                <wp:effectExtent l="0" t="0" r="0" b="0"/>
                <wp:wrapTopAndBottom/>
                <wp:docPr id="7" name="Shape 7"/>
                <wp:cNvGraphicFramePr/>
                <a:graphic xmlns:a="http://schemas.openxmlformats.org/drawingml/2006/main">
                  <a:graphicData uri="http://schemas.microsoft.com/office/word/2010/wordprocessingShape">
                    <wps:wsp>
                      <wps:cNvSpPr txBox="1"/>
                      <wps:spPr>
                        <a:xfrm>
                          <a:off x="0" y="0"/>
                          <a:ext cx="594360" cy="191770"/>
                        </a:xfrm>
                        <a:prstGeom prst="rect">
                          <a:avLst/>
                        </a:prstGeom>
                        <a:noFill/>
                      </wps:spPr>
                      <wps:txbx>
                        <w:txbxContent>
                          <w:p w14:paraId="4BB81D5C" w14:textId="77777777" w:rsidR="00F95191" w:rsidRDefault="00000000">
                            <w:pPr>
                              <w:pStyle w:val="Zkladntext"/>
                              <w:spacing w:after="0"/>
                            </w:pPr>
                            <w:r>
                              <w:rPr>
                                <w:rStyle w:val="ZkladntextChar"/>
                              </w:rPr>
                              <w:t>jednatelé</w:t>
                            </w:r>
                          </w:p>
                        </w:txbxContent>
                      </wps:txbx>
                      <wps:bodyPr wrap="none" lIns="0" tIns="0" rIns="0" bIns="0"/>
                    </wps:wsp>
                  </a:graphicData>
                </a:graphic>
              </wp:anchor>
            </w:drawing>
          </mc:Choice>
          <mc:Fallback>
            <w:pict>
              <v:shape w14:anchorId="259DF803" id="Shape 7" o:spid="_x0000_s1028" type="#_x0000_t202" style="position:absolute;margin-left:206.05pt;margin-top:77.35pt;width:46.8pt;height:15.1pt;z-index:125829382;visibility:visible;mso-wrap-style:none;mso-wrap-distance-left:0;mso-wrap-distance-top:77.35pt;mso-wrap-distance-right:0;mso-wrap-distance-bottom:.0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" filled="f" stroked="f">
                <v:textbox inset="0,0,0,0">
                  <w:txbxContent>
                    <w:p w14:paraId="4BB81D5C" w14:textId="77777777" w:rsidR="00F95191" w:rsidRDefault="00000000">
                      <w:pPr>
                        <w:pStyle w:val="Zkladntext"/>
                        <w:spacing w:after="0"/>
                      </w:pPr>
                      <w:r>
                        <w:rPr>
                          <w:rStyle w:val="ZkladntextChar"/>
                        </w:rPr>
                        <w:t>jednatelé</w:t>
                      </w:r>
                    </w:p>
                  </w:txbxContent>
                </v:textbox>
                <w10:wrap type="topAndBottom" anchorx="page"/>
              </v:shape>
            </w:pict>
          </mc:Fallback>
        </mc:AlternateContent>
      </w:r>
    </w:p>
    <w:p w14:paraId="350507CA" w14:textId="77777777" w:rsidR="00F95191" w:rsidRDefault="00F95191">
      <w:pPr>
        <w:spacing w:line="99" w:lineRule="exact"/>
        <w:rPr>
          <w:sz w:val="8"/>
          <w:szCs w:val="8"/>
        </w:rPr>
      </w:pPr>
    </w:p>
    <w:p w14:paraId="1D08B05F" w14:textId="77777777" w:rsidR="00F95191" w:rsidRDefault="00F95191">
      <w:pPr>
        <w:spacing w:line="1" w:lineRule="exact"/>
        <w:sectPr w:rsidR="00F95191">
          <w:type w:val="continuous"/>
          <w:pgSz w:w="11900" w:h="16840"/>
          <w:pgMar w:top="1134" w:right="0" w:bottom="1126" w:left="0" w:header="0" w:footer="3" w:gutter="0"/>
          <w:cols w:space="720"/>
          <w:noEndnote/>
          <w:docGrid w:linePitch="360"/>
        </w:sectPr>
      </w:pPr>
    </w:p>
    <w:p w14:paraId="7162EAC6" w14:textId="77777777" w:rsidR="00F95191" w:rsidRDefault="00000000">
      <w:pPr>
        <w:pStyle w:val="Zkladntext"/>
        <w:spacing w:after="0"/>
      </w:pPr>
      <w:r>
        <w:rPr>
          <w:rStyle w:val="ZkladntextChar"/>
        </w:rPr>
        <w:t>Za Dalšího účastníka:</w:t>
      </w:r>
    </w:p>
    <w:p w14:paraId="7AD5ABF5" w14:textId="77777777" w:rsidR="00F95191" w:rsidRDefault="00000000">
      <w:pPr>
        <w:pStyle w:val="Zkladntext"/>
        <w:spacing w:after="0"/>
      </w:pPr>
      <w:r>
        <w:rPr>
          <w:rStyle w:val="ZkladntextChar"/>
          <w:b/>
          <w:bCs/>
        </w:rPr>
        <w:t>Vysoká škola chemicko-technologická v Praze</w:t>
      </w:r>
    </w:p>
    <w:p w14:paraId="7232C3EC" w14:textId="77777777" w:rsidR="00F95191" w:rsidRDefault="00000000">
      <w:pPr>
        <w:spacing w:line="1" w:lineRule="exact"/>
        <w:sectPr w:rsidR="00F95191">
          <w:type w:val="continuous"/>
          <w:pgSz w:w="11900" w:h="16840"/>
          <w:pgMar w:top="1134" w:right="1244" w:bottom="1126" w:left="1244" w:header="0" w:footer="3" w:gutter="0"/>
          <w:cols w:space="720"/>
          <w:noEndnote/>
          <w:docGrid w:linePitch="360"/>
        </w:sectPr>
      </w:pPr>
      <w:r>
        <w:rPr>
          <w:noProof/>
        </w:rPr>
        <mc:AlternateContent>
          <mc:Choice Requires="wps">
            <w:drawing>
              <wp:anchor distT="0" distB="0" distL="0" distR="0" simplePos="0" relativeHeight="125829384" behindDoc="0" locked="0" layoutInCell="1" allowOverlap="1" wp14:anchorId="15C6A5AB" wp14:editId="00CE4F77">
                <wp:simplePos x="0" y="0"/>
                <wp:positionH relativeFrom="page">
                  <wp:posOffset>864235</wp:posOffset>
                </wp:positionH>
                <wp:positionV relativeFrom="paragraph">
                  <wp:posOffset>0</wp:posOffset>
                </wp:positionV>
                <wp:extent cx="993775" cy="606425"/>
                <wp:effectExtent l="0" t="0" r="0" b="0"/>
                <wp:wrapTopAndBottom/>
                <wp:docPr id="9" name="Shape 9"/>
                <wp:cNvGraphicFramePr/>
                <a:graphic xmlns:a="http://schemas.openxmlformats.org/drawingml/2006/main">
                  <a:graphicData uri="http://schemas.microsoft.com/office/word/2010/wordprocessingShape">
                    <wps:wsp>
                      <wps:cNvSpPr txBox="1"/>
                      <wps:spPr>
                        <a:xfrm>
                          <a:off x="0" y="0"/>
                          <a:ext cx="993775" cy="606425"/>
                        </a:xfrm>
                        <a:prstGeom prst="rect">
                          <a:avLst/>
                        </a:prstGeom>
                        <a:noFill/>
                      </wps:spPr>
                      <wps:txbx>
                        <w:txbxContent>
                          <w:p w14:paraId="2290C6D3" w14:textId="2EF13D39" w:rsidR="00F95191" w:rsidRDefault="00F95191">
                            <w:pPr>
                              <w:pStyle w:val="Heading20"/>
                              <w:keepNext/>
                              <w:keepLines/>
                            </w:pPr>
                          </w:p>
                        </w:txbxContent>
                      </wps:txbx>
                      <wps:bodyPr lIns="0" tIns="0" rIns="0" bIns="0"/>
                    </wps:wsp>
                  </a:graphicData>
                </a:graphic>
              </wp:anchor>
            </w:drawing>
          </mc:Choice>
          <mc:Fallback>
            <w:pict>
              <v:shape w14:anchorId="15C6A5AB" id="Shape 9" o:spid="_x0000_s1029" type="#_x0000_t202" style="position:absolute;margin-left:68.05pt;margin-top:0;width:78.25pt;height:47.75pt;z-index:125829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" filled="f" stroked="f">
                <v:textbox inset="0,0,0,0">
                  <w:txbxContent>
                    <w:p w14:paraId="2290C6D3" w14:textId="2EF13D39" w:rsidR="00F95191" w:rsidRDefault="00F95191">
                      <w:pPr>
                        <w:pStyle w:val="Heading20"/>
                        <w:keepNext/>
                        <w:keepLines/>
                      </w:pPr>
                    </w:p>
                  </w:txbxContent>
                </v:textbox>
                <w10:wrap type="topAndBottom" anchorx="page"/>
              </v:shape>
            </w:pict>
          </mc:Fallback>
        </mc:AlternateContent>
      </w:r>
      <w:r>
        <w:rPr>
          <w:noProof/>
        </w:rPr>
        <mc:AlternateContent>
          <mc:Choice Requires="wps">
            <w:drawing>
              <wp:anchor distT="21590" distB="20955" distL="0" distR="0" simplePos="0" relativeHeight="125829386" behindDoc="0" locked="0" layoutInCell="1" allowOverlap="1" wp14:anchorId="05CB4081" wp14:editId="61765826">
                <wp:simplePos x="0" y="0"/>
                <wp:positionH relativeFrom="page">
                  <wp:posOffset>1939925</wp:posOffset>
                </wp:positionH>
                <wp:positionV relativeFrom="paragraph">
                  <wp:posOffset>21590</wp:posOffset>
                </wp:positionV>
                <wp:extent cx="1139825" cy="563880"/>
                <wp:effectExtent l="0" t="0" r="0" b="0"/>
                <wp:wrapTopAndBottom/>
                <wp:docPr id="11" name="Shape 11"/>
                <wp:cNvGraphicFramePr/>
                <a:graphic xmlns:a="http://schemas.openxmlformats.org/drawingml/2006/main">
                  <a:graphicData uri="http://schemas.microsoft.com/office/word/2010/wordprocessingShape">
                    <wps:wsp>
                      <wps:cNvSpPr txBox="1"/>
                      <wps:spPr>
                        <a:xfrm>
                          <a:off x="0" y="0"/>
                          <a:ext cx="1139825" cy="563880"/>
                        </a:xfrm>
                        <a:prstGeom prst="rect">
                          <a:avLst/>
                        </a:prstGeom>
                        <a:noFill/>
                      </wps:spPr>
                      <wps:txbx>
                        <w:txbxContent>
                          <w:p w14:paraId="53889208" w14:textId="77C671F8" w:rsidR="00F95191" w:rsidRDefault="00F95191">
                            <w:pPr>
                              <w:pStyle w:val="Bodytext20"/>
                            </w:pPr>
                          </w:p>
                        </w:txbxContent>
                      </wps:txbx>
                      <wps:bodyPr lIns="0" tIns="0" rIns="0" bIns="0"/>
                    </wps:wsp>
                  </a:graphicData>
                </a:graphic>
              </wp:anchor>
            </w:drawing>
          </mc:Choice>
          <mc:Fallback>
            <w:pict>
              <v:shape w14:anchorId="05CB4081" id="Shape 11" o:spid="_x0000_s1030" type="#_x0000_t202" style="position:absolute;margin-left:152.75pt;margin-top:1.7pt;width:89.75pt;height:44.4pt;z-index:125829386;visibility:visible;mso-wrap-style:square;mso-wrap-distance-left:0;mso-wrap-distance-top:1.7pt;mso-wrap-distance-right:0;mso-wrap-distance-bottom:1.6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" filled="f" stroked="f">
                <v:textbox inset="0,0,0,0">
                  <w:txbxContent>
                    <w:p w14:paraId="53889208" w14:textId="77C671F8" w:rsidR="00F95191" w:rsidRDefault="00F95191">
                      <w:pPr>
                        <w:pStyle w:val="Bodytext20"/>
                      </w:pPr>
                    </w:p>
                  </w:txbxContent>
                </v:textbox>
                <w10:wrap type="topAndBottom" anchorx="page"/>
              </v:shape>
            </w:pict>
          </mc:Fallback>
        </mc:AlternateContent>
      </w:r>
    </w:p>
    <w:p w14:paraId="2093208F" w14:textId="130F3520" w:rsidR="00F95191" w:rsidRDefault="00000000">
      <w:pPr>
        <w:pStyle w:val="Zkladntext"/>
        <w:spacing w:after="0"/>
      </w:pPr>
      <w:r>
        <w:rPr>
          <w:rStyle w:val="ZkladntextChar"/>
        </w:rPr>
        <w:t>prorektor pro vědu a výzkum</w:t>
      </w:r>
    </w:p>
    <w:sectPr w:rsidR="00F95191">
      <w:type w:val="continuous"/>
      <w:pgSz w:w="11900" w:h="16840"/>
      <w:pgMar w:top="1134" w:right="1244" w:bottom="1126" w:left="124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D03A0" w14:textId="77777777" w:rsidR="0002024C" w:rsidRDefault="0002024C">
      <w:r>
        <w:separator/>
      </w:r>
    </w:p>
  </w:endnote>
  <w:endnote w:type="continuationSeparator" w:id="0">
    <w:p w14:paraId="7F646DA5" w14:textId="77777777" w:rsidR="0002024C" w:rsidRDefault="00020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64DD2" w14:textId="77777777" w:rsidR="00F95191" w:rsidRDefault="00000000">
    <w:pPr>
      <w:spacing w:line="1" w:lineRule="exact"/>
    </w:pPr>
    <w:r>
      <w:rPr>
        <w:noProof/>
      </w:rPr>
      <mc:AlternateContent>
        <mc:Choice Requires="wps">
          <w:drawing>
            <wp:anchor distT="0" distB="0" distL="0" distR="0" simplePos="0" relativeHeight="62914690" behindDoc="1" locked="0" layoutInCell="1" allowOverlap="1" wp14:anchorId="4EBC4B34" wp14:editId="289DDD23">
              <wp:simplePos x="0" y="0"/>
              <wp:positionH relativeFrom="page">
                <wp:posOffset>3589020</wp:posOffset>
              </wp:positionH>
              <wp:positionV relativeFrom="page">
                <wp:posOffset>10132060</wp:posOffset>
              </wp:positionV>
              <wp:extent cx="201295" cy="88265"/>
              <wp:effectExtent l="0" t="0" r="0" b="0"/>
              <wp:wrapNone/>
              <wp:docPr id="1" name="Shape 1"/>
              <wp:cNvGraphicFramePr/>
              <a:graphic xmlns:a="http://schemas.openxmlformats.org/drawingml/2006/main">
                <a:graphicData uri="http://schemas.microsoft.com/office/word/2010/wordprocessingShape">
                  <wps:wsp>
                    <wps:cNvSpPr txBox="1"/>
                    <wps:spPr>
                      <a:xfrm>
                        <a:off x="0" y="0"/>
                        <a:ext cx="201295" cy="88265"/>
                      </a:xfrm>
                      <a:prstGeom prst="rect">
                        <a:avLst/>
                      </a:prstGeom>
                      <a:noFill/>
                    </wps:spPr>
                    <wps:txbx>
                      <w:txbxContent>
                        <w:p w14:paraId="018425FA" w14:textId="77777777" w:rsidR="00F95191" w:rsidRDefault="00000000">
                          <w:pPr>
                            <w:pStyle w:val="Headerorfooter20"/>
                          </w:pPr>
                          <w:r>
                            <w:rPr>
                              <w:rStyle w:val="Headerorfooter2"/>
                            </w:rPr>
                            <w:t xml:space="preserve">- </w:t>
                          </w:r>
                          <w:r>
                            <w:fldChar w:fldCharType="begin"/>
                          </w:r>
                          <w:r>
                            <w:instrText xml:space="preserve"> PAGE \* MERGEFORMAT </w:instrText>
                          </w:r>
                          <w:r>
                            <w:fldChar w:fldCharType="separate"/>
                          </w:r>
                          <w:r>
                            <w:rPr>
                              <w:rStyle w:val="Headerorfooter2"/>
                            </w:rPr>
                            <w:t>#</w:t>
                          </w:r>
                          <w:r>
                            <w:rPr>
                              <w:rStyle w:val="Headerorfooter2"/>
                            </w:rPr>
                            <w:fldChar w:fldCharType="end"/>
                          </w:r>
                          <w:r>
                            <w:rPr>
                              <w:rStyle w:val="Headerorfooter2"/>
                            </w:rPr>
                            <w:t xml:space="preserve"> -</w:t>
                          </w:r>
                        </w:p>
                      </w:txbxContent>
                    </wps:txbx>
                    <wps:bodyPr wrap="none" lIns="0" tIns="0" rIns="0" bIns="0">
                      <a:spAutoFit/>
                    </wps:bodyPr>
                  </wps:wsp>
                </a:graphicData>
              </a:graphic>
            </wp:anchor>
          </w:drawing>
        </mc:Choice>
        <mc:Fallback>
          <w:pict>
            <v:shapetype w14:anchorId="4EBC4B34" id="_x0000_t202" coordsize="21600,21600" o:spt="202" path="m,l,21600r21600,l21600,xe">
              <v:stroke joinstyle="miter"/>
              <v:path gradientshapeok="t" o:connecttype="rect"/>
            </v:shapetype>
            <v:shape id="Shape 1" o:spid="_x0000_s1031" type="#_x0000_t202" style="position:absolute;margin-left:282.6pt;margin-top:797.8pt;width:15.85pt;height:6.9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" filled="f" stroked="f">
              <v:textbox style="mso-fit-shape-to-text:t" inset="0,0,0,0">
                <w:txbxContent>
                  <w:p w14:paraId="018425FA" w14:textId="77777777" w:rsidR="00F95191" w:rsidRDefault="00000000">
                    <w:pPr>
                      <w:pStyle w:val="Headerorfooter20"/>
                    </w:pPr>
                    <w:r>
                      <w:rPr>
                        <w:rStyle w:val="Headerorfooter2"/>
                      </w:rPr>
                      <w:t xml:space="preserve">- </w:t>
                    </w:r>
                    <w:r>
                      <w:fldChar w:fldCharType="begin"/>
                    </w:r>
                    <w:r>
                      <w:instrText xml:space="preserve"> PAGE \* MERGEFORMAT </w:instrText>
                    </w:r>
                    <w:r>
                      <w:fldChar w:fldCharType="separate"/>
                    </w:r>
                    <w:r>
                      <w:rPr>
                        <w:rStyle w:val="Headerorfooter2"/>
                      </w:rPr>
                      <w:t>#</w:t>
                    </w:r>
                    <w:r>
                      <w:rPr>
                        <w:rStyle w:val="Headerorfooter2"/>
                      </w:rPr>
                      <w:fldChar w:fldCharType="end"/>
                    </w:r>
                    <w:r>
                      <w:rPr>
                        <w:rStyle w:val="Headerorfooter2"/>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7B7E0" w14:textId="77777777" w:rsidR="0002024C" w:rsidRDefault="0002024C"/>
  </w:footnote>
  <w:footnote w:type="continuationSeparator" w:id="0">
    <w:p w14:paraId="630CBBE5" w14:textId="77777777" w:rsidR="0002024C" w:rsidRDefault="0002024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744C24"/>
    <w:multiLevelType w:val="multilevel"/>
    <w:tmpl w:val="969C51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C8B55D2"/>
    <w:multiLevelType w:val="multilevel"/>
    <w:tmpl w:val="1C58B1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8B93363"/>
    <w:multiLevelType w:val="multilevel"/>
    <w:tmpl w:val="5AB2CDA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9F21246"/>
    <w:multiLevelType w:val="multilevel"/>
    <w:tmpl w:val="7D2CA4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4421FFF"/>
    <w:multiLevelType w:val="multilevel"/>
    <w:tmpl w:val="7FA204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8447A3D"/>
    <w:multiLevelType w:val="multilevel"/>
    <w:tmpl w:val="AC8CFF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9F600EB"/>
    <w:multiLevelType w:val="multilevel"/>
    <w:tmpl w:val="B3ECD4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581B47"/>
    <w:multiLevelType w:val="multilevel"/>
    <w:tmpl w:val="6D746E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E6DC6"/>
    <w:multiLevelType w:val="multilevel"/>
    <w:tmpl w:val="41B4E818"/>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3461933"/>
    <w:multiLevelType w:val="multilevel"/>
    <w:tmpl w:val="DBACF8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91698008">
    <w:abstractNumId w:val="2"/>
  </w:num>
  <w:num w:numId="2" w16cid:durableId="1736970203">
    <w:abstractNumId w:val="8"/>
  </w:num>
  <w:num w:numId="3" w16cid:durableId="1533109480">
    <w:abstractNumId w:val="5"/>
  </w:num>
  <w:num w:numId="4" w16cid:durableId="1922063360">
    <w:abstractNumId w:val="3"/>
  </w:num>
  <w:num w:numId="5" w16cid:durableId="1753816500">
    <w:abstractNumId w:val="6"/>
  </w:num>
  <w:num w:numId="6" w16cid:durableId="248389158">
    <w:abstractNumId w:val="4"/>
  </w:num>
  <w:num w:numId="7" w16cid:durableId="2063139907">
    <w:abstractNumId w:val="1"/>
  </w:num>
  <w:num w:numId="8" w16cid:durableId="1999840107">
    <w:abstractNumId w:val="9"/>
  </w:num>
  <w:num w:numId="9" w16cid:durableId="793645160">
    <w:abstractNumId w:val="7"/>
  </w:num>
  <w:num w:numId="10" w16cid:durableId="816143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191"/>
    <w:rsid w:val="0002024C"/>
    <w:rsid w:val="006302BC"/>
    <w:rsid w:val="00C1707D"/>
    <w:rsid w:val="00F951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85C01"/>
  <w15:docId w15:val="{2FD4576A-3070-4C1B-AE04-C8A3E2316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cs-CZ" w:eastAsia="cs-CZ"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textChar">
    <w:name w:val="Základní text Char"/>
    <w:basedOn w:val="Standardnpsmoodstavce"/>
    <w:link w:val="Zkladntext"/>
    <w:rPr>
      <w:rFonts w:ascii="Times New Roman" w:eastAsia="Times New Roman" w:hAnsi="Times New Roman" w:cs="Times New Roman"/>
      <w:b w:val="0"/>
      <w:bCs w:val="0"/>
      <w:i w:val="0"/>
      <w:iCs w:val="0"/>
      <w:smallCaps w:val="0"/>
      <w:strike w:val="0"/>
      <w:u w:val="none"/>
    </w:rPr>
  </w:style>
  <w:style w:type="character" w:customStyle="1" w:styleId="Heading1">
    <w:name w:val="Heading #1_"/>
    <w:basedOn w:val="Standardnpsmoodstavce"/>
    <w:link w:val="Heading10"/>
    <w:rPr>
      <w:rFonts w:ascii="Times New Roman" w:eastAsia="Times New Roman" w:hAnsi="Times New Roman" w:cs="Times New Roman"/>
      <w:b/>
      <w:bCs/>
      <w:i w:val="0"/>
      <w:iCs w:val="0"/>
      <w:smallCaps w:val="0"/>
      <w:strike w:val="0"/>
      <w:sz w:val="32"/>
      <w:szCs w:val="32"/>
      <w:u w:val="none"/>
    </w:rPr>
  </w:style>
  <w:style w:type="character" w:customStyle="1" w:styleId="Headerorfooter2">
    <w:name w:val="Header or footer (2)_"/>
    <w:basedOn w:val="Standardnpsmoodstavce"/>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Heading3">
    <w:name w:val="Heading #3_"/>
    <w:basedOn w:val="Standardnpsmoodstavce"/>
    <w:link w:val="Heading30"/>
    <w:rPr>
      <w:rFonts w:ascii="Times New Roman" w:eastAsia="Times New Roman" w:hAnsi="Times New Roman" w:cs="Times New Roman"/>
      <w:b/>
      <w:bCs/>
      <w:i w:val="0"/>
      <w:iCs w:val="0"/>
      <w:smallCaps w:val="0"/>
      <w:strike w:val="0"/>
      <w:u w:val="none"/>
    </w:rPr>
  </w:style>
  <w:style w:type="character" w:customStyle="1" w:styleId="Heading2">
    <w:name w:val="Heading #2_"/>
    <w:basedOn w:val="Standardnpsmoodstavce"/>
    <w:link w:val="Heading20"/>
    <w:rPr>
      <w:rFonts w:ascii="Arial" w:eastAsia="Arial" w:hAnsi="Arial" w:cs="Arial"/>
      <w:b w:val="0"/>
      <w:bCs w:val="0"/>
      <w:i w:val="0"/>
      <w:iCs w:val="0"/>
      <w:smallCaps w:val="0"/>
      <w:strike w:val="0"/>
      <w:sz w:val="26"/>
      <w:szCs w:val="26"/>
      <w:u w:val="none"/>
    </w:rPr>
  </w:style>
  <w:style w:type="character" w:customStyle="1" w:styleId="Bodytext2">
    <w:name w:val="Body text (2)_"/>
    <w:basedOn w:val="Standardnpsmoodstavce"/>
    <w:link w:val="Bodytext20"/>
    <w:rPr>
      <w:rFonts w:ascii="Arial" w:eastAsia="Arial" w:hAnsi="Arial" w:cs="Arial"/>
      <w:b w:val="0"/>
      <w:bCs w:val="0"/>
      <w:i w:val="0"/>
      <w:iCs w:val="0"/>
      <w:smallCaps w:val="0"/>
      <w:strike w:val="0"/>
      <w:sz w:val="10"/>
      <w:szCs w:val="10"/>
      <w:u w:val="none"/>
    </w:rPr>
  </w:style>
  <w:style w:type="paragraph" w:styleId="Zkladntext">
    <w:name w:val="Body Text"/>
    <w:basedOn w:val="Normln"/>
    <w:link w:val="ZkladntextChar"/>
    <w:qFormat/>
    <w:pPr>
      <w:spacing w:after="200"/>
    </w:pPr>
    <w:rPr>
      <w:rFonts w:ascii="Times New Roman" w:eastAsia="Times New Roman" w:hAnsi="Times New Roman" w:cs="Times New Roman"/>
    </w:rPr>
  </w:style>
  <w:style w:type="paragraph" w:customStyle="1" w:styleId="Heading10">
    <w:name w:val="Heading #1"/>
    <w:basedOn w:val="Normln"/>
    <w:link w:val="Heading1"/>
    <w:pPr>
      <w:jc w:val="center"/>
      <w:outlineLvl w:val="0"/>
    </w:pPr>
    <w:rPr>
      <w:rFonts w:ascii="Times New Roman" w:eastAsia="Times New Roman" w:hAnsi="Times New Roman" w:cs="Times New Roman"/>
      <w:b/>
      <w:bCs/>
      <w:sz w:val="32"/>
      <w:szCs w:val="32"/>
    </w:rPr>
  </w:style>
  <w:style w:type="paragraph" w:customStyle="1" w:styleId="Headerorfooter20">
    <w:name w:val="Header or footer (2)"/>
    <w:basedOn w:val="Normln"/>
    <w:link w:val="Headerorfooter2"/>
    <w:rPr>
      <w:rFonts w:ascii="Times New Roman" w:eastAsia="Times New Roman" w:hAnsi="Times New Roman" w:cs="Times New Roman"/>
      <w:sz w:val="20"/>
      <w:szCs w:val="20"/>
    </w:rPr>
  </w:style>
  <w:style w:type="paragraph" w:customStyle="1" w:styleId="Heading30">
    <w:name w:val="Heading #3"/>
    <w:basedOn w:val="Normln"/>
    <w:link w:val="Heading3"/>
    <w:pPr>
      <w:spacing w:after="260"/>
      <w:jc w:val="center"/>
      <w:outlineLvl w:val="2"/>
    </w:pPr>
    <w:rPr>
      <w:rFonts w:ascii="Times New Roman" w:eastAsia="Times New Roman" w:hAnsi="Times New Roman" w:cs="Times New Roman"/>
      <w:b/>
      <w:bCs/>
    </w:rPr>
  </w:style>
  <w:style w:type="paragraph" w:customStyle="1" w:styleId="Heading20">
    <w:name w:val="Heading #2"/>
    <w:basedOn w:val="Normln"/>
    <w:link w:val="Heading2"/>
    <w:pPr>
      <w:jc w:val="center"/>
      <w:outlineLvl w:val="1"/>
    </w:pPr>
    <w:rPr>
      <w:rFonts w:ascii="Arial" w:eastAsia="Arial" w:hAnsi="Arial" w:cs="Arial"/>
      <w:sz w:val="26"/>
      <w:szCs w:val="26"/>
    </w:rPr>
  </w:style>
  <w:style w:type="paragraph" w:customStyle="1" w:styleId="Bodytext20">
    <w:name w:val="Body text (2)"/>
    <w:basedOn w:val="Normln"/>
    <w:link w:val="Bodytext2"/>
    <w:pPr>
      <w:spacing w:line="252" w:lineRule="auto"/>
    </w:pPr>
    <w:rPr>
      <w:rFonts w:ascii="Arial" w:eastAsia="Arial" w:hAnsi="Arial" w:cs="Arial"/>
      <w:sz w:val="10"/>
      <w:szCs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1211</Words>
  <Characters>7148</Characters>
  <Application>Microsoft Office Word</Application>
  <DocSecurity>0</DocSecurity>
  <Lines>59</Lines>
  <Paragraphs>16</Paragraphs>
  <ScaleCrop>false</ScaleCrop>
  <Company/>
  <LinksUpToDate>false</LinksUpToDate>
  <CharactersWithSpaces>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využití výsledků výzkumu a vývoje</dc:title>
  <dc:subject/>
  <dc:creator>Milada Bronská</dc:creator>
  <cp:keywords/>
  <cp:lastModifiedBy>Pospisilova Iveta</cp:lastModifiedBy>
  <cp:revision>2</cp:revision>
  <dcterms:created xsi:type="dcterms:W3CDTF">2026-10-01T13:25:00Z</dcterms:created>
  <dcterms:modified xsi:type="dcterms:W3CDTF">2026-10-01T13:28:00Z</dcterms:modified>
</cp:coreProperties>
</file>