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>Příloha č. 1 k </w:t>
      </w:r>
      <w:r w:rsidR="007C4215">
        <w:rPr>
          <w:rFonts w:ascii="Arial" w:hAnsi="Arial" w:cs="Arial"/>
          <w:b/>
        </w:rPr>
        <w:t>D</w:t>
      </w:r>
      <w:r w:rsidRPr="00066074">
        <w:rPr>
          <w:rFonts w:ascii="Arial" w:hAnsi="Arial" w:cs="Arial"/>
          <w:b/>
        </w:rPr>
        <w:t>ohodě o zřízení chráněného pracovního místa</w:t>
      </w: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 xml:space="preserve">č. </w:t>
      </w:r>
      <w:r w:rsidR="00D231A5" w:rsidRPr="00066074">
        <w:rPr>
          <w:rFonts w:ascii="Arial" w:hAnsi="Arial" w:cs="Arial"/>
          <w:b/>
        </w:rPr>
        <w:t>TPA</w:t>
      </w:r>
      <w:r w:rsidRPr="00066074">
        <w:rPr>
          <w:rFonts w:ascii="Arial" w:hAnsi="Arial" w:cs="Arial"/>
          <w:b/>
        </w:rPr>
        <w:t>-P-</w:t>
      </w:r>
      <w:r w:rsidR="00066074">
        <w:rPr>
          <w:rFonts w:ascii="Arial" w:hAnsi="Arial" w:cs="Arial"/>
          <w:b/>
        </w:rPr>
        <w:t>1</w:t>
      </w:r>
      <w:r w:rsidR="007C4215">
        <w:rPr>
          <w:rFonts w:ascii="Arial" w:hAnsi="Arial" w:cs="Arial"/>
          <w:b/>
        </w:rPr>
        <w:t>5/2017</w:t>
      </w:r>
    </w:p>
    <w:p w:rsidR="00D70F4C" w:rsidRPr="00066074" w:rsidRDefault="00D70F4C" w:rsidP="00D70F4C">
      <w:pPr>
        <w:rPr>
          <w:rFonts w:ascii="Arial" w:hAnsi="Arial" w:cs="Arial"/>
        </w:rPr>
      </w:pPr>
    </w:p>
    <w:p w:rsidR="00D70F4C" w:rsidRPr="00066074" w:rsidRDefault="00D70F4C" w:rsidP="00D70F4C">
      <w:pPr>
        <w:jc w:val="center"/>
        <w:rPr>
          <w:rFonts w:ascii="Arial" w:hAnsi="Arial" w:cs="Arial"/>
          <w:b/>
        </w:rPr>
      </w:pPr>
      <w:r w:rsidRPr="00066074">
        <w:rPr>
          <w:rFonts w:ascii="Arial" w:hAnsi="Arial" w:cs="Arial"/>
          <w:b/>
        </w:rPr>
        <w:t>Charakteristika chráněných pracovních míst č.: 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55308" w:rsidRPr="00BB0030" w:rsidRDefault="0055530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D70F4C" w:rsidRPr="00BB0030" w:rsidRDefault="007C4215" w:rsidP="00D70F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21660 Grafik</w:t>
      </w:r>
    </w:p>
    <w:p w:rsidR="00D231A5" w:rsidRPr="00BB0030" w:rsidRDefault="00D231A5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7C4215">
        <w:rPr>
          <w:rFonts w:ascii="Arial" w:hAnsi="Arial" w:cs="Arial"/>
          <w:sz w:val="20"/>
          <w:szCs w:val="20"/>
        </w:rPr>
        <w:t>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7C4215">
        <w:rPr>
          <w:rFonts w:ascii="Arial" w:hAnsi="Arial" w:cs="Arial"/>
          <w:sz w:val="20"/>
          <w:szCs w:val="20"/>
        </w:rPr>
        <w:t>1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D70F4C" w:rsidRPr="00BB0030" w:rsidRDefault="007C4215" w:rsidP="00BF5B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Tvorba grafického návrhu propagačních materiálů, letáků, etiket, potisků, úprava fotografií v grafických programech, předtisková příprava, korektury, kalkulace ceny výrobků, převzetí datových souborů a dokumentů pro výrobu tištěných materiálů, náhledů, nátisků zpracovaných digitálními tiskovými technologiemi. Mezioperační kontrola a aplikace datových souborů a dokumentů za pomoci příslušných grafických a kontrolních softwarů podle platných předpisů a norem pro výstup na digitální tiskový stroj. Zhotovení digitální archové montáže v příslušných elektronických programech.</w:t>
      </w:r>
    </w:p>
    <w:p w:rsidR="00D70F4C" w:rsidRPr="00BB0030" w:rsidRDefault="00066074" w:rsidP="00066074">
      <w:pPr>
        <w:tabs>
          <w:tab w:val="left" w:pos="3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Charakter činnosti splňuje podmínky pro zaměstnávání OZP, s přihlédnutím k pracovní rekomandaci</w:t>
      </w:r>
      <w:r w:rsidR="00B946ED" w:rsidRPr="00BB0030">
        <w:rPr>
          <w:rFonts w:ascii="Arial" w:hAnsi="Arial" w:cs="Arial"/>
          <w:sz w:val="20"/>
          <w:szCs w:val="20"/>
        </w:rPr>
        <w:t>.</w:t>
      </w:r>
      <w:r w:rsidRPr="00BB0030">
        <w:rPr>
          <w:rFonts w:ascii="Arial" w:hAnsi="Arial" w:cs="Arial"/>
          <w:sz w:val="20"/>
          <w:szCs w:val="20"/>
        </w:rPr>
        <w:t xml:space="preserve"> </w:t>
      </w: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D231A5" w:rsidRPr="00BB0030" w:rsidRDefault="00246CA3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Plynárenská 291, </w:t>
      </w:r>
      <w:proofErr w:type="spellStart"/>
      <w:r w:rsidRPr="00BB0030">
        <w:rPr>
          <w:rFonts w:ascii="Arial" w:hAnsi="Arial" w:cs="Arial"/>
          <w:sz w:val="20"/>
          <w:szCs w:val="20"/>
        </w:rPr>
        <w:t>Prosetice</w:t>
      </w:r>
      <w:proofErr w:type="spellEnd"/>
      <w:r w:rsidRPr="00BB00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B0030">
        <w:rPr>
          <w:rFonts w:ascii="Arial" w:hAnsi="Arial" w:cs="Arial"/>
          <w:sz w:val="20"/>
          <w:szCs w:val="20"/>
        </w:rPr>
        <w:t>415 01  Teplice</w:t>
      </w:r>
      <w:proofErr w:type="gramEnd"/>
      <w:r w:rsidR="005E73F8" w:rsidRPr="00BB0030">
        <w:rPr>
          <w:rFonts w:ascii="Arial" w:hAnsi="Arial" w:cs="Arial"/>
          <w:sz w:val="20"/>
          <w:szCs w:val="20"/>
        </w:rPr>
        <w:t>.</w:t>
      </w:r>
    </w:p>
    <w:p w:rsidR="00246CA3" w:rsidRPr="00BB0030" w:rsidRDefault="00246CA3" w:rsidP="00D70F4C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D70F4C" w:rsidRPr="00BB0030" w:rsidRDefault="00246CA3" w:rsidP="00246CA3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změněné pracovní schopnosti vytipovaných zaměstnanců nevyžaduje speciální přizpůsobení pracovního prostředí. </w:t>
      </w:r>
      <w:r w:rsidR="00066074">
        <w:rPr>
          <w:rFonts w:ascii="Arial" w:hAnsi="Arial" w:cs="Arial"/>
          <w:sz w:val="20"/>
          <w:szCs w:val="20"/>
        </w:rPr>
        <w:t xml:space="preserve">Pracoviště je upraveno a vybaveno tak, aby bylo pracovní prostředí pro všechny zaměstnance společnosti naprosto bezpečné a příjemné. Vybudovaná denní místnost, ke konzumaci nápojů a jídel, kde mohou zaměstnanci trávit pracovní přestávky. Před areálem je možnost parkování, dostupnost městské hromadné dopravy. </w:t>
      </w:r>
    </w:p>
    <w:p w:rsidR="00D70F4C" w:rsidRPr="00BB0030" w:rsidRDefault="00D70F4C" w:rsidP="00246CA3">
      <w:pPr>
        <w:jc w:val="both"/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D70F4C" w:rsidRPr="00BB0030" w:rsidTr="005E73F8">
        <w:trPr>
          <w:trHeight w:val="549"/>
        </w:trPr>
        <w:tc>
          <w:tcPr>
            <w:tcW w:w="10695" w:type="dxa"/>
          </w:tcPr>
          <w:p w:rsidR="00D70F4C" w:rsidRPr="00BB0030" w:rsidRDefault="00D70F4C" w:rsidP="005E73F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D70F4C" w:rsidRPr="00BB0030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BB0030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Pr="00BB0030" w:rsidRDefault="00D70F4C" w:rsidP="00D70F4C">
      <w:pPr>
        <w:rPr>
          <w:rFonts w:ascii="Arial" w:hAnsi="Arial" w:cs="Arial"/>
          <w:sz w:val="20"/>
          <w:szCs w:val="20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BB0030" w:rsidRDefault="00BB0030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5E73F8" w:rsidRPr="001C3D62" w:rsidRDefault="005E73F8" w:rsidP="005E73F8">
      <w:pPr>
        <w:jc w:val="center"/>
        <w:rPr>
          <w:rFonts w:ascii="Arial" w:hAnsi="Arial" w:cs="Arial"/>
          <w:b/>
        </w:rPr>
      </w:pPr>
      <w:r w:rsidRPr="001C3D62">
        <w:rPr>
          <w:rFonts w:ascii="Arial" w:hAnsi="Arial" w:cs="Arial"/>
          <w:b/>
        </w:rPr>
        <w:lastRenderedPageBreak/>
        <w:t>Charakteristika chráněných pracovních míst č.: 2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5E73F8" w:rsidRPr="00BB0030" w:rsidRDefault="007C4215" w:rsidP="005E73F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82197  Výrobní</w:t>
      </w:r>
      <w:proofErr w:type="gramEnd"/>
      <w:r>
        <w:rPr>
          <w:rFonts w:ascii="Arial" w:hAnsi="Arial" w:cs="Arial"/>
          <w:sz w:val="20"/>
          <w:szCs w:val="20"/>
        </w:rPr>
        <w:t xml:space="preserve"> obsluha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7C4215">
        <w:rPr>
          <w:rFonts w:ascii="Arial" w:hAnsi="Arial" w:cs="Arial"/>
          <w:sz w:val="20"/>
          <w:szCs w:val="20"/>
        </w:rPr>
        <w:t>2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="007C4215">
        <w:rPr>
          <w:rFonts w:ascii="Arial" w:hAnsi="Arial" w:cs="Arial"/>
          <w:sz w:val="20"/>
          <w:szCs w:val="20"/>
        </w:rPr>
        <w:t>2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1C3D62" w:rsidRDefault="007C4215" w:rsidP="00447A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Obsluha ří</w:t>
      </w:r>
      <w:r w:rsidR="001C3D62"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z w:val="20"/>
          <w:szCs w:val="20"/>
        </w:rPr>
        <w:t xml:space="preserve">cí jednotky včetně </w:t>
      </w:r>
      <w:r w:rsidR="001C3D62">
        <w:rPr>
          <w:rFonts w:ascii="Arial" w:hAnsi="Arial" w:cs="Arial"/>
          <w:sz w:val="20"/>
          <w:szCs w:val="20"/>
        </w:rPr>
        <w:t xml:space="preserve">periférií velkoformátových a jedno a více barvových digitálních strojů. Příprava základních materiálů, včetně inkoustů a tekutých tonerů pro inkoustový a elektrografický proces digitálního tisku. Příprava tisku a seřízení digitálních tiskových strojů k bezchybné produkci. Výroba tištěných materiálů na produkčních a nátiskových digitálních zařízeních. Kontrola kvality tisku během tiskového procesu. Předání kompletního a kvalitně vytištěného nákladu. Kompletace a instalace výrobků. </w:t>
      </w:r>
    </w:p>
    <w:p w:rsidR="001C3D62" w:rsidRDefault="001C3D62" w:rsidP="00447AE8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činnosti splňuje podmínky pro zaměstnávání OZP, s přihlédnutím k pracovní rekomandaci. </w:t>
      </w:r>
    </w:p>
    <w:p w:rsidR="005E73F8" w:rsidRPr="00BB0030" w:rsidRDefault="005E73F8" w:rsidP="00447AE8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Plynárenská 291, </w:t>
      </w:r>
      <w:proofErr w:type="spellStart"/>
      <w:r w:rsidRPr="00BB0030">
        <w:rPr>
          <w:rFonts w:ascii="Arial" w:hAnsi="Arial" w:cs="Arial"/>
          <w:sz w:val="20"/>
          <w:szCs w:val="20"/>
        </w:rPr>
        <w:t>Prosetice</w:t>
      </w:r>
      <w:proofErr w:type="spellEnd"/>
      <w:r w:rsidRPr="00BB00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B0030">
        <w:rPr>
          <w:rFonts w:ascii="Arial" w:hAnsi="Arial" w:cs="Arial"/>
          <w:sz w:val="20"/>
          <w:szCs w:val="20"/>
        </w:rPr>
        <w:t>415 01  Teplice</w:t>
      </w:r>
      <w:proofErr w:type="gramEnd"/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BB0030" w:rsidRDefault="00BB0030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066074" w:rsidRPr="00BB0030" w:rsidRDefault="00066074" w:rsidP="00066074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změněné pracovní schopnosti vytipovaných zaměstnanců nevyžaduje speciální přizpůsobení pracovního prostředí. </w:t>
      </w:r>
      <w:r>
        <w:rPr>
          <w:rFonts w:ascii="Arial" w:hAnsi="Arial" w:cs="Arial"/>
          <w:sz w:val="20"/>
          <w:szCs w:val="20"/>
        </w:rPr>
        <w:t xml:space="preserve">Pracoviště je upraveno a vybaveno tak, aby bylo pracovní prostředí pro všechny zaměstnance společnosti naprosto bezpečné a příjemné. Vybudovaná denní místnost, ke konzumaci nápojů a jídel, kde mohou zaměstnanci trávit pracovní přestávky. Před areálem je možnost parkování, dostupnost městské hromadné dopravy. </w:t>
      </w:r>
    </w:p>
    <w:p w:rsidR="00066074" w:rsidRPr="00BB0030" w:rsidRDefault="00066074" w:rsidP="00066074">
      <w:pPr>
        <w:jc w:val="both"/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Default="005E73F8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1C3D62" w:rsidRPr="001C3D62" w:rsidRDefault="001C3D62" w:rsidP="001C3D62">
      <w:pPr>
        <w:jc w:val="center"/>
        <w:rPr>
          <w:rFonts w:ascii="Arial" w:hAnsi="Arial" w:cs="Arial"/>
          <w:b/>
        </w:rPr>
      </w:pPr>
      <w:r w:rsidRPr="001C3D62">
        <w:rPr>
          <w:rFonts w:ascii="Arial" w:hAnsi="Arial" w:cs="Arial"/>
          <w:b/>
        </w:rPr>
        <w:lastRenderedPageBreak/>
        <w:t xml:space="preserve">Charakteristika chráněných pracovních míst č.: </w:t>
      </w:r>
      <w:r w:rsidRPr="001C3D62">
        <w:rPr>
          <w:rFonts w:ascii="Arial" w:hAnsi="Arial" w:cs="Arial"/>
          <w:b/>
        </w:rPr>
        <w:t>3</w:t>
      </w: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Druh práce: (</w:t>
      </w:r>
      <w:proofErr w:type="gramStart"/>
      <w:r w:rsidRPr="00BB0030">
        <w:rPr>
          <w:rFonts w:ascii="Arial" w:hAnsi="Arial" w:cs="Arial"/>
          <w:sz w:val="20"/>
          <w:szCs w:val="20"/>
        </w:rPr>
        <w:t>CZ-ISCO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–</w:t>
      </w:r>
      <w:proofErr w:type="gramStart"/>
      <w:r w:rsidRPr="00BB0030">
        <w:rPr>
          <w:rFonts w:ascii="Arial" w:hAnsi="Arial" w:cs="Arial"/>
          <w:sz w:val="20"/>
          <w:szCs w:val="20"/>
        </w:rPr>
        <w:t>není</w:t>
      </w:r>
      <w:proofErr w:type="gramEnd"/>
      <w:r w:rsidRPr="00BB0030">
        <w:rPr>
          <w:rFonts w:ascii="Arial" w:hAnsi="Arial" w:cs="Arial"/>
          <w:sz w:val="20"/>
          <w:szCs w:val="20"/>
        </w:rPr>
        <w:t xml:space="preserve"> povinné) název</w:t>
      </w: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741/723 technik/údržbář</w:t>
      </w:r>
    </w:p>
    <w:p w:rsidR="001C3D62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Počet chráněných pracovních míst: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Maximální počet zaměstnanců se zdravotním postižením pracujících</w:t>
      </w:r>
      <w:r w:rsidRPr="00BB0030">
        <w:rPr>
          <w:rFonts w:ascii="Arial" w:hAnsi="Arial" w:cs="Arial"/>
          <w:sz w:val="20"/>
          <w:szCs w:val="20"/>
        </w:rPr>
        <w:br/>
        <w:t>na těchto chráněných pracovních místech:</w:t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 w:rsidRPr="00BB00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 činnosti:</w:t>
      </w:r>
    </w:p>
    <w:p w:rsidR="001C3D62" w:rsidRDefault="001C3D62" w:rsidP="001C3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Vyhledávání závad a stanovování postupu oprav. Provádění běžných, středních a generálních oprav strojů a zařízení. Zajišťování nákupu náhradních dílů pro stroje a zařízení. Vedení příslušné technické a technologické dokumentace. Zajišťování pravidelných servisních prohlídek, oprav a údržby vybavení provozu chráněné dílny. </w:t>
      </w:r>
    </w:p>
    <w:p w:rsidR="001C3D62" w:rsidRDefault="001C3D62" w:rsidP="001C3D62">
      <w:pPr>
        <w:jc w:val="both"/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pracovních podmínek:</w:t>
      </w:r>
    </w:p>
    <w:p w:rsidR="001C3D62" w:rsidRPr="00BB0030" w:rsidRDefault="001C3D62" w:rsidP="001C3D62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činnosti splňuje podmínky pro zaměstnávání OZP, s přihlédnutím k pracovní rekomandaci. </w:t>
      </w:r>
    </w:p>
    <w:p w:rsidR="001C3D62" w:rsidRPr="00BB0030" w:rsidRDefault="001C3D62" w:rsidP="001C3D62">
      <w:pPr>
        <w:jc w:val="both"/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Místo výkonu práce:</w:t>
      </w: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Plynárenská 291, </w:t>
      </w:r>
      <w:proofErr w:type="spellStart"/>
      <w:r w:rsidRPr="00BB0030">
        <w:rPr>
          <w:rFonts w:ascii="Arial" w:hAnsi="Arial" w:cs="Arial"/>
          <w:sz w:val="20"/>
          <w:szCs w:val="20"/>
        </w:rPr>
        <w:t>Prosetice</w:t>
      </w:r>
      <w:proofErr w:type="spellEnd"/>
      <w:r w:rsidRPr="00BB003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B0030">
        <w:rPr>
          <w:rFonts w:ascii="Arial" w:hAnsi="Arial" w:cs="Arial"/>
          <w:sz w:val="20"/>
          <w:szCs w:val="20"/>
        </w:rPr>
        <w:t>415 01  Teplice</w:t>
      </w:r>
      <w:proofErr w:type="gramEnd"/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Default="001C3D62" w:rsidP="001C3D62">
      <w:pPr>
        <w:rPr>
          <w:rFonts w:ascii="Arial" w:hAnsi="Arial" w:cs="Arial"/>
          <w:sz w:val="20"/>
          <w:szCs w:val="20"/>
        </w:rPr>
      </w:pPr>
    </w:p>
    <w:p w:rsidR="001C3D62" w:rsidRPr="00BB0030" w:rsidRDefault="001C3D62" w:rsidP="001C3D62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>Popis pracoviště:</w:t>
      </w:r>
    </w:p>
    <w:p w:rsidR="001C3D62" w:rsidRPr="00BB0030" w:rsidRDefault="001C3D62" w:rsidP="001C3D62">
      <w:pPr>
        <w:jc w:val="both"/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Charakter změněné pracovní schopnosti vytipovaných zaměstnanců nevyžaduje speciální přizpůsobení pracovního prostředí. </w:t>
      </w:r>
      <w:r>
        <w:rPr>
          <w:rFonts w:ascii="Arial" w:hAnsi="Arial" w:cs="Arial"/>
          <w:sz w:val="20"/>
          <w:szCs w:val="20"/>
        </w:rPr>
        <w:t xml:space="preserve">Pracoviště je upraveno a vybaveno tak, aby bylo pracovní prostředí pro všechny zaměstnance společnosti naprosto bezpečné a příjemné. Vybudovaná denní místnost, ke konzumaci nápojů a jídel, kde mohou zaměstnanci trávit pracovní přestávky. Před areálem je možnost parkování, dostupnost městské hromadné dopravy. </w:t>
      </w:r>
    </w:p>
    <w:p w:rsidR="001C3D62" w:rsidRPr="00BB0030" w:rsidRDefault="001C3D62" w:rsidP="001C3D62">
      <w:pPr>
        <w:jc w:val="both"/>
        <w:rPr>
          <w:rFonts w:ascii="Arial" w:hAnsi="Arial" w:cs="Arial"/>
          <w:sz w:val="20"/>
          <w:szCs w:val="20"/>
        </w:rPr>
      </w:pPr>
    </w:p>
    <w:p w:rsidR="001C3D62" w:rsidRDefault="001C3D62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  <w:r w:rsidRPr="00BB0030">
        <w:rPr>
          <w:rFonts w:ascii="Arial" w:hAnsi="Arial" w:cs="Arial"/>
          <w:sz w:val="20"/>
          <w:szCs w:val="20"/>
        </w:rPr>
        <w:t xml:space="preserve">V Teplicích dne </w:t>
      </w:r>
      <w:r w:rsidR="001C3D62">
        <w:rPr>
          <w:rFonts w:ascii="Arial" w:hAnsi="Arial" w:cs="Arial"/>
          <w:sz w:val="20"/>
          <w:szCs w:val="20"/>
        </w:rPr>
        <w:t>16. 10. 2017</w:t>
      </w: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28"/>
        <w:tblW w:w="10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5"/>
        <w:gridCol w:w="222"/>
        <w:gridCol w:w="222"/>
      </w:tblGrid>
      <w:tr w:rsidR="005E73F8" w:rsidRPr="00BB0030" w:rsidTr="00017C43">
        <w:trPr>
          <w:trHeight w:val="584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79" w:type="dxa"/>
              <w:tblLook w:val="04A0" w:firstRow="1" w:lastRow="0" w:firstColumn="1" w:lastColumn="0" w:noHBand="0" w:noVBand="1"/>
            </w:tblPr>
            <w:tblGrid>
              <w:gridCol w:w="4819"/>
              <w:gridCol w:w="841"/>
              <w:gridCol w:w="4819"/>
            </w:tblGrid>
            <w:tr w:rsidR="005E73F8" w:rsidRPr="00BB0030" w:rsidTr="00017C43">
              <w:tc>
                <w:tcPr>
                  <w:tcW w:w="4819" w:type="dxa"/>
                  <w:vAlign w:val="bottom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</w:t>
                  </w:r>
                </w:p>
              </w:tc>
              <w:tc>
                <w:tcPr>
                  <w:tcW w:w="841" w:type="dxa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……………………..………………………………</w:t>
                  </w:r>
                </w:p>
              </w:tc>
            </w:tr>
            <w:tr w:rsidR="005E73F8" w:rsidRPr="00BB0030" w:rsidTr="00017C43">
              <w:tc>
                <w:tcPr>
                  <w:tcW w:w="4819" w:type="dxa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1C3D62">
                    <w:rPr>
                      <w:rFonts w:ascii="Arial" w:hAnsi="Arial" w:cs="Arial"/>
                      <w:sz w:val="20"/>
                      <w:szCs w:val="20"/>
                    </w:rPr>
                    <w:t xml:space="preserve">Radka </w:t>
                  </w:r>
                  <w:proofErr w:type="spellStart"/>
                  <w:r w:rsidR="001C3D62">
                    <w:rPr>
                      <w:rFonts w:ascii="Arial" w:hAnsi="Arial" w:cs="Arial"/>
                      <w:sz w:val="20"/>
                      <w:szCs w:val="20"/>
                    </w:rPr>
                    <w:t>Vosahlová</w:t>
                  </w:r>
                  <w:proofErr w:type="spellEnd"/>
                </w:p>
                <w:p w:rsidR="005E73F8" w:rsidRPr="00BB0030" w:rsidRDefault="001C3D62" w:rsidP="001C3D62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v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t> plné moci</w:t>
                  </w:r>
                </w:p>
              </w:tc>
              <w:tc>
                <w:tcPr>
                  <w:tcW w:w="841" w:type="dxa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Ing. Martina Bečvářová</w:t>
                  </w:r>
                </w:p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ředitelka </w:t>
                  </w:r>
                  <w:proofErr w:type="spellStart"/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>KoP</w:t>
                  </w:r>
                  <w:proofErr w:type="spellEnd"/>
                  <w:r w:rsidRPr="00BB0030">
                    <w:rPr>
                      <w:rFonts w:ascii="Arial" w:hAnsi="Arial" w:cs="Arial"/>
                      <w:sz w:val="20"/>
                      <w:szCs w:val="20"/>
                    </w:rPr>
                    <w:t xml:space="preserve"> Teplice</w:t>
                  </w:r>
                </w:p>
                <w:p w:rsidR="005E73F8" w:rsidRPr="00BB0030" w:rsidRDefault="005E73F8" w:rsidP="00613F86">
                  <w:pPr>
                    <w:keepNext/>
                    <w:keepLines/>
                    <w:framePr w:hSpace="141" w:wrap="around" w:vAnchor="text" w:hAnchor="margin" w:y="28"/>
                    <w:tabs>
                      <w:tab w:val="left" w:pos="2520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3F8" w:rsidRPr="00BB0030" w:rsidTr="00017C43">
        <w:trPr>
          <w:trHeight w:val="549"/>
        </w:trPr>
        <w:tc>
          <w:tcPr>
            <w:tcW w:w="5124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</w:tcPr>
          <w:p w:rsidR="005E73F8" w:rsidRPr="00BB0030" w:rsidRDefault="005E73F8" w:rsidP="00017C43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3F8" w:rsidRPr="00BB0030" w:rsidRDefault="005E73F8" w:rsidP="005E73F8">
      <w:pPr>
        <w:keepNext/>
        <w:keepLines/>
        <w:tabs>
          <w:tab w:val="left" w:pos="2520"/>
        </w:tabs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rPr>
          <w:rFonts w:ascii="Arial" w:hAnsi="Arial" w:cs="Arial"/>
          <w:sz w:val="20"/>
          <w:szCs w:val="20"/>
        </w:rPr>
      </w:pPr>
    </w:p>
    <w:p w:rsidR="005E73F8" w:rsidRPr="00BB0030" w:rsidRDefault="005E73F8" w:rsidP="005E73F8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Pr="00BB0030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sectPr w:rsidR="00D70F4C" w:rsidRPr="00BB0030" w:rsidSect="00E60AD8">
      <w:footerReference w:type="default" r:id="rId8"/>
      <w:footerReference w:type="first" r:id="rId9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D9" w:rsidRDefault="00F9778B">
      <w:r>
        <w:separator/>
      </w:r>
    </w:p>
  </w:endnote>
  <w:endnote w:type="continuationSeparator" w:id="0">
    <w:p w:rsidR="00E52DD9" w:rsidRDefault="00F9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C429A" w:rsidP="005C2702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MPSV – OSÚ</w:t>
    </w:r>
    <w:r w:rsidR="00D70F4C" w:rsidRPr="005C2702">
      <w:rPr>
        <w:rFonts w:ascii="Arial" w:hAnsi="Arial" w:cs="Arial"/>
        <w:sz w:val="16"/>
        <w:szCs w:val="16"/>
      </w:rPr>
      <w:tab/>
      <w:t xml:space="preserve">- </w:t>
    </w:r>
    <w:r w:rsidR="00D70F4C" w:rsidRPr="005C2702">
      <w:rPr>
        <w:rFonts w:ascii="Arial" w:hAnsi="Arial" w:cs="Arial"/>
        <w:sz w:val="16"/>
        <w:szCs w:val="16"/>
      </w:rPr>
      <w:fldChar w:fldCharType="begin"/>
    </w:r>
    <w:r w:rsidR="00D70F4C" w:rsidRPr="005C2702">
      <w:rPr>
        <w:rFonts w:ascii="Arial" w:hAnsi="Arial" w:cs="Arial"/>
        <w:sz w:val="16"/>
        <w:szCs w:val="16"/>
      </w:rPr>
      <w:instrText xml:space="preserve"> PAGE </w:instrText>
    </w:r>
    <w:r w:rsidR="00D70F4C" w:rsidRPr="005C2702">
      <w:rPr>
        <w:rFonts w:ascii="Arial" w:hAnsi="Arial" w:cs="Arial"/>
        <w:sz w:val="16"/>
        <w:szCs w:val="16"/>
      </w:rPr>
      <w:fldChar w:fldCharType="separate"/>
    </w:r>
    <w:r w:rsidR="001C3D62">
      <w:rPr>
        <w:rFonts w:ascii="Arial" w:hAnsi="Arial" w:cs="Arial"/>
        <w:noProof/>
        <w:sz w:val="16"/>
        <w:szCs w:val="16"/>
      </w:rPr>
      <w:t>2</w:t>
    </w:r>
    <w:r w:rsidR="00D70F4C" w:rsidRPr="005C2702">
      <w:rPr>
        <w:rFonts w:ascii="Arial" w:hAnsi="Arial" w:cs="Arial"/>
        <w:sz w:val="16"/>
        <w:szCs w:val="16"/>
      </w:rPr>
      <w:fldChar w:fldCharType="end"/>
    </w:r>
    <w:r w:rsidR="00D70F4C" w:rsidRPr="005C2702">
      <w:rPr>
        <w:rFonts w:ascii="Arial" w:hAnsi="Arial" w:cs="Arial"/>
        <w:sz w:val="16"/>
        <w:szCs w:val="16"/>
      </w:rPr>
      <w:t xml:space="preserve"> -</w:t>
    </w:r>
  </w:p>
  <w:p w:rsidR="00EA02F5" w:rsidRDefault="00667A26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D70F4C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 xml:space="preserve">MPSV – OSÚ, </w:t>
    </w:r>
    <w:proofErr w:type="spellStart"/>
    <w:r w:rsidRPr="005C2702">
      <w:rPr>
        <w:rFonts w:ascii="Arial" w:hAnsi="Arial" w:cs="Arial"/>
        <w:i/>
        <w:sz w:val="16"/>
        <w:szCs w:val="16"/>
      </w:rPr>
      <w:t>ved</w:t>
    </w:r>
    <w:proofErr w:type="spellEnd"/>
    <w:r w:rsidRPr="005C2702">
      <w:rPr>
        <w:rFonts w:ascii="Arial" w:hAnsi="Arial" w:cs="Arial"/>
        <w:i/>
        <w:sz w:val="16"/>
        <w:szCs w:val="16"/>
      </w:rPr>
      <w:t xml:space="preserve">. </w:t>
    </w:r>
    <w:proofErr w:type="gramStart"/>
    <w:r w:rsidRPr="005C2702">
      <w:rPr>
        <w:rFonts w:ascii="Arial" w:hAnsi="Arial" w:cs="Arial"/>
        <w:i/>
        <w:sz w:val="16"/>
        <w:szCs w:val="16"/>
      </w:rPr>
      <w:t>odd</w:t>
    </w:r>
    <w:proofErr w:type="gramEnd"/>
    <w:r w:rsidRPr="005C2702">
      <w:rPr>
        <w:rFonts w:ascii="Arial" w:hAnsi="Arial" w:cs="Arial"/>
        <w:i/>
        <w:sz w:val="16"/>
        <w:szCs w:val="16"/>
      </w:rPr>
      <w:t>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667A26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D9" w:rsidRDefault="00F9778B">
      <w:r>
        <w:separator/>
      </w:r>
    </w:p>
  </w:footnote>
  <w:footnote w:type="continuationSeparator" w:id="0">
    <w:p w:rsidR="00E52DD9" w:rsidRDefault="00F9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66074"/>
    <w:rsid w:val="000B4AE0"/>
    <w:rsid w:val="001C3D62"/>
    <w:rsid w:val="00246CA3"/>
    <w:rsid w:val="002A4572"/>
    <w:rsid w:val="00332A00"/>
    <w:rsid w:val="00344D79"/>
    <w:rsid w:val="00441B3B"/>
    <w:rsid w:val="00447AE8"/>
    <w:rsid w:val="00483C24"/>
    <w:rsid w:val="004A1D0C"/>
    <w:rsid w:val="00506AEA"/>
    <w:rsid w:val="00555308"/>
    <w:rsid w:val="005E73F8"/>
    <w:rsid w:val="005F101E"/>
    <w:rsid w:val="00613F86"/>
    <w:rsid w:val="00666B50"/>
    <w:rsid w:val="007B3C80"/>
    <w:rsid w:val="007C4215"/>
    <w:rsid w:val="008636DF"/>
    <w:rsid w:val="008E4A9A"/>
    <w:rsid w:val="009E163E"/>
    <w:rsid w:val="00A043B0"/>
    <w:rsid w:val="00A27D6A"/>
    <w:rsid w:val="00B946ED"/>
    <w:rsid w:val="00BB0030"/>
    <w:rsid w:val="00BF5BFE"/>
    <w:rsid w:val="00C22BBC"/>
    <w:rsid w:val="00D231A5"/>
    <w:rsid w:val="00D327B0"/>
    <w:rsid w:val="00D70F4C"/>
    <w:rsid w:val="00DC429A"/>
    <w:rsid w:val="00E52DD9"/>
    <w:rsid w:val="00E71CF3"/>
    <w:rsid w:val="00E74373"/>
    <w:rsid w:val="00EC0813"/>
    <w:rsid w:val="00EE4FB2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DC4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29A"/>
    <w:rPr>
      <w:rFonts w:ascii="Courier New" w:eastAsiaTheme="minorEastAsia" w:hAnsi="Courier New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A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E8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C809-FD1C-4155-8E57-BCEC5AA6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3</cp:revision>
  <cp:lastPrinted>2017-10-10T11:25:00Z</cp:lastPrinted>
  <dcterms:created xsi:type="dcterms:W3CDTF">2017-10-10T10:49:00Z</dcterms:created>
  <dcterms:modified xsi:type="dcterms:W3CDTF">2017-10-10T11:27:00Z</dcterms:modified>
</cp:coreProperties>
</file>