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60"/>
        <w:gridCol w:w="20"/>
        <w:gridCol w:w="20"/>
        <w:gridCol w:w="20"/>
        <w:gridCol w:w="1240"/>
        <w:gridCol w:w="380"/>
        <w:gridCol w:w="20"/>
        <w:gridCol w:w="20"/>
        <w:gridCol w:w="60"/>
        <w:gridCol w:w="20"/>
        <w:gridCol w:w="100"/>
        <w:gridCol w:w="620"/>
        <w:gridCol w:w="20"/>
        <w:gridCol w:w="200"/>
        <w:gridCol w:w="800"/>
        <w:gridCol w:w="580"/>
        <w:gridCol w:w="740"/>
        <w:gridCol w:w="180"/>
        <w:gridCol w:w="60"/>
        <w:gridCol w:w="2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0017500133/2188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Mikrobiologický ústav AV ČR, v.v.i.</w:t>
              <w:br/>
              <w:t xml:space="preserve">Vídeňská 1083</w:t>
              <w:br/>
              <w:t xml:space="preserve">142 20 PRAHA 4</w:t>
              <w:br/>
              <w:t xml:space="preserve">Česká republika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wrapNone/>
                  <wp:docPr id="60470994" name="Picture">
</wp:docPr>
                  <a:graphic>
                    <a:graphicData uri="http://schemas.openxmlformats.org/drawingml/2006/picture">
                      <pic:pic>
                        <pic:nvPicPr>
                          <pic:cNvPr id="60470994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CZ61388971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26032503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CZ26032503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61388971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A.F.C. Controls, s.r.o.</w:t>
                    <w:br/>
                    <w:t xml:space="preserve">Novohradská 21</w:t>
                    <w:br/>
                    <w:t xml:space="preserve">370 01 ČESKÉ BUDĚJOVICE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Konečný příjemce: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NS242188 TS - areál (náklady)</w:t>
                    <w:br/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Nejedlý Zdeněk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E-mail: nejedly@biomed.cas.cz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30.12.2017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30.10.2017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Mikrobiologický ústav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Při fakturaci vždy uvádějte číslo objednávky.Žádáme Vás o vrácení potvrzené objednávky!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Objednáváme u Vás opravu kamerového systému po bouřce dle Vaší nabídky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69 272.50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69 272.50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69 272.50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69 272.50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11.10.2017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Bc. Šimralová Petra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E-mail: simralova@biomed.cas.cz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Zpracováno systémem iFIS  na databázi ORACLE (R)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