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546989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A2259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17/</w:t>
                            </w:r>
                            <w:r w:rsidR="004A2C4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S/</w:t>
                            </w:r>
                            <w:r w:rsidR="00A2259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450/</w:t>
                            </w:r>
                            <w:r w:rsidR="004A2C4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290</w:t>
                            </w:r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A22598">
                        <w:rPr>
                          <w:rFonts w:ascii="Georgia" w:hAnsi="Georgia"/>
                          <w:sz w:val="22"/>
                          <w:szCs w:val="22"/>
                        </w:rPr>
                        <w:t>17/</w:t>
                      </w:r>
                      <w:r w:rsidR="004A2C4C">
                        <w:rPr>
                          <w:rFonts w:ascii="Georgia" w:hAnsi="Georgia"/>
                          <w:sz w:val="22"/>
                          <w:szCs w:val="22"/>
                        </w:rPr>
                        <w:t>S/</w:t>
                      </w:r>
                      <w:r w:rsidR="00A22598">
                        <w:rPr>
                          <w:rFonts w:ascii="Georgia" w:hAnsi="Georgia"/>
                          <w:sz w:val="22"/>
                          <w:szCs w:val="22"/>
                        </w:rPr>
                        <w:t>450/</w:t>
                      </w:r>
                      <w:r w:rsidR="004A2C4C">
                        <w:rPr>
                          <w:rFonts w:ascii="Georgia" w:hAnsi="Georgia"/>
                          <w:sz w:val="22"/>
                          <w:szCs w:val="22"/>
                        </w:rPr>
                        <w:t>290</w:t>
                      </w:r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2E56C5" w:rsidP="00302EA3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2E2468" w:rsidP="00302EA3">
                            <w:pPr>
                              <w:pStyle w:val="Nzev"/>
                            </w:pPr>
                            <w:r w:rsidRPr="002E2468">
                              <w:t>Asociace hotelů a restaurací Č</w:t>
                            </w:r>
                            <w:r w:rsidR="008E0C98">
                              <w:t>eské republiky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2E56C5" w:rsidP="00302EA3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2E2468" w:rsidP="00302EA3">
                      <w:pPr>
                        <w:pStyle w:val="Nzev"/>
                      </w:pPr>
                      <w:r w:rsidRPr="002E2468">
                        <w:t>Asociace hotelů a restaurací Č</w:t>
                      </w:r>
                      <w:r w:rsidR="008E0C98">
                        <w:t>eské republiky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Vinohradská 46, </w:t>
            </w:r>
            <w:r w:rsidR="009B4858">
              <w:t>1</w:t>
            </w:r>
            <w:r w:rsidRPr="00101C08">
              <w:t>20 41 Praha 2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49277600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CZ49277600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BB3496" w:rsidP="009B4858">
            <w:pPr>
              <w:pStyle w:val="TableTextCzechTourism"/>
              <w:spacing w:before="40"/>
            </w:pPr>
            <w:r>
              <w:t>Alešem Pangrácem, ředitelem odboru regionální partnerství a vztahy B2B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874A2A" w:rsidTr="009B4858">
        <w:tc>
          <w:tcPr>
            <w:tcW w:w="2500" w:type="pct"/>
            <w:shd w:val="clear" w:color="auto" w:fill="auto"/>
          </w:tcPr>
          <w:p w:rsidR="00302EA3" w:rsidRPr="00874A2A" w:rsidRDefault="00302EA3" w:rsidP="009B4858">
            <w:pPr>
              <w:pStyle w:val="TableTextCzechTourism"/>
              <w:spacing w:before="40"/>
            </w:pPr>
            <w:r w:rsidRPr="00874A2A"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E0C98" w:rsidP="009B4858">
            <w:pPr>
              <w:pStyle w:val="TableTextCzechTourism"/>
              <w:spacing w:before="40"/>
            </w:pPr>
            <w:r>
              <w:t>Asociace hotelů a restaurací České republiky</w:t>
            </w:r>
            <w:r w:rsidR="006F083A">
              <w:t xml:space="preserve"> z.s.</w:t>
            </w:r>
          </w:p>
        </w:tc>
      </w:tr>
      <w:tr w:rsidR="00302EA3" w:rsidRPr="00874A2A" w:rsidTr="009B4858">
        <w:tc>
          <w:tcPr>
            <w:tcW w:w="2500" w:type="pct"/>
            <w:shd w:val="clear" w:color="auto" w:fill="auto"/>
          </w:tcPr>
          <w:p w:rsidR="00302EA3" w:rsidRPr="00874A2A" w:rsidRDefault="00302EA3" w:rsidP="009B4858">
            <w:pPr>
              <w:pStyle w:val="TableTextCzechTourism"/>
              <w:spacing w:before="40"/>
            </w:pPr>
            <w:r w:rsidRPr="00874A2A"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E0C98" w:rsidP="009B4858">
            <w:pPr>
              <w:pStyle w:val="TableTextCzechTourism"/>
              <w:spacing w:before="40"/>
            </w:pPr>
            <w:bookmarkStart w:id="0" w:name="_GoBack"/>
            <w:r>
              <w:t>Revoluční 762/13</w:t>
            </w:r>
            <w:r w:rsidR="00874A2A" w:rsidRPr="00874A2A">
              <w:t xml:space="preserve">, </w:t>
            </w:r>
            <w:r>
              <w:t>110 00 Praha 1 – Staré Město</w:t>
            </w:r>
            <w:bookmarkEnd w:id="0"/>
          </w:p>
        </w:tc>
      </w:tr>
      <w:tr w:rsidR="00302EA3" w:rsidRPr="00874A2A" w:rsidTr="009B4858">
        <w:tc>
          <w:tcPr>
            <w:tcW w:w="2500" w:type="pct"/>
            <w:shd w:val="clear" w:color="auto" w:fill="auto"/>
          </w:tcPr>
          <w:p w:rsidR="00302EA3" w:rsidRPr="00874A2A" w:rsidRDefault="00302EA3" w:rsidP="009B4858">
            <w:pPr>
              <w:pStyle w:val="TableTextCzechTourism"/>
              <w:spacing w:before="40"/>
            </w:pPr>
            <w:r w:rsidRPr="00874A2A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E0C98" w:rsidP="009B4858">
            <w:pPr>
              <w:pStyle w:val="TableTextCzechTourism"/>
              <w:spacing w:before="40"/>
            </w:pPr>
            <w:r>
              <w:t>Ing. Václavem Stárkem, prezidentem</w:t>
            </w:r>
          </w:p>
        </w:tc>
      </w:tr>
      <w:tr w:rsidR="00302EA3" w:rsidRPr="00874A2A" w:rsidTr="009B4858">
        <w:tc>
          <w:tcPr>
            <w:tcW w:w="2500" w:type="pct"/>
            <w:shd w:val="clear" w:color="auto" w:fill="auto"/>
          </w:tcPr>
          <w:p w:rsidR="00302EA3" w:rsidRPr="00874A2A" w:rsidRDefault="00302EA3" w:rsidP="009B4858">
            <w:pPr>
              <w:pStyle w:val="TableTextCzechTourism"/>
              <w:spacing w:before="40"/>
            </w:pPr>
            <w:r w:rsidRPr="00874A2A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E0C98" w:rsidP="009B4858">
            <w:pPr>
              <w:pStyle w:val="TableTextCzechTourism"/>
              <w:spacing w:before="40"/>
            </w:pPr>
            <w:r>
              <w:t>00549436</w:t>
            </w:r>
          </w:p>
        </w:tc>
      </w:tr>
      <w:tr w:rsidR="00302EA3" w:rsidRPr="00874A2A" w:rsidTr="009B4858">
        <w:tc>
          <w:tcPr>
            <w:tcW w:w="2500" w:type="pct"/>
            <w:shd w:val="clear" w:color="auto" w:fill="auto"/>
          </w:tcPr>
          <w:p w:rsidR="00302EA3" w:rsidRPr="00874A2A" w:rsidRDefault="00302EA3" w:rsidP="009B4858">
            <w:pPr>
              <w:pStyle w:val="TableTextCzechTourism"/>
              <w:spacing w:before="40"/>
            </w:pPr>
            <w:r w:rsidRPr="00874A2A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E0C98" w:rsidP="009B4858">
            <w:pPr>
              <w:pStyle w:val="TableTextCzechTourism"/>
              <w:spacing w:before="40"/>
            </w:pPr>
            <w:r>
              <w:t>CZ00549436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874A2A" w:rsidRDefault="00302EA3" w:rsidP="009B4858">
            <w:pPr>
              <w:pStyle w:val="TableTextCzechTourism"/>
              <w:spacing w:before="40"/>
            </w:pPr>
            <w:r w:rsidRPr="00874A2A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74A2A" w:rsidP="009B4858">
            <w:pPr>
              <w:pStyle w:val="TableTextCzechTourism"/>
              <w:spacing w:before="40"/>
            </w:pPr>
            <w:r w:rsidRPr="00874A2A">
              <w:t>Plátce DPH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733A91" w:rsidRDefault="00733A91">
      <w:pPr>
        <w:spacing w:after="0" w:line="24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8E0C98" w:rsidRDefault="003F327B" w:rsidP="008E0C98">
      <w:pPr>
        <w:pStyle w:val="Text0"/>
        <w:numPr>
          <w:ilvl w:val="1"/>
          <w:numId w:val="17"/>
        </w:numPr>
        <w:jc w:val="both"/>
        <w:rPr>
          <w:rFonts w:ascii="Georgia" w:hAnsi="Georgia"/>
          <w:szCs w:val="22"/>
        </w:rPr>
      </w:pPr>
      <w:bookmarkStart w:id="1" w:name="_Toc153595136"/>
      <w:bookmarkStart w:id="2" w:name="_Toc153797532"/>
      <w:bookmarkStart w:id="3" w:name="_Toc153797651"/>
      <w:bookmarkStart w:id="4" w:name="_Toc153808368"/>
      <w:bookmarkStart w:id="5" w:name="_Toc153941142"/>
      <w:bookmarkStart w:id="6" w:name="_Toc153941287"/>
      <w:bookmarkStart w:id="7" w:name="_Toc154462844"/>
      <w:bookmarkStart w:id="8" w:name="_Toc163543476"/>
      <w:bookmarkStart w:id="9" w:name="_Toc164137947"/>
      <w:bookmarkStart w:id="10" w:name="_Toc202955379"/>
      <w:bookmarkStart w:id="11" w:name="_Toc203276578"/>
      <w:bookmarkStart w:id="12" w:name="_Toc203291564"/>
      <w:bookmarkStart w:id="13" w:name="_Toc203292584"/>
      <w:bookmarkStart w:id="14" w:name="_Toc203306973"/>
      <w:bookmarkStart w:id="15" w:name="_Toc204476141"/>
      <w:bookmarkStart w:id="16" w:name="_Toc235235100"/>
      <w:bookmarkStart w:id="17" w:name="_Toc238266051"/>
      <w:bookmarkStart w:id="18" w:name="_Toc240357470"/>
      <w:bookmarkStart w:id="19" w:name="_Toc240444506"/>
      <w:bookmarkStart w:id="20" w:name="_Toc240703972"/>
      <w:bookmarkStart w:id="21" w:name="_Toc240704346"/>
      <w:bookmarkStart w:id="22" w:name="_Toc240792063"/>
      <w:bookmarkStart w:id="23" w:name="_Toc240792923"/>
      <w:bookmarkStart w:id="24" w:name="_Toc241496087"/>
      <w:bookmarkStart w:id="25" w:name="_Toc241501188"/>
      <w:bookmarkStart w:id="26" w:name="_Toc241501585"/>
      <w:bookmarkStart w:id="27" w:name="_Toc241657902"/>
      <w:bookmarkStart w:id="28" w:name="_Toc243380725"/>
      <w:bookmarkStart w:id="29" w:name="_Toc274231382"/>
      <w:bookmarkStart w:id="30" w:name="_Toc274234499"/>
      <w:r w:rsidRPr="008F72FA">
        <w:rPr>
          <w:rFonts w:ascii="Georgia" w:hAnsi="Georgia"/>
          <w:szCs w:val="22"/>
        </w:rPr>
        <w:t>Dodavatel</w:t>
      </w:r>
      <w:r w:rsidR="004A76A2" w:rsidRPr="008F72FA">
        <w:rPr>
          <w:rFonts w:ascii="Georgia" w:hAnsi="Georgia"/>
          <w:szCs w:val="22"/>
        </w:rPr>
        <w:t xml:space="preserve"> se zavazuje podle této smlouvy na svůj náklad</w:t>
      </w:r>
      <w:r w:rsidR="00197386" w:rsidRPr="008F72FA">
        <w:rPr>
          <w:rFonts w:ascii="Georgia" w:hAnsi="Georgia"/>
          <w:szCs w:val="22"/>
        </w:rPr>
        <w:t xml:space="preserve"> a nebezpečí </w:t>
      </w:r>
      <w:r w:rsidR="002D52A9" w:rsidRPr="008F72FA">
        <w:rPr>
          <w:rFonts w:ascii="Georgia" w:hAnsi="Georgia"/>
          <w:szCs w:val="22"/>
        </w:rPr>
        <w:t xml:space="preserve">poskytnout objednateli: </w:t>
      </w:r>
    </w:p>
    <w:p w:rsidR="008F72FA" w:rsidRDefault="008E0C98" w:rsidP="008E0C98">
      <w:pPr>
        <w:pStyle w:val="Text0"/>
        <w:ind w:left="72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P</w:t>
      </w:r>
      <w:r w:rsidRPr="008E0C98">
        <w:rPr>
          <w:rFonts w:ascii="Georgia" w:hAnsi="Georgia"/>
          <w:szCs w:val="22"/>
        </w:rPr>
        <w:t>rezentaci</w:t>
      </w:r>
      <w:r>
        <w:rPr>
          <w:rFonts w:ascii="Georgia" w:hAnsi="Georgia"/>
          <w:szCs w:val="22"/>
        </w:rPr>
        <w:t xml:space="preserve"> agentury</w:t>
      </w:r>
      <w:r w:rsidRPr="008E0C98">
        <w:rPr>
          <w:rFonts w:ascii="Georgia" w:hAnsi="Georgia"/>
          <w:szCs w:val="22"/>
        </w:rPr>
        <w:t xml:space="preserve"> CzechTourism </w:t>
      </w:r>
      <w:r w:rsidR="00222FBB">
        <w:rPr>
          <w:rFonts w:ascii="Georgia" w:hAnsi="Georgia"/>
          <w:szCs w:val="22"/>
        </w:rPr>
        <w:t xml:space="preserve">a Českého systému kvality služeb </w:t>
      </w:r>
      <w:r w:rsidRPr="008E0C98">
        <w:rPr>
          <w:rFonts w:ascii="Georgia" w:hAnsi="Georgia"/>
          <w:szCs w:val="22"/>
        </w:rPr>
        <w:t xml:space="preserve">v rámci </w:t>
      </w:r>
      <w:r w:rsidR="00DA5211">
        <w:rPr>
          <w:rFonts w:ascii="Georgia" w:hAnsi="Georgia"/>
          <w:szCs w:val="22"/>
        </w:rPr>
        <w:t>12. konference</w:t>
      </w:r>
      <w:r w:rsidRPr="008E0C98">
        <w:rPr>
          <w:rFonts w:ascii="Georgia" w:hAnsi="Georgia"/>
          <w:szCs w:val="22"/>
        </w:rPr>
        <w:t xml:space="preserve"> Asociace hotelů a restaurací ČR</w:t>
      </w:r>
      <w:r>
        <w:rPr>
          <w:rFonts w:ascii="Georgia" w:hAnsi="Georgia"/>
          <w:szCs w:val="22"/>
        </w:rPr>
        <w:t xml:space="preserve">, </w:t>
      </w:r>
      <w:r w:rsidRPr="008E0C98">
        <w:rPr>
          <w:rFonts w:ascii="Georgia" w:hAnsi="Georgia"/>
          <w:szCs w:val="22"/>
        </w:rPr>
        <w:t xml:space="preserve">která se koná </w:t>
      </w:r>
      <w:r w:rsidR="00222FBB">
        <w:rPr>
          <w:rFonts w:ascii="Georgia" w:hAnsi="Georgia"/>
          <w:szCs w:val="22"/>
        </w:rPr>
        <w:t xml:space="preserve">30. listopadu – </w:t>
      </w:r>
      <w:r w:rsidR="00DA5211">
        <w:rPr>
          <w:rFonts w:ascii="Georgia" w:hAnsi="Georgia"/>
          <w:szCs w:val="22"/>
        </w:rPr>
        <w:t>1. prosince</w:t>
      </w:r>
      <w:r w:rsidRPr="008E0C98">
        <w:rPr>
          <w:rFonts w:ascii="Georgia" w:hAnsi="Georgia"/>
          <w:szCs w:val="22"/>
        </w:rPr>
        <w:t xml:space="preserve"> 201</w:t>
      </w:r>
      <w:r w:rsidR="00DA5211">
        <w:rPr>
          <w:rFonts w:ascii="Georgia" w:hAnsi="Georgia"/>
          <w:szCs w:val="22"/>
        </w:rPr>
        <w:t>7</w:t>
      </w:r>
      <w:r>
        <w:rPr>
          <w:rFonts w:ascii="Georgia" w:hAnsi="Georgia"/>
          <w:szCs w:val="22"/>
        </w:rPr>
        <w:t xml:space="preserve"> </w:t>
      </w:r>
      <w:r w:rsidR="00DA5211">
        <w:rPr>
          <w:rFonts w:ascii="Georgia" w:hAnsi="Georgia"/>
          <w:szCs w:val="22"/>
        </w:rPr>
        <w:t>v Olomouci</w:t>
      </w:r>
      <w:r>
        <w:rPr>
          <w:rFonts w:ascii="Georgia" w:hAnsi="Georgia"/>
          <w:szCs w:val="22"/>
        </w:rPr>
        <w:t>.</w:t>
      </w:r>
    </w:p>
    <w:p w:rsidR="008E0C98" w:rsidRDefault="008E0C98" w:rsidP="008E0C98">
      <w:pPr>
        <w:pStyle w:val="Text0"/>
        <w:ind w:left="708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V rámci prezentace bude zajištěno následující:</w:t>
      </w:r>
    </w:p>
    <w:p w:rsidR="007B787D" w:rsidRDefault="007B787D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P</w:t>
      </w:r>
      <w:r w:rsidRPr="007B787D">
        <w:rPr>
          <w:rFonts w:ascii="Georgia" w:hAnsi="Georgia"/>
          <w:szCs w:val="22"/>
        </w:rPr>
        <w:t>rezentace ředitelky CzechTourism</w:t>
      </w:r>
      <w:r>
        <w:rPr>
          <w:rFonts w:ascii="Georgia" w:hAnsi="Georgia"/>
          <w:szCs w:val="22"/>
        </w:rPr>
        <w:t xml:space="preserve"> na konferenci AHR</w:t>
      </w:r>
      <w:r w:rsidRPr="007B787D">
        <w:rPr>
          <w:rFonts w:ascii="Georgia" w:hAnsi="Georgia"/>
          <w:szCs w:val="22"/>
        </w:rPr>
        <w:t xml:space="preserve"> v rozsahu 20 minut na téma: Český systém kvality služeb – vývoj, plán aktivit, související marketingové kampaně</w:t>
      </w:r>
      <w:r>
        <w:rPr>
          <w:rFonts w:ascii="Georgia" w:hAnsi="Georgia"/>
          <w:szCs w:val="22"/>
        </w:rPr>
        <w:t>.</w:t>
      </w:r>
    </w:p>
    <w:p w:rsidR="00DA5211" w:rsidRDefault="00DA5211" w:rsidP="00DA5211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DA5211">
        <w:rPr>
          <w:rFonts w:ascii="Georgia" w:hAnsi="Georgia"/>
          <w:szCs w:val="22"/>
        </w:rPr>
        <w:t>Uvedení agentury CzechTourism jako partnera konference</w:t>
      </w:r>
      <w:r>
        <w:rPr>
          <w:rFonts w:ascii="Georgia" w:hAnsi="Georgia"/>
          <w:szCs w:val="22"/>
        </w:rPr>
        <w:t>.</w:t>
      </w:r>
    </w:p>
    <w:p w:rsidR="00222FBB" w:rsidRPr="00222FBB" w:rsidRDefault="00DA5211" w:rsidP="00222FBB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DA5211">
        <w:rPr>
          <w:rFonts w:ascii="Georgia" w:hAnsi="Georgia"/>
          <w:szCs w:val="22"/>
        </w:rPr>
        <w:t xml:space="preserve">Prezentace loga agentury CzechTourism </w:t>
      </w:r>
      <w:r w:rsidR="00222FBB">
        <w:rPr>
          <w:rFonts w:ascii="Georgia" w:hAnsi="Georgia"/>
          <w:szCs w:val="22"/>
        </w:rPr>
        <w:t xml:space="preserve">a loga ČSKS </w:t>
      </w:r>
      <w:r w:rsidRPr="00DA5211">
        <w:rPr>
          <w:rFonts w:ascii="Georgia" w:hAnsi="Georgia"/>
          <w:szCs w:val="22"/>
        </w:rPr>
        <w:t>na všech tištěných a online materiálech</w:t>
      </w:r>
      <w:r>
        <w:rPr>
          <w:rFonts w:ascii="Georgia" w:hAnsi="Georgia"/>
          <w:szCs w:val="22"/>
        </w:rPr>
        <w:t>.</w:t>
      </w:r>
    </w:p>
    <w:p w:rsidR="00DA5211" w:rsidRDefault="00DA5211" w:rsidP="00DA5211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P</w:t>
      </w:r>
      <w:r w:rsidRPr="00DA5211">
        <w:rPr>
          <w:rFonts w:ascii="Georgia" w:hAnsi="Georgia"/>
          <w:szCs w:val="22"/>
        </w:rPr>
        <w:t xml:space="preserve">rezentace </w:t>
      </w:r>
      <w:r w:rsidR="00222FBB">
        <w:rPr>
          <w:rFonts w:ascii="Georgia" w:hAnsi="Georgia"/>
          <w:szCs w:val="22"/>
        </w:rPr>
        <w:t>ČSKS</w:t>
      </w:r>
      <w:r w:rsidRPr="00DA5211">
        <w:rPr>
          <w:rFonts w:ascii="Georgia" w:hAnsi="Georgia"/>
          <w:szCs w:val="22"/>
        </w:rPr>
        <w:t xml:space="preserve"> formou </w:t>
      </w:r>
      <w:proofErr w:type="spellStart"/>
      <w:r w:rsidRPr="00DA5211">
        <w:rPr>
          <w:rFonts w:ascii="Georgia" w:hAnsi="Georgia"/>
          <w:szCs w:val="22"/>
        </w:rPr>
        <w:t>roll</w:t>
      </w:r>
      <w:proofErr w:type="spellEnd"/>
      <w:r>
        <w:rPr>
          <w:rFonts w:ascii="Georgia" w:hAnsi="Georgia"/>
          <w:szCs w:val="22"/>
        </w:rPr>
        <w:t>-</w:t>
      </w:r>
      <w:r w:rsidRPr="00DA5211">
        <w:rPr>
          <w:rFonts w:ascii="Georgia" w:hAnsi="Georgia"/>
          <w:szCs w:val="22"/>
        </w:rPr>
        <w:t>up a</w:t>
      </w:r>
      <w:r>
        <w:rPr>
          <w:rFonts w:ascii="Georgia" w:hAnsi="Georgia"/>
          <w:szCs w:val="22"/>
        </w:rPr>
        <w:t xml:space="preserve"> </w:t>
      </w:r>
      <w:r w:rsidRPr="00DA5211">
        <w:rPr>
          <w:rFonts w:ascii="Georgia" w:hAnsi="Georgia"/>
          <w:szCs w:val="22"/>
        </w:rPr>
        <w:t>na TV obrazovkách umístěných v místě konání akce</w:t>
      </w:r>
      <w:r>
        <w:rPr>
          <w:rFonts w:ascii="Georgia" w:hAnsi="Georgia"/>
          <w:szCs w:val="22"/>
        </w:rPr>
        <w:t>.</w:t>
      </w:r>
    </w:p>
    <w:p w:rsidR="00DA5211" w:rsidRDefault="00DA5211" w:rsidP="00DA5211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DA5211">
        <w:rPr>
          <w:rFonts w:ascii="Georgia" w:hAnsi="Georgia"/>
          <w:szCs w:val="22"/>
        </w:rPr>
        <w:t>Prezentace loga agentury</w:t>
      </w:r>
      <w:r w:rsidR="009A40FB">
        <w:rPr>
          <w:rFonts w:ascii="Georgia" w:hAnsi="Georgia"/>
          <w:szCs w:val="22"/>
        </w:rPr>
        <w:t xml:space="preserve"> CzechTourism</w:t>
      </w:r>
      <w:r w:rsidR="00222FBB">
        <w:rPr>
          <w:rFonts w:ascii="Georgia" w:hAnsi="Georgia"/>
          <w:szCs w:val="22"/>
        </w:rPr>
        <w:t xml:space="preserve"> a loga ČSKS</w:t>
      </w:r>
      <w:r w:rsidRPr="00DA5211">
        <w:rPr>
          <w:rFonts w:ascii="Georgia" w:hAnsi="Georgia"/>
          <w:szCs w:val="22"/>
        </w:rPr>
        <w:t xml:space="preserve"> na tištěných materiálech pro závěrečný Gala večer</w:t>
      </w:r>
      <w:r w:rsidR="009A40FB">
        <w:rPr>
          <w:rFonts w:ascii="Georgia" w:hAnsi="Georgia"/>
          <w:szCs w:val="22"/>
        </w:rPr>
        <w:t>.</w:t>
      </w:r>
    </w:p>
    <w:p w:rsidR="009A40FB" w:rsidRDefault="009A40FB" w:rsidP="009A40FB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9A40FB">
        <w:rPr>
          <w:rFonts w:ascii="Georgia" w:hAnsi="Georgia"/>
          <w:szCs w:val="22"/>
        </w:rPr>
        <w:t>Předání Výroční ceny v jedné z kategorií na závěrečném Gala večeru</w:t>
      </w:r>
      <w:r>
        <w:rPr>
          <w:rFonts w:ascii="Georgia" w:hAnsi="Georgia"/>
          <w:szCs w:val="22"/>
        </w:rPr>
        <w:t>.</w:t>
      </w:r>
    </w:p>
    <w:p w:rsidR="009A40FB" w:rsidRDefault="009A40FB" w:rsidP="009A40FB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9A40FB">
        <w:rPr>
          <w:rFonts w:ascii="Georgia" w:hAnsi="Georgia"/>
          <w:szCs w:val="22"/>
        </w:rPr>
        <w:t>Prezentace značky ČSKS formou distribuce propagačních materiálů a společná podpora klasifikace HSU</w:t>
      </w:r>
      <w:r>
        <w:rPr>
          <w:rFonts w:ascii="Georgia" w:hAnsi="Georgia"/>
          <w:szCs w:val="22"/>
        </w:rPr>
        <w:t>.</w:t>
      </w:r>
    </w:p>
    <w:p w:rsidR="009A40FB" w:rsidRDefault="009A40FB" w:rsidP="009A40FB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9A40FB">
        <w:rPr>
          <w:rFonts w:ascii="Georgia" w:hAnsi="Georgia"/>
          <w:szCs w:val="22"/>
        </w:rPr>
        <w:t>Informace o účasti</w:t>
      </w:r>
      <w:r>
        <w:rPr>
          <w:rFonts w:ascii="Georgia" w:hAnsi="Georgia"/>
          <w:szCs w:val="22"/>
        </w:rPr>
        <w:t xml:space="preserve"> agentury</w:t>
      </w:r>
      <w:r w:rsidRPr="009A40FB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>CzechTourism</w:t>
      </w:r>
      <w:r w:rsidRPr="009A40FB">
        <w:rPr>
          <w:rFonts w:ascii="Georgia" w:hAnsi="Georgia"/>
          <w:szCs w:val="22"/>
        </w:rPr>
        <w:t xml:space="preserve"> na konferenci ve zpravodaji AHR FORUM po ukončení akce + příspěvky do odborných časopisů</w:t>
      </w:r>
      <w:r>
        <w:rPr>
          <w:rFonts w:ascii="Georgia" w:hAnsi="Georgia"/>
          <w:szCs w:val="22"/>
        </w:rPr>
        <w:t>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:rsidR="002D52A9" w:rsidRPr="003E437E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 w:rsidR="000E22C2">
        <w:rPr>
          <w:rFonts w:ascii="Georgia" w:hAnsi="Georgia"/>
          <w:szCs w:val="22"/>
        </w:rPr>
        <w:t>plnění</w:t>
      </w:r>
      <w:r w:rsidRPr="001C7C8C">
        <w:rPr>
          <w:rFonts w:ascii="Georgia" w:hAnsi="Georgia"/>
          <w:szCs w:val="22"/>
        </w:rPr>
        <w:t xml:space="preserve">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>
        <w:rPr>
          <w:rFonts w:ascii="Georgia" w:hAnsi="Georgia"/>
          <w:szCs w:val="22"/>
        </w:rPr>
        <w:t>dodavatel</w:t>
      </w:r>
      <w:r w:rsidR="00494608">
        <w:rPr>
          <w:rFonts w:ascii="Georgia" w:hAnsi="Georgia"/>
          <w:szCs w:val="22"/>
        </w:rPr>
        <w:t xml:space="preserve">i odměnu ve </w:t>
      </w:r>
      <w:r w:rsidR="00494608" w:rsidRPr="00494608">
        <w:rPr>
          <w:rFonts w:ascii="Georgia" w:hAnsi="Georgia"/>
          <w:szCs w:val="22"/>
        </w:rPr>
        <w:t>výši</w:t>
      </w:r>
      <w:r w:rsidR="002D52A9">
        <w:rPr>
          <w:rFonts w:ascii="Georgia" w:hAnsi="Georgia"/>
          <w:szCs w:val="22"/>
        </w:rPr>
        <w:t xml:space="preserve"> </w:t>
      </w:r>
      <w:r w:rsidR="004513E0">
        <w:rPr>
          <w:rFonts w:ascii="Georgia" w:hAnsi="Georgia"/>
          <w:szCs w:val="22"/>
        </w:rPr>
        <w:t>19</w:t>
      </w:r>
      <w:r w:rsidR="00F640E1">
        <w:rPr>
          <w:rFonts w:ascii="Georgia" w:hAnsi="Georgia"/>
          <w:szCs w:val="22"/>
        </w:rPr>
        <w:t>9</w:t>
      </w:r>
      <w:r w:rsidR="000E22C2" w:rsidRPr="000E22C2">
        <w:rPr>
          <w:rFonts w:ascii="Georgia" w:hAnsi="Georgia"/>
          <w:szCs w:val="22"/>
        </w:rPr>
        <w:t xml:space="preserve"> </w:t>
      </w:r>
      <w:r w:rsidR="00F640E1">
        <w:rPr>
          <w:rFonts w:ascii="Georgia" w:hAnsi="Georgia"/>
          <w:szCs w:val="22"/>
        </w:rPr>
        <w:t>999</w:t>
      </w:r>
      <w:r w:rsidR="001C7C8C" w:rsidRPr="000E22C2">
        <w:rPr>
          <w:rFonts w:ascii="Georgia" w:hAnsi="Georgia"/>
          <w:szCs w:val="22"/>
        </w:rPr>
        <w:t>,-</w:t>
      </w:r>
      <w:r w:rsidR="001C7C8C" w:rsidRPr="00494608">
        <w:rPr>
          <w:rFonts w:ascii="Georgia" w:hAnsi="Georgia"/>
          <w:szCs w:val="22"/>
        </w:rPr>
        <w:t xml:space="preserve"> Kč bez DPH</w:t>
      </w:r>
      <w:r w:rsidR="001E6811">
        <w:rPr>
          <w:rFonts w:ascii="Georgia" w:hAnsi="Georgia"/>
          <w:szCs w:val="22"/>
        </w:rPr>
        <w:t xml:space="preserve"> (</w:t>
      </w:r>
      <w:r w:rsidR="00F640E1">
        <w:rPr>
          <w:rFonts w:ascii="Georgia" w:hAnsi="Georgia"/>
          <w:szCs w:val="22"/>
        </w:rPr>
        <w:t>241 998,79</w:t>
      </w:r>
      <w:r w:rsidR="001E6811">
        <w:rPr>
          <w:rFonts w:ascii="Georgia" w:hAnsi="Georgia"/>
          <w:szCs w:val="22"/>
        </w:rPr>
        <w:t>,- Kč vč. DPH)</w:t>
      </w:r>
      <w:r w:rsidR="000E22C2">
        <w:rPr>
          <w:rFonts w:ascii="Georgia" w:hAnsi="Georgia"/>
          <w:szCs w:val="22"/>
        </w:rPr>
        <w:t>.</w:t>
      </w:r>
      <w:r w:rsidR="001C7C8C">
        <w:rPr>
          <w:rFonts w:ascii="Georgia" w:hAnsi="Georgia"/>
          <w:szCs w:val="22"/>
        </w:rPr>
        <w:t xml:space="preserve"> </w:t>
      </w:r>
      <w:r w:rsidR="000E22C2">
        <w:rPr>
          <w:rFonts w:ascii="Georgia" w:hAnsi="Georgia"/>
          <w:szCs w:val="22"/>
        </w:rPr>
        <w:t>J</w:t>
      </w:r>
      <w:r w:rsidR="001C7C8C">
        <w:rPr>
          <w:rFonts w:ascii="Georgia" w:hAnsi="Georgia"/>
          <w:szCs w:val="22"/>
        </w:rPr>
        <w:t>edná se o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5F69B6" w:rsidRDefault="001C7C8C" w:rsidP="007D533E">
      <w:pPr>
        <w:pStyle w:val="Text0"/>
        <w:numPr>
          <w:ilvl w:val="0"/>
          <w:numId w:val="19"/>
        </w:numPr>
        <w:ind w:left="709" w:hanging="709"/>
        <w:jc w:val="both"/>
        <w:rPr>
          <w:rFonts w:ascii="Georgia" w:hAnsi="Georgia"/>
          <w:szCs w:val="22"/>
        </w:rPr>
      </w:pPr>
      <w:r w:rsidRPr="00A24C3A">
        <w:rPr>
          <w:rFonts w:ascii="Georgia" w:hAnsi="Georgia"/>
          <w:szCs w:val="22"/>
        </w:rPr>
        <w:t xml:space="preserve">Dohodnutá </w:t>
      </w:r>
      <w:r w:rsidR="00A24C3A" w:rsidRPr="00A24C3A">
        <w:rPr>
          <w:rFonts w:ascii="Georgia" w:hAnsi="Georgia"/>
          <w:szCs w:val="22"/>
        </w:rPr>
        <w:t>odměna za poskytnuté služby bude</w:t>
      </w:r>
      <w:r w:rsidR="00222FBB">
        <w:rPr>
          <w:rFonts w:ascii="Georgia" w:hAnsi="Georgia"/>
          <w:szCs w:val="22"/>
        </w:rPr>
        <w:t xml:space="preserve"> </w:t>
      </w:r>
      <w:r w:rsidR="00222FBB" w:rsidRPr="00222FBB">
        <w:rPr>
          <w:rFonts w:ascii="Georgia" w:hAnsi="Georgia"/>
          <w:szCs w:val="22"/>
        </w:rPr>
        <w:t>Objednatelem u</w:t>
      </w:r>
      <w:r w:rsidR="00222FBB">
        <w:rPr>
          <w:rFonts w:ascii="Georgia" w:hAnsi="Georgia"/>
          <w:szCs w:val="22"/>
        </w:rPr>
        <w:t>hrazena</w:t>
      </w:r>
      <w:r w:rsidR="00222FBB" w:rsidRPr="00222FBB">
        <w:rPr>
          <w:rFonts w:ascii="Georgia" w:hAnsi="Georgia"/>
          <w:szCs w:val="22"/>
        </w:rPr>
        <w:t xml:space="preserve"> po dokončení </w:t>
      </w:r>
      <w:r w:rsidR="00222FBB">
        <w:rPr>
          <w:rFonts w:ascii="Georgia" w:hAnsi="Georgia"/>
          <w:szCs w:val="22"/>
        </w:rPr>
        <w:t>plnění</w:t>
      </w:r>
      <w:r w:rsidR="00222FBB" w:rsidRPr="00222FBB">
        <w:rPr>
          <w:rFonts w:ascii="Georgia" w:hAnsi="Georgia"/>
          <w:szCs w:val="22"/>
        </w:rPr>
        <w:t xml:space="preserve"> a po předání závěrečné zprávy v min</w:t>
      </w:r>
      <w:r w:rsidR="00222FBB">
        <w:rPr>
          <w:rFonts w:ascii="Georgia" w:hAnsi="Georgia"/>
          <w:szCs w:val="22"/>
        </w:rPr>
        <w:t>imálním rozsahu 2</w:t>
      </w:r>
      <w:r w:rsidR="00222FBB" w:rsidRPr="00222FBB">
        <w:rPr>
          <w:rFonts w:ascii="Georgia" w:hAnsi="Georgia"/>
          <w:szCs w:val="22"/>
        </w:rPr>
        <w:t xml:space="preserve"> A4 včetně podrobné fotodokumentace a ukázek plnění zpracované Dodavatelem po skončení akce, a to na základ</w:t>
      </w:r>
      <w:r w:rsidR="00222FBB">
        <w:rPr>
          <w:rFonts w:ascii="Georgia" w:hAnsi="Georgia"/>
          <w:szCs w:val="22"/>
        </w:rPr>
        <w:t>ě faktury vystavené Dodavatelem</w:t>
      </w:r>
      <w:r w:rsidR="00A24C3A" w:rsidRPr="00DB76FA">
        <w:rPr>
          <w:rFonts w:ascii="Georgia" w:hAnsi="Georgia"/>
          <w:szCs w:val="22"/>
        </w:rPr>
        <w:t xml:space="preserve">. </w:t>
      </w:r>
      <w:bookmarkStart w:id="31" w:name="_Toc203291568"/>
      <w:bookmarkStart w:id="32" w:name="_Toc203292588"/>
      <w:bookmarkStart w:id="33" w:name="_Toc203306977"/>
      <w:bookmarkStart w:id="34" w:name="_Toc204476145"/>
      <w:bookmarkStart w:id="35" w:name="_Toc235235104"/>
      <w:bookmarkStart w:id="36" w:name="_Toc238266055"/>
      <w:bookmarkStart w:id="37" w:name="_Toc240357474"/>
      <w:bookmarkStart w:id="38" w:name="_Toc240444510"/>
      <w:bookmarkStart w:id="39" w:name="_Toc240703976"/>
      <w:bookmarkStart w:id="40" w:name="_Toc240704350"/>
      <w:bookmarkStart w:id="41" w:name="_Toc240792067"/>
      <w:bookmarkStart w:id="42" w:name="_Toc240792927"/>
      <w:bookmarkStart w:id="43" w:name="_Toc241496091"/>
      <w:bookmarkStart w:id="44" w:name="_Toc241501192"/>
      <w:bookmarkStart w:id="45" w:name="_Toc241501589"/>
      <w:bookmarkStart w:id="46" w:name="_Toc241657906"/>
      <w:bookmarkStart w:id="47" w:name="_Toc243380729"/>
      <w:bookmarkStart w:id="48" w:name="_Toc274231386"/>
      <w:bookmarkStart w:id="49" w:name="_Toc274234503"/>
      <w:r w:rsidR="000E22C2">
        <w:rPr>
          <w:rFonts w:ascii="Georgia" w:hAnsi="Georgia"/>
          <w:szCs w:val="22"/>
        </w:rPr>
        <w:t xml:space="preserve">Faktura bude mít splatnost </w:t>
      </w:r>
      <w:r w:rsidR="00222FBB">
        <w:rPr>
          <w:rFonts w:ascii="Georgia" w:hAnsi="Georgia"/>
          <w:szCs w:val="22"/>
        </w:rPr>
        <w:t xml:space="preserve">minimálně </w:t>
      </w:r>
      <w:r w:rsidR="00236FB2">
        <w:rPr>
          <w:rFonts w:ascii="Georgia" w:hAnsi="Georgia"/>
          <w:szCs w:val="22"/>
        </w:rPr>
        <w:t>30</w:t>
      </w:r>
      <w:r w:rsidR="000E22C2">
        <w:rPr>
          <w:rFonts w:ascii="Georgia" w:hAnsi="Georgia"/>
          <w:szCs w:val="22"/>
        </w:rPr>
        <w:t xml:space="preserve"> dní</w:t>
      </w:r>
      <w:r w:rsidR="00236FB2">
        <w:rPr>
          <w:rFonts w:ascii="Georgia" w:hAnsi="Georgia"/>
          <w:szCs w:val="22"/>
        </w:rPr>
        <w:t xml:space="preserve"> od jejího vystavení</w:t>
      </w:r>
      <w:r w:rsidR="000E22C2">
        <w:rPr>
          <w:rFonts w:ascii="Georgia" w:hAnsi="Georgia"/>
          <w:szCs w:val="22"/>
        </w:rPr>
        <w:t>.</w:t>
      </w:r>
      <w:r w:rsidR="00222FBB">
        <w:rPr>
          <w:rFonts w:ascii="Georgia" w:hAnsi="Georgia"/>
          <w:szCs w:val="22"/>
        </w:rPr>
        <w:t xml:space="preserve"> </w:t>
      </w:r>
      <w:r w:rsidR="00222FBB" w:rsidRPr="00222FBB">
        <w:rPr>
          <w:rFonts w:ascii="Georgia" w:hAnsi="Georgia"/>
          <w:szCs w:val="22"/>
        </w:rPr>
        <w:t>Dodavatel je povinen doručit Objednateli fakturu alespoň 20 dnů přede dnem její splatnosti, jinak se přiměřeně posouvá termín splatnosti.</w:t>
      </w:r>
    </w:p>
    <w:p w:rsidR="00222FBB" w:rsidRPr="00222FBB" w:rsidRDefault="00222FBB" w:rsidP="00A22598">
      <w:pPr>
        <w:pStyle w:val="Text0"/>
        <w:numPr>
          <w:ilvl w:val="0"/>
          <w:numId w:val="31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Veškeré platby dle této Smlouvy budou probíhat výlučně bezhotovostním</w:t>
      </w:r>
      <w:r w:rsidRPr="00222FBB">
        <w:rPr>
          <w:rFonts w:ascii="Georgia" w:hAnsi="Georgia"/>
          <w:szCs w:val="22"/>
        </w:rPr>
        <w:br/>
        <w:t>převodem v české měně.</w:t>
      </w:r>
    </w:p>
    <w:p w:rsidR="00222FBB" w:rsidRPr="00222FBB" w:rsidRDefault="00222FBB" w:rsidP="00A22598">
      <w:pPr>
        <w:pStyle w:val="Text0"/>
        <w:numPr>
          <w:ilvl w:val="0"/>
          <w:numId w:val="32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Faktura dle této Smlouvy musí obsahovat přesné označení Objednatele a číslo smlouvy v souladu s informacemi uvedenými v záhlaví této smlouvy, a dále musí obsahovat požadavek na způsob provedení platby, bankovní spojení a datum splatnosti. V případě, že faktura doručená Objednateli nebude obsahovat některou z předepsaných náležitostí, nebo ji bude obsahovat chybně, je Objednatel oprávněn vrátit tuto fakturu Dodavateli. Lhůta splatnosti se v takovém případě přerušuje a počíná znovu běžet až od vystavení opravené či doplněné faktury.</w:t>
      </w: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Pr="000E22C2" w:rsidRDefault="00A24C3A" w:rsidP="007D533E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50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0E22C2" w:rsidRPr="000E22C2">
        <w:rPr>
          <w:rFonts w:ascii="Georgia" w:hAnsi="Georgia"/>
          <w:szCs w:val="22"/>
        </w:rPr>
        <w:t>Česk</w:t>
      </w:r>
      <w:r w:rsidR="00F640E1">
        <w:rPr>
          <w:rFonts w:ascii="Georgia" w:hAnsi="Georgia"/>
          <w:szCs w:val="22"/>
        </w:rPr>
        <w:t>á</w:t>
      </w:r>
      <w:r w:rsidR="000E22C2" w:rsidRPr="000E22C2">
        <w:rPr>
          <w:rFonts w:ascii="Georgia" w:hAnsi="Georgia"/>
          <w:szCs w:val="22"/>
        </w:rPr>
        <w:t xml:space="preserve"> republik</w:t>
      </w:r>
      <w:r w:rsidR="00F640E1">
        <w:rPr>
          <w:rFonts w:ascii="Georgia" w:hAnsi="Georgia"/>
          <w:szCs w:val="22"/>
        </w:rPr>
        <w:t>a</w:t>
      </w:r>
      <w:r w:rsidRPr="000E22C2">
        <w:rPr>
          <w:rFonts w:ascii="Georgia" w:hAnsi="Georgia"/>
          <w:szCs w:val="22"/>
        </w:rPr>
        <w:t>.</w:t>
      </w:r>
    </w:p>
    <w:p w:rsidR="003E437E" w:rsidRPr="00677F36" w:rsidRDefault="003E437E" w:rsidP="00222FBB">
      <w:pPr>
        <w:pStyle w:val="Textnadpis1"/>
        <w:keepNext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bookmarkStart w:id="51" w:name="_Toc203291569"/>
      <w:bookmarkStart w:id="52" w:name="_Toc203292589"/>
      <w:bookmarkStart w:id="53" w:name="_Toc203306978"/>
      <w:bookmarkStart w:id="54" w:name="_Toc204476146"/>
      <w:bookmarkStart w:id="55" w:name="_Toc235235105"/>
      <w:bookmarkStart w:id="56" w:name="_Toc238266056"/>
      <w:bookmarkStart w:id="57" w:name="_Toc240357475"/>
      <w:bookmarkStart w:id="58" w:name="_Toc240444511"/>
      <w:bookmarkStart w:id="59" w:name="_Toc240703977"/>
      <w:bookmarkStart w:id="60" w:name="_Toc240704351"/>
      <w:bookmarkStart w:id="61" w:name="_Toc240792068"/>
      <w:bookmarkStart w:id="62" w:name="_Toc240792928"/>
      <w:bookmarkStart w:id="63" w:name="_Toc241496092"/>
      <w:bookmarkStart w:id="64" w:name="_Toc241501193"/>
      <w:bookmarkStart w:id="65" w:name="_Toc241501590"/>
      <w:bookmarkStart w:id="66" w:name="_Toc241657907"/>
      <w:bookmarkStart w:id="67" w:name="_Toc243380730"/>
      <w:bookmarkStart w:id="68" w:name="_Toc274231387"/>
      <w:bookmarkStart w:id="69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Default="003E437E" w:rsidP="003E437E">
      <w:pPr>
        <w:rPr>
          <w:rFonts w:eastAsia="Calibri"/>
          <w:lang w:eastAsia="cs-CZ" w:bidi="ar-SA"/>
        </w:rPr>
      </w:pP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:rsidR="000E22C2" w:rsidRPr="000E22C2" w:rsidRDefault="000E22C2" w:rsidP="000E22C2">
      <w:pPr>
        <w:rPr>
          <w:rFonts w:eastAsia="Calibri"/>
          <w:lang w:eastAsia="cs-CZ" w:bidi="ar-SA"/>
        </w:rPr>
      </w:pPr>
    </w:p>
    <w:p w:rsidR="000E22C2" w:rsidRPr="000E22C2" w:rsidRDefault="000E22C2" w:rsidP="000E22C2">
      <w:pPr>
        <w:ind w:left="705" w:hanging="705"/>
        <w:rPr>
          <w:rFonts w:ascii="Georgia" w:eastAsia="Calibri" w:hAnsi="Georgia"/>
          <w:sz w:val="22"/>
          <w:szCs w:val="22"/>
          <w:lang w:eastAsia="cs-CZ" w:bidi="ar-SA"/>
        </w:rPr>
      </w:pPr>
      <w:r w:rsidRPr="000E22C2">
        <w:rPr>
          <w:rFonts w:ascii="Georgia" w:eastAsia="Calibri" w:hAnsi="Georgia"/>
          <w:sz w:val="22"/>
          <w:szCs w:val="22"/>
          <w:lang w:eastAsia="cs-CZ" w:bidi="ar-SA"/>
        </w:rPr>
        <w:t>5.4</w:t>
      </w:r>
      <w:r>
        <w:rPr>
          <w:rFonts w:ascii="Georgia" w:eastAsia="Calibri" w:hAnsi="Georgia"/>
          <w:sz w:val="22"/>
          <w:szCs w:val="22"/>
          <w:lang w:eastAsia="cs-CZ" w:bidi="ar-SA"/>
        </w:rPr>
        <w:tab/>
      </w:r>
      <w:r>
        <w:rPr>
          <w:rFonts w:ascii="Georgia" w:eastAsia="Calibri" w:hAnsi="Georgia"/>
          <w:sz w:val="22"/>
          <w:szCs w:val="22"/>
          <w:lang w:eastAsia="cs-CZ" w:bidi="ar-SA"/>
        </w:rPr>
        <w:tab/>
        <w:t xml:space="preserve">Osobou odpovědnou za plnění této smlouvy </w:t>
      </w:r>
      <w:r w:rsidR="00FA60E5">
        <w:rPr>
          <w:rFonts w:ascii="Georgia" w:eastAsia="Calibri" w:hAnsi="Georgia"/>
          <w:sz w:val="22"/>
          <w:szCs w:val="22"/>
          <w:lang w:eastAsia="cs-CZ" w:bidi="ar-SA"/>
        </w:rPr>
        <w:t xml:space="preserve">a kontaktní osobou </w:t>
      </w:r>
      <w:r>
        <w:rPr>
          <w:rFonts w:ascii="Georgia" w:eastAsia="Calibri" w:hAnsi="Georgia"/>
          <w:sz w:val="22"/>
          <w:szCs w:val="22"/>
          <w:lang w:eastAsia="cs-CZ" w:bidi="ar-SA"/>
        </w:rPr>
        <w:t xml:space="preserve">je </w:t>
      </w:r>
      <w:r w:rsidR="009A40FB">
        <w:rPr>
          <w:rFonts w:ascii="Georgia" w:eastAsia="Calibri" w:hAnsi="Georgia"/>
          <w:sz w:val="22"/>
          <w:szCs w:val="22"/>
          <w:lang w:eastAsia="cs-CZ" w:bidi="ar-SA"/>
        </w:rPr>
        <w:t>Michaela Pešková</w:t>
      </w:r>
      <w:r w:rsidR="00590B4C">
        <w:rPr>
          <w:rFonts w:ascii="Georgia" w:eastAsia="Calibri" w:hAnsi="Georgia"/>
          <w:sz w:val="22"/>
          <w:szCs w:val="22"/>
          <w:lang w:eastAsia="cs-CZ" w:bidi="ar-SA"/>
        </w:rPr>
        <w:t xml:space="preserve"> </w:t>
      </w:r>
      <w:r w:rsidRPr="00FA60E5">
        <w:rPr>
          <w:rFonts w:ascii="Georgia" w:eastAsia="Calibri" w:hAnsi="Georgia"/>
          <w:sz w:val="22"/>
          <w:szCs w:val="22"/>
          <w:lang w:eastAsia="cs-CZ" w:bidi="ar-SA"/>
        </w:rPr>
        <w:t>(</w:t>
      </w:r>
      <w:hyperlink r:id="rId10" w:history="1">
        <w:r w:rsidR="009A40FB" w:rsidRPr="005A6409">
          <w:rPr>
            <w:rStyle w:val="Hypertextovodkaz"/>
            <w:rFonts w:ascii="Georgia" w:eastAsia="Calibri" w:hAnsi="Georgia"/>
            <w:sz w:val="22"/>
            <w:szCs w:val="22"/>
            <w:lang w:eastAsia="cs-CZ" w:bidi="ar-SA"/>
          </w:rPr>
          <w:t>peskova@ahrcr.cz</w:t>
        </w:r>
      </w:hyperlink>
      <w:r w:rsidR="009A40FB">
        <w:rPr>
          <w:rFonts w:ascii="Georgia" w:eastAsia="Calibri" w:hAnsi="Georgia"/>
          <w:sz w:val="22"/>
          <w:szCs w:val="22"/>
          <w:lang w:eastAsia="cs-CZ" w:bidi="ar-SA"/>
        </w:rPr>
        <w:t xml:space="preserve">, </w:t>
      </w:r>
      <w:r w:rsidR="009A40FB" w:rsidRPr="009A40FB">
        <w:rPr>
          <w:rFonts w:ascii="Georgia" w:hAnsi="Georgia"/>
          <w:sz w:val="22"/>
          <w:szCs w:val="22"/>
        </w:rPr>
        <w:t>236 042 319</w:t>
      </w:r>
      <w:r w:rsidRPr="000E22C2">
        <w:rPr>
          <w:rFonts w:ascii="Georgia" w:eastAsia="Calibri" w:hAnsi="Georgia"/>
          <w:sz w:val="22"/>
          <w:szCs w:val="22"/>
          <w:lang w:eastAsia="cs-CZ" w:bidi="ar-SA"/>
        </w:rPr>
        <w:t>).</w:t>
      </w:r>
    </w:p>
    <w:bookmarkEnd w:id="50"/>
    <w:p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B50605" w:rsidRPr="00677F36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>
        <w:rPr>
          <w:rFonts w:ascii="Georgia" w:eastAsia="Calibri" w:hAnsi="Georgia" w:cs="Arial"/>
          <w:b w:val="0"/>
          <w:sz w:val="22"/>
        </w:rPr>
        <w:t>naplnění předmětu smlouvy</w:t>
      </w:r>
      <w:r w:rsidRPr="00677F36">
        <w:rPr>
          <w:rFonts w:ascii="Georgia" w:eastAsia="Calibri" w:hAnsi="Georgia" w:cs="Arial"/>
          <w:b w:val="0"/>
          <w:sz w:val="22"/>
        </w:rPr>
        <w:t xml:space="preserve">. Kontaktní osobou za objednatele je </w:t>
      </w:r>
      <w:r w:rsidR="00E4270F">
        <w:rPr>
          <w:rFonts w:ascii="Georgia" w:eastAsia="Calibri" w:hAnsi="Georgia" w:cs="Arial"/>
          <w:b w:val="0"/>
          <w:sz w:val="22"/>
        </w:rPr>
        <w:t>Adéla Pilařová (</w:t>
      </w:r>
      <w:hyperlink r:id="rId11" w:history="1">
        <w:r w:rsidR="004513E0" w:rsidRPr="00B03DA9">
          <w:rPr>
            <w:rStyle w:val="Hypertextovodkaz"/>
            <w:rFonts w:ascii="Georgia" w:eastAsia="Calibri" w:hAnsi="Georgia" w:cs="Arial"/>
            <w:b w:val="0"/>
            <w:sz w:val="22"/>
          </w:rPr>
          <w:t>pilarova@czechtourism.cz</w:t>
        </w:r>
      </w:hyperlink>
      <w:r w:rsidR="00E4270F">
        <w:rPr>
          <w:rFonts w:ascii="Georgia" w:eastAsia="Calibri" w:hAnsi="Georgia" w:cs="Arial"/>
          <w:b w:val="0"/>
          <w:sz w:val="22"/>
        </w:rPr>
        <w:t>, 221 580 429)</w:t>
      </w:r>
      <w:r w:rsidR="00B50605" w:rsidRPr="00677F36">
        <w:rPr>
          <w:rFonts w:ascii="Georgia" w:eastAsia="Calibri" w:hAnsi="Georgia" w:cs="Arial"/>
          <w:b w:val="0"/>
          <w:sz w:val="22"/>
        </w:rPr>
        <w:t>.</w:t>
      </w:r>
    </w:p>
    <w:p w:rsidR="0007554A" w:rsidRPr="00C72F98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0" w:name="_Toc203291570"/>
      <w:bookmarkStart w:id="71" w:name="_Toc203292590"/>
      <w:bookmarkStart w:id="72" w:name="_Toc203306979"/>
      <w:bookmarkStart w:id="73" w:name="_Toc204476147"/>
      <w:bookmarkStart w:id="74" w:name="_Toc235235106"/>
      <w:bookmarkStart w:id="75" w:name="_Toc238266057"/>
      <w:bookmarkStart w:id="76" w:name="_Toc240357476"/>
      <w:bookmarkStart w:id="77" w:name="_Toc240444512"/>
      <w:bookmarkStart w:id="78" w:name="_Toc240703978"/>
      <w:bookmarkStart w:id="79" w:name="_Toc240704352"/>
      <w:bookmarkStart w:id="80" w:name="_Toc240792069"/>
      <w:bookmarkStart w:id="81" w:name="_Toc240792929"/>
      <w:bookmarkStart w:id="82" w:name="_Toc241496093"/>
      <w:bookmarkStart w:id="83" w:name="_Toc241501194"/>
      <w:bookmarkStart w:id="84" w:name="_Toc241501591"/>
      <w:bookmarkStart w:id="85" w:name="_Toc241657908"/>
      <w:bookmarkStart w:id="86" w:name="_Toc243380731"/>
      <w:bookmarkStart w:id="87" w:name="_Toc274231388"/>
      <w:bookmarkStart w:id="88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89" w:name="_Toc153595140"/>
      <w:bookmarkStart w:id="90" w:name="_Toc153797536"/>
      <w:bookmarkStart w:id="91" w:name="_Toc153797655"/>
      <w:bookmarkStart w:id="92" w:name="_Toc153808372"/>
      <w:bookmarkStart w:id="93" w:name="_Toc153941148"/>
      <w:bookmarkStart w:id="94" w:name="_Toc153941293"/>
      <w:bookmarkStart w:id="95" w:name="_Toc154462850"/>
      <w:bookmarkStart w:id="96" w:name="_Toc163543482"/>
      <w:bookmarkStart w:id="97" w:name="_Toc164137953"/>
      <w:bookmarkStart w:id="98" w:name="_Toc202955385"/>
      <w:bookmarkStart w:id="99" w:name="_Toc203276584"/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7B3F20" w:rsidRPr="001774F6" w:rsidRDefault="007B3F20" w:rsidP="001774F6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7.1</w:t>
      </w:r>
      <w:r>
        <w:rPr>
          <w:rFonts w:ascii="Georgia" w:eastAsia="Calibri" w:hAnsi="Georgia" w:cs="Arial"/>
          <w:b w:val="0"/>
          <w:sz w:val="22"/>
        </w:rPr>
        <w:tab/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7.2</w:t>
      </w:r>
      <w:r>
        <w:rPr>
          <w:rFonts w:ascii="Georgia" w:eastAsia="Calibri" w:hAnsi="Georgia" w:cs="Arial"/>
          <w:b w:val="0"/>
          <w:sz w:val="22"/>
        </w:rPr>
        <w:tab/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4513E0">
      <w:pPr>
        <w:pStyle w:val="Textnadpis1"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B50605" w:rsidRPr="00B50605" w:rsidRDefault="00394F38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 to </w:t>
      </w:r>
      <w:r w:rsidR="003E4B01">
        <w:rPr>
          <w:rFonts w:ascii="Georgia" w:hAnsi="Georgia"/>
          <w:b w:val="0"/>
          <w:sz w:val="22"/>
          <w:szCs w:val="22"/>
        </w:rPr>
        <w:t xml:space="preserve">do </w:t>
      </w:r>
      <w:r w:rsidR="009A40FB">
        <w:rPr>
          <w:rFonts w:ascii="Georgia" w:hAnsi="Georgia"/>
          <w:b w:val="0"/>
          <w:sz w:val="22"/>
          <w:szCs w:val="22"/>
        </w:rPr>
        <w:t>1</w:t>
      </w:r>
      <w:r w:rsidR="003E4B01">
        <w:rPr>
          <w:rFonts w:ascii="Georgia" w:hAnsi="Georgia"/>
          <w:b w:val="0"/>
          <w:sz w:val="22"/>
          <w:szCs w:val="22"/>
        </w:rPr>
        <w:t>. 1</w:t>
      </w:r>
      <w:r w:rsidR="009A40FB">
        <w:rPr>
          <w:rFonts w:ascii="Georgia" w:hAnsi="Georgia"/>
          <w:b w:val="0"/>
          <w:sz w:val="22"/>
          <w:szCs w:val="22"/>
        </w:rPr>
        <w:t>2</w:t>
      </w:r>
      <w:r w:rsidR="003E4B01">
        <w:rPr>
          <w:rFonts w:ascii="Georgia" w:hAnsi="Georgia"/>
          <w:b w:val="0"/>
          <w:sz w:val="22"/>
          <w:szCs w:val="22"/>
        </w:rPr>
        <w:t>. 201</w:t>
      </w:r>
      <w:r w:rsidR="009A40FB">
        <w:rPr>
          <w:rFonts w:ascii="Georgia" w:hAnsi="Georgia"/>
          <w:b w:val="0"/>
          <w:sz w:val="22"/>
          <w:szCs w:val="22"/>
        </w:rPr>
        <w:t>7</w:t>
      </w:r>
      <w:r w:rsidR="003E4B01">
        <w:rPr>
          <w:rFonts w:ascii="Georgia" w:hAnsi="Georgia"/>
          <w:b w:val="0"/>
          <w:sz w:val="22"/>
          <w:szCs w:val="22"/>
        </w:rPr>
        <w:t>.</w:t>
      </w:r>
    </w:p>
    <w:p w:rsidR="005D45DE" w:rsidRDefault="00160CF6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E236A9">
        <w:rPr>
          <w:rFonts w:ascii="Georgia" w:hAnsi="Georgia"/>
          <w:b w:val="0"/>
          <w:sz w:val="22"/>
          <w:szCs w:val="22"/>
        </w:rPr>
        <w:t>jednatel může</w:t>
      </w:r>
      <w:r w:rsidRPr="00B50605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</w:t>
      </w:r>
      <w:r w:rsidR="00DB76FA">
        <w:rPr>
          <w:rFonts w:ascii="Georgia" w:hAnsi="Georgia"/>
          <w:b w:val="0"/>
          <w:sz w:val="22"/>
          <w:szCs w:val="22"/>
        </w:rPr>
        <w:t>10 dní</w:t>
      </w:r>
      <w:r w:rsidR="00DB76FA" w:rsidRPr="00B50605">
        <w:rPr>
          <w:rFonts w:ascii="Georgia" w:hAnsi="Georgia"/>
          <w:b w:val="0"/>
          <w:sz w:val="22"/>
          <w:szCs w:val="22"/>
        </w:rPr>
        <w:t xml:space="preserve"> </w:t>
      </w:r>
      <w:r w:rsidRPr="00B50605">
        <w:rPr>
          <w:rFonts w:ascii="Georgia" w:hAnsi="Georgia"/>
          <w:b w:val="0"/>
          <w:sz w:val="22"/>
          <w:szCs w:val="22"/>
        </w:rPr>
        <w:t>a počíná běžet ode dne doručení výpovědi.</w:t>
      </w:r>
    </w:p>
    <w:p w:rsid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8B2746" w:rsidRP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Pr="005D45DE">
        <w:rPr>
          <w:rFonts w:ascii="Georgia" w:hAnsi="Georgia"/>
          <w:b w:val="0"/>
          <w:sz w:val="22"/>
          <w:szCs w:val="22"/>
        </w:rPr>
        <w:t xml:space="preserve">. </w:t>
      </w:r>
    </w:p>
    <w:p w:rsidR="008B2746" w:rsidRPr="005D45DE" w:rsidRDefault="00CD3AC1" w:rsidP="004513E0">
      <w:pPr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>prodlení s plnění</w:t>
      </w:r>
      <w:r w:rsidR="005D45DE">
        <w:rPr>
          <w:rFonts w:ascii="Georgia" w:hAnsi="Georgia"/>
          <w:szCs w:val="22"/>
        </w:rPr>
        <w:t>m</w:t>
      </w:r>
      <w:r w:rsidRPr="005D45DE">
        <w:rPr>
          <w:rFonts w:ascii="Georgia" w:hAnsi="Georgia"/>
          <w:szCs w:val="22"/>
        </w:rPr>
        <w:t xml:space="preserve"> dle této Smlouvy po dobu delší než </w:t>
      </w:r>
      <w:r w:rsidR="003E4B01">
        <w:rPr>
          <w:rFonts w:ascii="Georgia" w:hAnsi="Georgia"/>
          <w:szCs w:val="22"/>
        </w:rPr>
        <w:t>20</w:t>
      </w:r>
      <w:r w:rsidR="005D45DE">
        <w:rPr>
          <w:rFonts w:ascii="Georgia" w:hAnsi="Georgia"/>
          <w:szCs w:val="22"/>
        </w:rPr>
        <w:t xml:space="preserve"> d</w:t>
      </w:r>
      <w:r w:rsidRPr="005D45DE">
        <w:rPr>
          <w:rFonts w:ascii="Georgia" w:hAnsi="Georgia"/>
          <w:szCs w:val="22"/>
        </w:rPr>
        <w:t>nů,</w:t>
      </w:r>
    </w:p>
    <w:p w:rsidR="008B2746" w:rsidRP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 xml:space="preserve">provádění plnění </w:t>
      </w:r>
      <w:r w:rsidR="008B2746" w:rsidRPr="005D45DE">
        <w:rPr>
          <w:rFonts w:ascii="Georgia" w:hAnsi="Georgia"/>
          <w:szCs w:val="22"/>
        </w:rPr>
        <w:t xml:space="preserve">smlouvy </w:t>
      </w:r>
      <w:r w:rsidRPr="005D45DE">
        <w:rPr>
          <w:rFonts w:ascii="Georgia" w:hAnsi="Georgia"/>
          <w:szCs w:val="22"/>
        </w:rPr>
        <w:t>v rozporu s</w:t>
      </w:r>
      <w:r w:rsidR="008B2746" w:rsidRPr="005D45DE">
        <w:rPr>
          <w:rFonts w:ascii="Georgia" w:hAnsi="Georgia"/>
          <w:szCs w:val="22"/>
        </w:rPr>
        <w:t> pokyny o</w:t>
      </w:r>
      <w:r w:rsidRPr="005D45DE">
        <w:rPr>
          <w:rFonts w:ascii="Georgia" w:hAnsi="Georgia"/>
          <w:szCs w:val="22"/>
        </w:rPr>
        <w:t>bjednatele</w:t>
      </w:r>
      <w:r w:rsidR="00CC7487" w:rsidRPr="005D45DE">
        <w:rPr>
          <w:rFonts w:ascii="Georgia" w:hAnsi="Georgia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Cs w:val="22"/>
        </w:rPr>
        <w:t>ě</w:t>
      </w:r>
      <w:r w:rsidR="00CC7487" w:rsidRPr="005D45DE">
        <w:rPr>
          <w:rFonts w:ascii="Georgia" w:hAnsi="Georgia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Cs w:val="22"/>
        </w:rPr>
        <w:t>.</w:t>
      </w:r>
      <w:r w:rsidR="00CC7487" w:rsidRPr="005D45DE">
        <w:rPr>
          <w:rFonts w:ascii="Georgia" w:hAnsi="Georgia"/>
          <w:szCs w:val="22"/>
        </w:rPr>
        <w:t xml:space="preserve"> 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druhé</w:t>
      </w:r>
      <w:r w:rsidR="00CC7487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5D45DE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povinen neprodleně předat o</w:t>
      </w:r>
      <w:r w:rsidRPr="005D45DE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objednatele má dodavatel</w:t>
      </w:r>
      <w:r w:rsidRPr="005D45DE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>
        <w:rPr>
          <w:rFonts w:ascii="Georgia" w:hAnsi="Georgia"/>
          <w:b w:val="0"/>
          <w:sz w:val="22"/>
          <w:szCs w:val="22"/>
        </w:rPr>
        <w:t>c</w:t>
      </w:r>
      <w:r w:rsidRPr="005D45DE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dodavatele m</w:t>
      </w:r>
      <w:r w:rsidRPr="005D45DE">
        <w:rPr>
          <w:rFonts w:ascii="Georgia" w:hAnsi="Georgia"/>
          <w:b w:val="0"/>
          <w:sz w:val="22"/>
          <w:szCs w:val="22"/>
        </w:rPr>
        <w:t xml:space="preserve">á </w:t>
      </w:r>
      <w:r w:rsidR="00CC7487">
        <w:rPr>
          <w:rFonts w:ascii="Georgia" w:hAnsi="Georgia"/>
          <w:b w:val="0"/>
          <w:sz w:val="22"/>
          <w:szCs w:val="22"/>
        </w:rPr>
        <w:t>dodavate</w:t>
      </w:r>
      <w:r w:rsidRPr="005D45DE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:rsidR="00F8467D" w:rsidRPr="004513E0" w:rsidRDefault="00160CF6" w:rsidP="004513E0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2D52A9" w:rsidRDefault="002D52A9" w:rsidP="004513E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4513E0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EB0900" w:rsidRPr="00EB0900" w:rsidRDefault="00CC7487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EB0900">
        <w:rPr>
          <w:rFonts w:ascii="Georgia" w:hAnsi="Georgia"/>
          <w:b w:val="0"/>
          <w:sz w:val="22"/>
          <w:szCs w:val="22"/>
        </w:rPr>
        <w:t>prodlení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s předáním díla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EB0900">
        <w:rPr>
          <w:rFonts w:ascii="Georgia" w:hAnsi="Georgia"/>
          <w:b w:val="0"/>
          <w:sz w:val="22"/>
          <w:szCs w:val="22"/>
        </w:rPr>
        <w:t>za každý den prodlení s</w:t>
      </w:r>
      <w:r w:rsidR="008B2746" w:rsidRPr="00EB0900">
        <w:rPr>
          <w:rFonts w:ascii="Georgia" w:hAnsi="Georgia"/>
          <w:b w:val="0"/>
          <w:sz w:val="22"/>
          <w:szCs w:val="22"/>
        </w:rPr>
        <w:t xml:space="preserve"> plněním této smlouvy. 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:rsidR="006F00EC" w:rsidRPr="00F8467D" w:rsidRDefault="00EA097F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B50605" w:rsidRPr="00677F36" w:rsidRDefault="00160CF6" w:rsidP="0079572E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677F36" w:rsidRPr="00677F36" w:rsidRDefault="00677F36" w:rsidP="0079572E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p w:rsidR="00E4713A" w:rsidRDefault="00E4713A" w:rsidP="00E62DA9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20"/>
        <w:jc w:val="both"/>
        <w:rPr>
          <w:rFonts w:ascii="Georgia" w:hAnsi="Georgia"/>
          <w:szCs w:val="22"/>
        </w:rPr>
      </w:pPr>
    </w:p>
    <w:p w:rsidR="00E62DA9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/>
          <w:szCs w:val="22"/>
        </w:rPr>
      </w:pPr>
    </w:p>
    <w:p w:rsidR="00E62DA9" w:rsidRPr="005F69B6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</w:p>
    <w:p w:rsidR="0007554A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  <w:r w:rsidRPr="00E62DA9">
        <w:rPr>
          <w:rFonts w:ascii="Georgia" w:hAnsi="Georgia" w:cs="Arial"/>
          <w:sz w:val="22"/>
          <w:szCs w:val="22"/>
        </w:rPr>
        <w:t>Za dodavatele:</w:t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/>
          <w:sz w:val="22"/>
          <w:szCs w:val="22"/>
        </w:rPr>
        <w:t>Za objednatele:</w:t>
      </w:r>
    </w:p>
    <w:p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</w:p>
    <w:p w:rsidR="00E62DA9" w:rsidRPr="00E62DA9" w:rsidRDefault="00E62DA9" w:rsidP="00E62DA9">
      <w:pPr>
        <w:pStyle w:val="Textodrkaa"/>
        <w:keepNext/>
        <w:keepLines/>
        <w:numPr>
          <w:ilvl w:val="0"/>
          <w:numId w:val="0"/>
        </w:numPr>
        <w:tabs>
          <w:tab w:val="left" w:pos="3828"/>
        </w:tabs>
        <w:spacing w:before="60" w:line="280" w:lineRule="atLeast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 Praze dne ………………………             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V Praze dne ………………………                     </w:t>
      </w:r>
    </w:p>
    <w:p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:rsidR="00E62DA9" w:rsidRDefault="00E62DA9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</w:t>
      </w:r>
      <w:r>
        <w:rPr>
          <w:rFonts w:ascii="Georgia" w:hAnsi="Georgia" w:cs="Arial"/>
          <w:sz w:val="22"/>
          <w:szCs w:val="22"/>
        </w:rPr>
        <w:tab/>
        <w:t>__________________________</w:t>
      </w:r>
    </w:p>
    <w:p w:rsidR="00E62DA9" w:rsidRDefault="00E62DA9" w:rsidP="00E62DA9">
      <w:pPr>
        <w:keepNext/>
        <w:keepLines/>
        <w:tabs>
          <w:tab w:val="left" w:pos="4962"/>
        </w:tabs>
        <w:spacing w:after="0" w:line="280" w:lineRule="atLeast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Ing. Václav Stárek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Mgr. Aleš Pangrác</w:t>
      </w:r>
    </w:p>
    <w:p w:rsidR="00E62DA9" w:rsidRPr="00E62DA9" w:rsidRDefault="00E62DA9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prezident Asociace hotelů a restaurací ČR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ředitel odboru regionální partnerství a </w:t>
      </w:r>
    </w:p>
    <w:p w:rsidR="00A22598" w:rsidRPr="00A22598" w:rsidRDefault="00E62DA9" w:rsidP="00A22598">
      <w:pPr>
        <w:keepNext/>
        <w:keepLines/>
        <w:tabs>
          <w:tab w:val="left" w:pos="4962"/>
        </w:tabs>
        <w:spacing w:after="0" w:line="280" w:lineRule="atLeast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vztahy B2B</w:t>
      </w:r>
      <w:r w:rsidR="00A22598">
        <w:rPr>
          <w:rFonts w:ascii="Georgia" w:hAnsi="Georgia"/>
          <w:sz w:val="22"/>
          <w:szCs w:val="22"/>
        </w:rPr>
        <w:t>, CzechTourism</w:t>
      </w:r>
    </w:p>
    <w:p w:rsidR="00E62DA9" w:rsidRDefault="00E62DA9" w:rsidP="00E62DA9">
      <w:pPr>
        <w:keepNext/>
        <w:keepLines/>
        <w:tabs>
          <w:tab w:val="left" w:pos="5103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</w:p>
    <w:p w:rsidR="00E62DA9" w:rsidRP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E62DA9" w:rsidRPr="00E62DA9" w:rsidSect="00EA4D52">
      <w:headerReference w:type="default" r:id="rId12"/>
      <w:footerReference w:type="default" r:id="rId13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F3" w:rsidRDefault="00231CF3" w:rsidP="00E1754B">
      <w:pPr>
        <w:spacing w:after="0" w:line="240" w:lineRule="auto"/>
      </w:pPr>
      <w:r>
        <w:separator/>
      </w:r>
    </w:p>
  </w:endnote>
  <w:endnote w:type="continuationSeparator" w:id="0">
    <w:p w:rsidR="00231CF3" w:rsidRDefault="00231CF3" w:rsidP="00E1754B">
      <w:pPr>
        <w:spacing w:after="0" w:line="240" w:lineRule="auto"/>
      </w:pPr>
      <w:r>
        <w:continuationSeparator/>
      </w:r>
    </w:p>
  </w:endnote>
  <w:endnote w:type="continuationNotice" w:id="1">
    <w:p w:rsidR="00231CF3" w:rsidRDefault="00231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1B" w:rsidRPr="0014181B" w:rsidRDefault="0014181B">
    <w:pPr>
      <w:pStyle w:val="Zpat"/>
      <w:jc w:val="right"/>
      <w:rPr>
        <w:rFonts w:ascii="Georgia" w:hAnsi="Georgia"/>
        <w:sz w:val="18"/>
        <w:szCs w:val="18"/>
      </w:rPr>
    </w:pPr>
  </w:p>
  <w:p w:rsidR="0014181B" w:rsidRDefault="00141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F3" w:rsidRDefault="00231CF3" w:rsidP="00E1754B">
      <w:pPr>
        <w:spacing w:after="0" w:line="240" w:lineRule="auto"/>
      </w:pPr>
      <w:r>
        <w:separator/>
      </w:r>
    </w:p>
  </w:footnote>
  <w:footnote w:type="continuationSeparator" w:id="0">
    <w:p w:rsidR="00231CF3" w:rsidRDefault="00231CF3" w:rsidP="00E1754B">
      <w:pPr>
        <w:spacing w:after="0" w:line="240" w:lineRule="auto"/>
      </w:pPr>
      <w:r>
        <w:continuationSeparator/>
      </w:r>
    </w:p>
  </w:footnote>
  <w:footnote w:type="continuationNotice" w:id="1">
    <w:p w:rsidR="00231CF3" w:rsidRDefault="00231C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Times New Roman"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eorgia" w:hAnsi="Georgia" w:cs="Times New Roman" w:hint="default"/>
        <w:b w:val="0"/>
        <w:sz w:val="22"/>
        <w:szCs w:val="22"/>
      </w:rPr>
    </w:lvl>
  </w:abstractNum>
  <w:abstractNum w:abstractNumId="2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>
    <w:nsid w:val="1AC938A7"/>
    <w:multiLevelType w:val="multilevel"/>
    <w:tmpl w:val="0090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B22A1"/>
    <w:multiLevelType w:val="hybridMultilevel"/>
    <w:tmpl w:val="05D407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71766F"/>
    <w:multiLevelType w:val="hybridMultilevel"/>
    <w:tmpl w:val="EFAA02A8"/>
    <w:lvl w:ilvl="0" w:tplc="451A5ED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C62CFD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62CFD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E1E7A"/>
    <w:multiLevelType w:val="multilevel"/>
    <w:tmpl w:val="C882B7AA"/>
    <w:numStyleLink w:val="Headings"/>
  </w:abstractNum>
  <w:abstractNum w:abstractNumId="10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9C7BCF"/>
    <w:multiLevelType w:val="hybridMultilevel"/>
    <w:tmpl w:val="E97E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D5E02A8"/>
    <w:multiLevelType w:val="hybridMultilevel"/>
    <w:tmpl w:val="2B28F802"/>
    <w:lvl w:ilvl="0" w:tplc="E93C49AE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8">
    <w:nsid w:val="4DBB3154"/>
    <w:multiLevelType w:val="multilevel"/>
    <w:tmpl w:val="DF7AE1D2"/>
    <w:lvl w:ilvl="0">
      <w:start w:val="5"/>
      <w:numFmt w:val="none"/>
      <w:lvlText w:val="3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F4C6BCF"/>
    <w:multiLevelType w:val="hybridMultilevel"/>
    <w:tmpl w:val="67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A372F79"/>
    <w:multiLevelType w:val="multilevel"/>
    <w:tmpl w:val="AC2CC0F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4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BDE025F"/>
    <w:multiLevelType w:val="multilevel"/>
    <w:tmpl w:val="C4568946"/>
    <w:lvl w:ilvl="0">
      <w:start w:val="5"/>
      <w:numFmt w:val="none"/>
      <w:lvlText w:val="3.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8E2CDA"/>
    <w:multiLevelType w:val="hybridMultilevel"/>
    <w:tmpl w:val="3FAC2A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9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C9241AD"/>
    <w:multiLevelType w:val="multilevel"/>
    <w:tmpl w:val="D8E42092"/>
    <w:numStyleLink w:val="text"/>
  </w:abstractNum>
  <w:abstractNum w:abstractNumId="31">
    <w:nsid w:val="7F873016"/>
    <w:multiLevelType w:val="multilevel"/>
    <w:tmpl w:val="C2803032"/>
    <w:numStyleLink w:val="numberingtext"/>
  </w:abstractNum>
  <w:num w:numId="1">
    <w:abstractNumId w:val="5"/>
  </w:num>
  <w:num w:numId="2">
    <w:abstractNumId w:val="22"/>
  </w:num>
  <w:num w:numId="3">
    <w:abstractNumId w:val="23"/>
  </w:num>
  <w:num w:numId="4">
    <w:abstractNumId w:val="20"/>
  </w:num>
  <w:num w:numId="5">
    <w:abstractNumId w:val="12"/>
  </w:num>
  <w:num w:numId="6">
    <w:abstractNumId w:val="0"/>
  </w:num>
  <w:num w:numId="7">
    <w:abstractNumId w:val="16"/>
  </w:num>
  <w:num w:numId="8">
    <w:abstractNumId w:val="17"/>
  </w:num>
  <w:num w:numId="9">
    <w:abstractNumId w:val="9"/>
  </w:num>
  <w:num w:numId="10">
    <w:abstractNumId w:val="28"/>
  </w:num>
  <w:num w:numId="11">
    <w:abstractNumId w:val="30"/>
  </w:num>
  <w:num w:numId="12">
    <w:abstractNumId w:val="24"/>
  </w:num>
  <w:num w:numId="13">
    <w:abstractNumId w:val="27"/>
  </w:num>
  <w:num w:numId="14">
    <w:abstractNumId w:val="10"/>
  </w:num>
  <w:num w:numId="15">
    <w:abstractNumId w:val="2"/>
  </w:num>
  <w:num w:numId="16">
    <w:abstractNumId w:val="31"/>
  </w:num>
  <w:num w:numId="17">
    <w:abstractNumId w:val="4"/>
  </w:num>
  <w:num w:numId="18">
    <w:abstractNumId w:val="29"/>
  </w:num>
  <w:num w:numId="19">
    <w:abstractNumId w:val="14"/>
  </w:num>
  <w:num w:numId="20">
    <w:abstractNumId w:val="11"/>
  </w:num>
  <w:num w:numId="21">
    <w:abstractNumId w:val="3"/>
  </w:num>
  <w:num w:numId="22">
    <w:abstractNumId w:val="6"/>
  </w:num>
  <w:num w:numId="23">
    <w:abstractNumId w:val="8"/>
  </w:num>
  <w:num w:numId="24">
    <w:abstractNumId w:val="26"/>
  </w:num>
  <w:num w:numId="25">
    <w:abstractNumId w:val="21"/>
  </w:num>
  <w:num w:numId="26">
    <w:abstractNumId w:val="13"/>
  </w:num>
  <w:num w:numId="27">
    <w:abstractNumId w:val="19"/>
  </w:num>
  <w:num w:numId="28">
    <w:abstractNumId w:val="15"/>
  </w:num>
  <w:num w:numId="29">
    <w:abstractNumId w:val="7"/>
  </w:num>
  <w:num w:numId="30">
    <w:abstractNumId w:val="1"/>
  </w:num>
  <w:num w:numId="31">
    <w:abstractNumId w:val="18"/>
  </w:num>
  <w:num w:numId="3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4988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2EFD"/>
    <w:rsid w:val="000A55D1"/>
    <w:rsid w:val="000A7F80"/>
    <w:rsid w:val="000B26B5"/>
    <w:rsid w:val="000C5E81"/>
    <w:rsid w:val="000C6D8F"/>
    <w:rsid w:val="000D02C8"/>
    <w:rsid w:val="000D1004"/>
    <w:rsid w:val="000E1A9F"/>
    <w:rsid w:val="000E22C2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181B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774F6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E6811"/>
    <w:rsid w:val="001F0856"/>
    <w:rsid w:val="001F2FE6"/>
    <w:rsid w:val="001F3500"/>
    <w:rsid w:val="0020550F"/>
    <w:rsid w:val="00210CEB"/>
    <w:rsid w:val="00222FBB"/>
    <w:rsid w:val="00231CF3"/>
    <w:rsid w:val="00236FB2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468"/>
    <w:rsid w:val="002E2F88"/>
    <w:rsid w:val="002E3B90"/>
    <w:rsid w:val="002E56C5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3B04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D0C7C"/>
    <w:rsid w:val="003D26AA"/>
    <w:rsid w:val="003D29C4"/>
    <w:rsid w:val="003D2D3A"/>
    <w:rsid w:val="003D4E32"/>
    <w:rsid w:val="003E437E"/>
    <w:rsid w:val="003E4B01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13E0"/>
    <w:rsid w:val="0045279C"/>
    <w:rsid w:val="0045450E"/>
    <w:rsid w:val="004573C8"/>
    <w:rsid w:val="00462A8C"/>
    <w:rsid w:val="00467B98"/>
    <w:rsid w:val="00473718"/>
    <w:rsid w:val="00494608"/>
    <w:rsid w:val="004A2624"/>
    <w:rsid w:val="004A2C4C"/>
    <w:rsid w:val="004A76A2"/>
    <w:rsid w:val="004A7DEA"/>
    <w:rsid w:val="004B0533"/>
    <w:rsid w:val="004C3750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6989"/>
    <w:rsid w:val="0054768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0B4C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5D61"/>
    <w:rsid w:val="006A7CB4"/>
    <w:rsid w:val="006B08C9"/>
    <w:rsid w:val="006B570C"/>
    <w:rsid w:val="006D47DE"/>
    <w:rsid w:val="006E0DFE"/>
    <w:rsid w:val="006E2815"/>
    <w:rsid w:val="006E4E8E"/>
    <w:rsid w:val="006E53F3"/>
    <w:rsid w:val="006F00EC"/>
    <w:rsid w:val="006F083A"/>
    <w:rsid w:val="006F12D1"/>
    <w:rsid w:val="006F172C"/>
    <w:rsid w:val="006F7609"/>
    <w:rsid w:val="0070455B"/>
    <w:rsid w:val="00715D1C"/>
    <w:rsid w:val="00731765"/>
    <w:rsid w:val="00733563"/>
    <w:rsid w:val="00733A91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9572E"/>
    <w:rsid w:val="007A04B9"/>
    <w:rsid w:val="007A5B9E"/>
    <w:rsid w:val="007B3F20"/>
    <w:rsid w:val="007B787D"/>
    <w:rsid w:val="007D0E46"/>
    <w:rsid w:val="007D118A"/>
    <w:rsid w:val="007D37BF"/>
    <w:rsid w:val="007D4B91"/>
    <w:rsid w:val="007D533E"/>
    <w:rsid w:val="007E0B69"/>
    <w:rsid w:val="007F2441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74A2A"/>
    <w:rsid w:val="00885B7F"/>
    <w:rsid w:val="008873FE"/>
    <w:rsid w:val="008A2CC8"/>
    <w:rsid w:val="008B2746"/>
    <w:rsid w:val="008C1C5B"/>
    <w:rsid w:val="008C6739"/>
    <w:rsid w:val="008D2586"/>
    <w:rsid w:val="008E0C98"/>
    <w:rsid w:val="008F2F3B"/>
    <w:rsid w:val="008F72FA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93FEC"/>
    <w:rsid w:val="009A40FB"/>
    <w:rsid w:val="009B104A"/>
    <w:rsid w:val="009B287A"/>
    <w:rsid w:val="009B3094"/>
    <w:rsid w:val="009B3397"/>
    <w:rsid w:val="009B4858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2598"/>
    <w:rsid w:val="00A24C3A"/>
    <w:rsid w:val="00A30A65"/>
    <w:rsid w:val="00A3236B"/>
    <w:rsid w:val="00A34A3D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3496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72F98"/>
    <w:rsid w:val="00C81471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6870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6218A"/>
    <w:rsid w:val="00D94121"/>
    <w:rsid w:val="00D94B17"/>
    <w:rsid w:val="00DA441D"/>
    <w:rsid w:val="00DA5211"/>
    <w:rsid w:val="00DB0571"/>
    <w:rsid w:val="00DB28DA"/>
    <w:rsid w:val="00DB338D"/>
    <w:rsid w:val="00DB69AE"/>
    <w:rsid w:val="00DB76FA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236A9"/>
    <w:rsid w:val="00E416DC"/>
    <w:rsid w:val="00E4270F"/>
    <w:rsid w:val="00E42B2C"/>
    <w:rsid w:val="00E46EF8"/>
    <w:rsid w:val="00E4713A"/>
    <w:rsid w:val="00E52A28"/>
    <w:rsid w:val="00E54A3F"/>
    <w:rsid w:val="00E56472"/>
    <w:rsid w:val="00E62322"/>
    <w:rsid w:val="00E62DA9"/>
    <w:rsid w:val="00E653D8"/>
    <w:rsid w:val="00E72B6F"/>
    <w:rsid w:val="00E82C93"/>
    <w:rsid w:val="00EA097F"/>
    <w:rsid w:val="00EA4D52"/>
    <w:rsid w:val="00EA6517"/>
    <w:rsid w:val="00EB0900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6A94"/>
    <w:rsid w:val="00F26C2D"/>
    <w:rsid w:val="00F311F9"/>
    <w:rsid w:val="00F439C2"/>
    <w:rsid w:val="00F448DE"/>
    <w:rsid w:val="00F47458"/>
    <w:rsid w:val="00F52AA4"/>
    <w:rsid w:val="00F56B1A"/>
    <w:rsid w:val="00F63F24"/>
    <w:rsid w:val="00F640E1"/>
    <w:rsid w:val="00F73AEC"/>
    <w:rsid w:val="00F76B00"/>
    <w:rsid w:val="00F810CA"/>
    <w:rsid w:val="00F8467D"/>
    <w:rsid w:val="00F84F90"/>
    <w:rsid w:val="00F86320"/>
    <w:rsid w:val="00F86400"/>
    <w:rsid w:val="00F91301"/>
    <w:rsid w:val="00F922E4"/>
    <w:rsid w:val="00F971DD"/>
    <w:rsid w:val="00FA25F5"/>
    <w:rsid w:val="00FA4440"/>
    <w:rsid w:val="00FA60E5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larova@czechtourism.cz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peskova@ahrcr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A749-0DD4-406E-8AF2-0EC450BCB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F79F9-6F53-4A30-907A-67D717F4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7712</Characters>
  <Application>Microsoft Office Word</Application>
  <DocSecurity>4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9001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2016-11-23T09:51:00Z</cp:lastPrinted>
  <dcterms:created xsi:type="dcterms:W3CDTF">2017-10-13T08:38:00Z</dcterms:created>
  <dcterms:modified xsi:type="dcterms:W3CDTF">2017-10-13T08:38:00Z</dcterms:modified>
</cp:coreProperties>
</file>