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2895D" w14:textId="77777777" w:rsidR="00B67E6D" w:rsidRPr="00B67E6D" w:rsidRDefault="00B67E6D" w:rsidP="00B67E6D">
      <w:pPr>
        <w:widowControl w:val="0"/>
        <w:tabs>
          <w:tab w:val="left" w:pos="4820"/>
          <w:tab w:val="left" w:pos="5387"/>
          <w:tab w:val="left" w:pos="8928"/>
        </w:tabs>
        <w:autoSpaceDE w:val="0"/>
        <w:autoSpaceDN w:val="0"/>
        <w:adjustRightInd w:val="0"/>
        <w:spacing w:after="60" w:line="252" w:lineRule="auto"/>
        <w:rPr>
          <w:rFonts w:ascii="Arial" w:eastAsia="Times New Roman" w:hAnsi="Arial" w:cs="Arial"/>
          <w:sz w:val="8"/>
          <w:szCs w:val="8"/>
          <w:lang w:eastAsia="cs-CZ"/>
        </w:rPr>
      </w:pPr>
    </w:p>
    <w:p w14:paraId="62ECA3AD" w14:textId="77777777" w:rsidR="00B67E6D" w:rsidRPr="00B67E6D" w:rsidRDefault="00B67E6D" w:rsidP="00B67E6D">
      <w:pPr>
        <w:tabs>
          <w:tab w:val="left" w:pos="8928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Smlouva o poskytnutí dotace </w:t>
      </w:r>
    </w:p>
    <w:p w14:paraId="2B501D75" w14:textId="77777777" w:rsidR="00B67E6D" w:rsidRPr="00B67E6D" w:rsidRDefault="00B67E6D" w:rsidP="00B67E6D">
      <w:pPr>
        <w:tabs>
          <w:tab w:val="left" w:pos="892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"/>
          <w:szCs w:val="2"/>
          <w:lang w:eastAsia="cs-CZ"/>
        </w:rPr>
      </w:pPr>
      <w:r w:rsidRPr="00B67E6D">
        <w:rPr>
          <w:rFonts w:ascii="Arial" w:eastAsia="Times New Roman" w:hAnsi="Arial" w:cs="Arial"/>
          <w:b/>
          <w:bCs/>
          <w:color w:val="FFFFFF"/>
          <w:sz w:val="2"/>
          <w:szCs w:val="2"/>
          <w:lang w:eastAsia="cs-CZ"/>
        </w:rPr>
        <w:t>17948185_Lofofora z. s._KUL01-26/189</w:t>
      </w:r>
    </w:p>
    <w:p w14:paraId="3B86E3C7" w14:textId="77777777" w:rsidR="00B67E6D" w:rsidRPr="00B67E6D" w:rsidRDefault="00B67E6D" w:rsidP="00B67E6D">
      <w:pPr>
        <w:tabs>
          <w:tab w:val="left" w:pos="892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i/>
          <w:i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č. D/2171/2026/KUL</w:t>
      </w:r>
    </w:p>
    <w:p w14:paraId="40DD0DB4" w14:textId="77777777" w:rsidR="00B67E6D" w:rsidRPr="00B67E6D" w:rsidRDefault="00B67E6D" w:rsidP="00B67E6D">
      <w:pPr>
        <w:tabs>
          <w:tab w:val="left" w:pos="8928"/>
        </w:tabs>
        <w:autoSpaceDE w:val="0"/>
        <w:autoSpaceDN w:val="0"/>
        <w:adjustRightInd w:val="0"/>
        <w:spacing w:before="72" w:after="120" w:line="276" w:lineRule="auto"/>
        <w:jc w:val="center"/>
        <w:rPr>
          <w:rFonts w:ascii="Arial" w:eastAsia="Times New Roman" w:hAnsi="Arial" w:cs="Arial"/>
          <w:sz w:val="24"/>
          <w:szCs w:val="24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(uzavřená dle § 159 a násl. zákona č. 500/2004 Sb., správní řád, ve znění pozdějších předpisů)</w:t>
      </w:r>
    </w:p>
    <w:p w14:paraId="7B638602" w14:textId="77777777" w:rsidR="00B67E6D" w:rsidRPr="00B67E6D" w:rsidRDefault="00B67E6D" w:rsidP="00B67E6D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mezi:</w:t>
      </w:r>
    </w:p>
    <w:p w14:paraId="3418EFD7" w14:textId="77777777" w:rsidR="00B67E6D" w:rsidRPr="00B67E6D" w:rsidRDefault="00B67E6D" w:rsidP="00B67E6D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122"/>
        <w:gridCol w:w="6940"/>
      </w:tblGrid>
      <w:tr w:rsidR="00B67E6D" w:rsidRPr="00B67E6D" w14:paraId="0070FC78" w14:textId="77777777" w:rsidTr="00AB20C1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3BB5E159" w14:textId="77777777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Poskytovatel dotace: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</w:tcPr>
          <w:p w14:paraId="4B92EFCB" w14:textId="77777777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Zlínský kraj</w:t>
            </w:r>
          </w:p>
          <w:p w14:paraId="5F061E21" w14:textId="77777777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se sídlem ve Zlíně, tř. T. Bati 21, PSČ 761 90</w:t>
            </w:r>
          </w:p>
          <w:p w14:paraId="08BEBA99" w14:textId="77777777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zastupuje: Ivan Láska, člen Rady Zlínského kraje, na základě pověření</w:t>
            </w:r>
          </w:p>
          <w:p w14:paraId="1809348F" w14:textId="77777777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IČO: 70891320</w:t>
            </w:r>
          </w:p>
          <w:p w14:paraId="34321589" w14:textId="77777777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bankovní spojení: Č</w:t>
            </w:r>
            <w:r w:rsidRPr="00B67E6D"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  <w:t>eská spořitelna, a. s., č. ú. 1827552/0800</w:t>
            </w: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br/>
              <w:t>(dále i jen „</w:t>
            </w:r>
            <w:r w:rsidRPr="00B67E6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poskytovatel</w:t>
            </w: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“)</w:t>
            </w:r>
          </w:p>
        </w:tc>
      </w:tr>
    </w:tbl>
    <w:p w14:paraId="099236F4" w14:textId="77777777" w:rsidR="00B67E6D" w:rsidRPr="00B67E6D" w:rsidRDefault="00B67E6D" w:rsidP="00B67E6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a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2122"/>
        <w:gridCol w:w="8051"/>
      </w:tblGrid>
      <w:tr w:rsidR="00B67E6D" w:rsidRPr="00B67E6D" w14:paraId="52864F55" w14:textId="77777777" w:rsidTr="00AB20C1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4952DA53" w14:textId="77777777" w:rsidR="00B67E6D" w:rsidRPr="00B67E6D" w:rsidRDefault="00B67E6D" w:rsidP="00B67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Příjemce dotace:</w:t>
            </w:r>
          </w:p>
        </w:tc>
        <w:tc>
          <w:tcPr>
            <w:tcW w:w="8051" w:type="dxa"/>
            <w:tcBorders>
              <w:top w:val="nil"/>
              <w:left w:val="nil"/>
              <w:bottom w:val="nil"/>
              <w:right w:val="nil"/>
            </w:tcBorders>
          </w:tcPr>
          <w:p w14:paraId="0A8E8386" w14:textId="77777777" w:rsidR="00B67E6D" w:rsidRPr="00B67E6D" w:rsidRDefault="00B67E6D" w:rsidP="00B67E6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Lofofora z. s. </w:t>
            </w:r>
          </w:p>
          <w:p w14:paraId="185873EA" w14:textId="77777777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Sídlo: nám. T. G. Masaryka 1281, 76001 Zlín</w:t>
            </w:r>
          </w:p>
          <w:p w14:paraId="14638F62" w14:textId="77777777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IČO: 17948185</w:t>
            </w:r>
          </w:p>
          <w:p w14:paraId="4A805EFE" w14:textId="7DBC8ADD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typ příjemce: PRÁVNICKÁ </w:t>
            </w:r>
            <w:r w:rsidR="00536822"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OSOBA – spolek</w:t>
            </w:r>
          </w:p>
          <w:p w14:paraId="39C91F8C" w14:textId="715B32DF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zastupuje: Bc. Michal Synovec, </w:t>
            </w:r>
            <w:r w:rsidR="0053682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</w:t>
            </w: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len Rady spolku</w:t>
            </w:r>
          </w:p>
          <w:p w14:paraId="73CC1F90" w14:textId="77777777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bankovní spojení: Raiffeisenbank a.s., č. ú. 1901768003/5500</w:t>
            </w:r>
          </w:p>
          <w:p w14:paraId="78E3D21E" w14:textId="77777777" w:rsidR="00B67E6D" w:rsidRPr="00B67E6D" w:rsidRDefault="00B67E6D" w:rsidP="00B67E6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zapsán: Krajský soud v Brně, oddíl L, vložka 28791</w:t>
            </w:r>
          </w:p>
          <w:p w14:paraId="5700BE03" w14:textId="77777777" w:rsidR="00B67E6D" w:rsidRPr="00B67E6D" w:rsidRDefault="00B67E6D" w:rsidP="00B67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(dále jen „</w:t>
            </w:r>
            <w:r w:rsidRPr="00B67E6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příjemce</w:t>
            </w:r>
            <w:r w:rsidRPr="00B67E6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“)</w:t>
            </w:r>
          </w:p>
        </w:tc>
      </w:tr>
    </w:tbl>
    <w:p w14:paraId="059E4C58" w14:textId="77777777" w:rsidR="00B67E6D" w:rsidRPr="00B67E6D" w:rsidRDefault="00B67E6D" w:rsidP="00B67E6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4E384FE" w14:textId="77777777" w:rsidR="00B67E6D" w:rsidRPr="00B67E6D" w:rsidRDefault="00B67E6D" w:rsidP="00B67E6D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1.  Předmět smlouvy</w:t>
      </w:r>
    </w:p>
    <w:p w14:paraId="4771C084" w14:textId="795F8DE6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1.1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Poskytovatel se zavazuje poskytnout příjemci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neinvestiční</w:t>
      </w:r>
      <w:r w:rsidRPr="00B67E6D">
        <w:rPr>
          <w:rFonts w:ascii="Arial" w:eastAsia="Times New Roman" w:hAnsi="Arial" w:cs="Arial"/>
          <w:i/>
          <w:iCs/>
          <w:color w:val="5B9BD5"/>
          <w:sz w:val="16"/>
          <w:szCs w:val="16"/>
          <w:lang w:eastAsia="cs-CZ"/>
        </w:rPr>
        <w:t xml:space="preserve">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dotaci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 z Fondu Zlínského kraje (dále jen „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dotace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“) do výše 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80</w:t>
      </w:r>
      <w:r w:rsidR="00536822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.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000,- Kč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, (slovy: osmdesát tisíc), současně však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maximálně 24,64</w:t>
      </w:r>
      <w:r w:rsidRPr="00B67E6D">
        <w:rPr>
          <w:rFonts w:ascii="Arial" w:eastAsia="Times New Roman" w:hAnsi="Arial" w:cs="Arial"/>
          <w:b/>
          <w:bCs/>
          <w:caps/>
          <w:sz w:val="20"/>
          <w:szCs w:val="20"/>
          <w:lang w:eastAsia="cs-CZ"/>
        </w:rPr>
        <w:t> 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% celkových způsobilých výdajů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projektu na realizaci akce: „Lofofora Lom 2026 - festival současného umění a hudby“ (dále jen „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projekt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“), evidovaného pod registračním číslem žádosti </w:t>
      </w:r>
      <w:r w:rsidR="00536822">
        <w:rPr>
          <w:rFonts w:ascii="Arial" w:eastAsia="Times New Roman" w:hAnsi="Arial" w:cs="Arial"/>
          <w:sz w:val="20"/>
          <w:szCs w:val="20"/>
          <w:lang w:eastAsia="cs-CZ"/>
        </w:rPr>
        <w:br/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o poskytnutí dotace KUL01-26/189, který je blíže popsán v žádosti o poskytnutí dotace, a který se bude konat ve dnech </w:t>
      </w:r>
      <w:r w:rsidRPr="00B67E6D">
        <w:rPr>
          <w:rFonts w:ascii="Arial" w:eastAsia="Times New Roman" w:hAnsi="Arial" w:cs="Arial"/>
          <w:spacing w:val="-4"/>
          <w:sz w:val="20"/>
          <w:szCs w:val="20"/>
          <w:lang w:eastAsia="cs-CZ"/>
        </w:rPr>
        <w:t>05.09.2026 - 06.09.2026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71F3634A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1.2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Dotace je poskytována na základě Programu na podporu klubové scény, kulturních aktivit a akcí regionálního významu, schváleného Radou Zlínského kraje dne 15. 12. 2025 usnesením č. 1187/R35/25 (dále jen „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program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“).</w:t>
      </w:r>
    </w:p>
    <w:p w14:paraId="2134F7D5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1.3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se zavazuje zrealizovat projekt tak, jak je popsán v žádosti o poskytnutí dotace a v souladu se všemi podmínkami vyhlášeného programu.</w:t>
      </w:r>
    </w:p>
    <w:p w14:paraId="08147A3A" w14:textId="77777777" w:rsidR="00B67E6D" w:rsidRPr="00B67E6D" w:rsidRDefault="00B67E6D" w:rsidP="00B67E6D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2.  Doba realizace</w:t>
      </w:r>
    </w:p>
    <w:p w14:paraId="14A1C05D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2.1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Doba realizace začíná dnem 1. 5. 2026</w:t>
      </w:r>
    </w:p>
    <w:p w14:paraId="1C5D7998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2.2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Doba realizace končí dnem 31. 1. 2027</w:t>
      </w:r>
    </w:p>
    <w:p w14:paraId="490E6C79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2.3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Způsobilé výdaje musí příjemci vzniknout v době realizace a musí jím být uhrazeny způsobem specifikovaným v odst. 4.2. </w:t>
      </w:r>
    </w:p>
    <w:p w14:paraId="496436E6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2.4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Termín konání akce/aktivity/fyzické realizace projektu je 1. 7. 2026 – 31. 12. 2026.</w:t>
      </w:r>
    </w:p>
    <w:p w14:paraId="249AE056" w14:textId="77777777" w:rsidR="00B67E6D" w:rsidRPr="00B67E6D" w:rsidRDefault="00B67E6D" w:rsidP="00B67E6D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3.  Financování projektu</w:t>
      </w:r>
    </w:p>
    <w:p w14:paraId="649D015B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3.1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Dotace bude příjemci poskytnuta na účet uvedený v záhlaví této smlouvy následujícím způsobem: </w:t>
      </w:r>
    </w:p>
    <w:p w14:paraId="7649F026" w14:textId="77777777" w:rsidR="00B67E6D" w:rsidRPr="00B67E6D" w:rsidRDefault="00B67E6D" w:rsidP="00B67E6D">
      <w:pPr>
        <w:autoSpaceDE w:val="0"/>
        <w:autoSpaceDN w:val="0"/>
        <w:adjustRightInd w:val="0"/>
        <w:spacing w:after="60" w:line="240" w:lineRule="auto"/>
        <w:ind w:left="709" w:hanging="142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  <w:t>do 30 pracovních dnů po schválení Závěrečné zprávy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s vyúčtováním dotace předložené příjemcem dle č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 xml:space="preserve">l. 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3.4.</w:t>
      </w:r>
    </w:p>
    <w:p w14:paraId="0D8ED7D2" w14:textId="60F9C739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3.2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Předpokládané celkové způsobilé výdaje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projektu činí </w:t>
      </w:r>
      <w:r w:rsidRPr="00B67E6D">
        <w:rPr>
          <w:rFonts w:ascii="Arial" w:eastAsia="Times New Roman" w:hAnsi="Arial" w:cs="Arial"/>
          <w:b/>
          <w:bCs/>
          <w:spacing w:val="-1"/>
          <w:sz w:val="20"/>
          <w:szCs w:val="20"/>
          <w:lang w:eastAsia="cs-CZ"/>
        </w:rPr>
        <w:t>324</w:t>
      </w:r>
      <w:r w:rsidR="00536822">
        <w:rPr>
          <w:rFonts w:ascii="Arial" w:eastAsia="Times New Roman" w:hAnsi="Arial" w:cs="Arial"/>
          <w:b/>
          <w:bCs/>
          <w:spacing w:val="-1"/>
          <w:sz w:val="20"/>
          <w:szCs w:val="20"/>
          <w:lang w:eastAsia="cs-CZ"/>
        </w:rPr>
        <w:t>.</w:t>
      </w:r>
      <w:r w:rsidRPr="00B67E6D">
        <w:rPr>
          <w:rFonts w:ascii="Arial" w:eastAsia="Times New Roman" w:hAnsi="Arial" w:cs="Arial"/>
          <w:b/>
          <w:bCs/>
          <w:spacing w:val="-1"/>
          <w:sz w:val="20"/>
          <w:szCs w:val="20"/>
          <w:lang w:eastAsia="cs-CZ"/>
        </w:rPr>
        <w:t>685,-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B67E6D">
        <w:rPr>
          <w:rFonts w:ascii="Arial" w:eastAsia="Times New Roman" w:hAnsi="Arial" w:cs="Arial"/>
          <w:b/>
          <w:bCs/>
          <w:spacing w:val="-1"/>
          <w:sz w:val="20"/>
          <w:szCs w:val="20"/>
          <w:lang w:eastAsia="cs-CZ"/>
        </w:rPr>
        <w:t>Kč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. Pokud skutečné celkové způsobilé výdaje projektu překročí výši předpokládaných celkových způsobilých výdajů uvedenou v předchozí větě, uhradí příjemce částku tohoto překročení z vlastních zdrojů. Pokud budou skutečné celkové způsobilé výdaje projektu nižší než předpokládané celkové způsobilé výdaje, dojde ke snížení částky dotace uvedené v č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 xml:space="preserve">l. 1.1 smlouvy tak, aby zůstala zachována procentní hranice celkových způsobilých 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výdajů projektu stanovená v č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 xml:space="preserve">l. 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1.1. </w:t>
      </w:r>
    </w:p>
    <w:p w14:paraId="3BFA4A10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lastRenderedPageBreak/>
        <w:t>3.3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Dojde-li k navýšení skutečných zdrojů financování projektu oproti předpokládaným finančním zdrojům projektu uvedeným v žádosti o poskytnutí dotace, a tyto zdroje překročí skutečné celkové způsobilé výdaje projektu, dojde ke krácení poskytované dotace, a to o částku převyšující 100 % skutečných celkových způsobilých výdajů. </w:t>
      </w:r>
    </w:p>
    <w:p w14:paraId="0BF81930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3.4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Po ukončení doby realizace dle odst. 2.2 je příjemce povinen předložit Odboru kultury a památkové péče Krajského úřadu Zlínského kraje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Závěrečnou zprávu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prostřednictvím datové schránky nebo v listinné podobě, a to nejpozději do 3. 2. 2027.</w:t>
      </w:r>
    </w:p>
    <w:p w14:paraId="47EB03F4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3.5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Závěrečnou zprávou se rozumí předložení formuláře s vyplněnou tabulkou s výčtem všech celkových způsobilých výdajů projektu, a předložení všech potřebných dokladů uvedených ve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formuláři závěrečné zprávy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ve výši dotace a dokladů prokazujících jejich úhradu (tj. výpisy z bankovního účtu, označené výdajové a příjmové pokladní doklady). Doložení dokladů prokazujících úhradu dotace se považuje za nedílnou součást vyúčtování. V případě nesplnění povinnosti uvedené v tomto odstavci bude postupováno obdobně jako v odstavci 3.6.</w:t>
      </w:r>
    </w:p>
    <w:p w14:paraId="1E03865A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Formulář závěrečné zprávy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bude příjemci zaslán kontaktní osobou poskytovatele nejpozději do 60. kalendářních dnů po podpisu smluv ze strany poskytovatele dotace na e-mail uvedený v Žádosti o poskytnutí dotace. </w:t>
      </w:r>
    </w:p>
    <w:p w14:paraId="0845F4F4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3.6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 případě, že poskytovatel neshledá v předložené Závěrečné zprávě nedostatky či nesrovnalosti, schválí ji do 60 pracovních dnů ode dne jejího předložení. Budou-li shledány nedostatky či nesrovnalosti, bude příjemce v této lhůtě poskytovatelem vyzván k jejich odstranění, a to do 20 pracovních dnů ode dne doručení výzvy. V případě, že příjemce v této lhůtě nedostatky či nesrovnalosti neodstraní, bude opětovně poskytovatelem vyzván k jejich odstranění v náhradní lhůtě, tj. do 20 pracovních dnů ode dne doručení výzvy příjemci.</w:t>
      </w:r>
    </w:p>
    <w:p w14:paraId="7ED2E856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3.7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 případě, že bude příjemce poskytovateli vracet nevyčerpané finanční prostředky podle kteréhokoli ustanovení této smlouvy, provede platbu bezhotovostním převodem a platbu označí variabilním symbolem 21712026.</w:t>
      </w:r>
    </w:p>
    <w:p w14:paraId="7C28382E" w14:textId="77777777" w:rsidR="00B67E6D" w:rsidRPr="00B67E6D" w:rsidRDefault="00B67E6D" w:rsidP="00B67E6D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4.  Podmínky použití dotace</w:t>
      </w:r>
    </w:p>
    <w:p w14:paraId="2E00302D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4.1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je oprávněn použít dotaci pouze k účelu uvedenému v čl. 1.</w:t>
      </w:r>
    </w:p>
    <w:p w14:paraId="584504BD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4.2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Způsobilými výdaji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jsou proplacená plnění, jež souvisejí s účelem, na který je dotace poskytnuta, a vyhovují zásadám účelnosti, efektivnosti a hospodárnosti podle zákona č. 320/2001 Sb., o finanční kontrole, ve znění pozdějších předpisů. Způsobilé výdaje musí příjemci vzniknout v době realizace a být jím i v této době i uhrazeny.</w:t>
      </w:r>
    </w:p>
    <w:p w14:paraId="6AD3B10E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4.3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Nezpůsobilými výdaji jsou zejména: </w:t>
      </w:r>
    </w:p>
    <w:p w14:paraId="563C6397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dlužný úrok, pokuty a finanční sankce,</w:t>
      </w:r>
    </w:p>
    <w:p w14:paraId="65C57B49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výdaje na publicitu Zlínského kraje,</w:t>
      </w:r>
    </w:p>
    <w:p w14:paraId="64177AC8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účetně nedoložitelné výdaje,</w:t>
      </w:r>
    </w:p>
    <w:p w14:paraId="73CE2DA2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mzdy a platy,</w:t>
      </w:r>
    </w:p>
    <w:p w14:paraId="47B99E08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výdaje na zaměstnance, ke kterým nejsou zaměstnavatelé povinni dle zvláštních právních předpisů (příspěvky na penzijní/životní pojištění, příspěvky na rekreaci, stravenky apod.),</w:t>
      </w:r>
    </w:p>
    <w:p w14:paraId="36F06E40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ostatní osobní výdaje (tj. odměny poskytované podle zvláštních právních předpisů v případech, kdy nevzniká pracovní vztah k zaměstnavateli; odměny za využití vynálezů, průmyslových vzorů, aj.; odměny z veřejných a užších soutěží a veřejných příslibů; odstupné poskytované při skončení pracovního poměru; odchodné; odměny členům orgánů společnosti a družstva hrazené z nákladů i ze zisku; částky, které zaměstnavatel refunduje jiným zaměstnavatelům k úhradě plnění zahrnovaných do OON) s výjimkou odměn z dohod o pracích konaných mimo pracovní poměr,  </w:t>
      </w:r>
    </w:p>
    <w:p w14:paraId="40C262D2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výdaje na pořádání workshopů, teambuildingů, výjezdních zasedání apod.,</w:t>
      </w:r>
    </w:p>
    <w:p w14:paraId="7C55D665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výdaje na školení a kurzy, </w:t>
      </w:r>
    </w:p>
    <w:p w14:paraId="040EE52B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výdaje na přípravné studie nebo jiné přípravné činnosti včetně zpracování a vyúčtování Žádosti o poskytnutí dotace aj. administrativní práce,</w:t>
      </w:r>
    </w:p>
    <w:p w14:paraId="4A7A5B7E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pořízení nebo technické zhodnocení hmotného a nehmotného majetku (dlouhodobým hmotným majetkem se rozumí majetek, jehož doba použitelnosti je delší než jeden rok 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br/>
        <w:t>a jehož ocenění převyšuje částku 40.000 Kč, dlouhodobým nehmotným majetkem se rozumí majetek, jehož doba použitelnosti je delší než jeden rok a jehož ocenění převyšuje částku 60.000 Kč),</w:t>
      </w:r>
    </w:p>
    <w:p w14:paraId="5314C571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lastRenderedPageBreak/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pořízení věcí (majetek, materiál atd.), jejichž doba použitelnosti je delší než 1 rok (drobný dlouhodobý hmotný a nehmotný majetek),</w:t>
      </w:r>
    </w:p>
    <w:p w14:paraId="5EE763A1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oprava majetku,</w:t>
      </w:r>
    </w:p>
    <w:p w14:paraId="6DE600AF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pronájem dětských aj. zábavných atrakcí (např. skákací hrady atd.),</w:t>
      </w:r>
    </w:p>
    <w:p w14:paraId="2BB53AAD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výdaje na vystoupení kouzelníků, animátorů, žonglérů, malování na obličej atd.,</w:t>
      </w:r>
    </w:p>
    <w:p w14:paraId="6298D77C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výdaje na vystoupení a ukázky rekordmanů, siláků a dalších atrakcí a kuriozit,</w:t>
      </w:r>
    </w:p>
    <w:p w14:paraId="1C8FABAE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výdaje na pohoštění, občerstvení a stravování, pitný režim,</w:t>
      </w:r>
    </w:p>
    <w:p w14:paraId="4EBA00CF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pořízení upomínkových a dárkových předmětů (květiny, poháry, trofeje atd.), </w:t>
      </w:r>
    </w:p>
    <w:p w14:paraId="50BDF3CB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ceny pro účastníky projektu/akce,</w:t>
      </w:r>
    </w:p>
    <w:p w14:paraId="223E907C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nákup květinové výzdoby, květin, aj. dekorací,</w:t>
      </w:r>
    </w:p>
    <w:p w14:paraId="5539A170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nákup pyrotechniky a pyrotechnických služeb (vč. ohňové show),</w:t>
      </w:r>
    </w:p>
    <w:p w14:paraId="1EF32EF7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vydání a distribuce CD, DVD a jiných médií z projektu/akce, </w:t>
      </w:r>
    </w:p>
    <w:p w14:paraId="725D7512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výdaje na streamování, videopřenosy aj. zprostředkované způsoby přenosů projektu/akce,</w:t>
      </w:r>
    </w:p>
    <w:p w14:paraId="06612E5A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nákup a opravy hudebních nástrojů, krojů či krojových doplňků, triček aj. oděvů,</w:t>
      </w:r>
    </w:p>
    <w:p w14:paraId="593BDB15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vedení a zpracování účetnictví projektu, administrativní práce,</w:t>
      </w:r>
    </w:p>
    <w:p w14:paraId="68508ACB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nákup pohonných hmot,</w:t>
      </w:r>
    </w:p>
    <w:p w14:paraId="74E9899A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úhrada členských příspěvků,</w:t>
      </w:r>
    </w:p>
    <w:p w14:paraId="3E50BC73" w14:textId="77777777" w:rsidR="00B67E6D" w:rsidRPr="00B67E6D" w:rsidRDefault="00B67E6D" w:rsidP="00B67E6D">
      <w:pPr>
        <w:autoSpaceDE w:val="0"/>
        <w:autoSpaceDN w:val="0"/>
        <w:adjustRightInd w:val="0"/>
        <w:spacing w:before="40" w:after="0" w:line="240" w:lineRule="auto"/>
        <w:ind w:left="1512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-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výdaje na úhradu provozních výdajů například: </w:t>
      </w:r>
    </w:p>
    <w:p w14:paraId="3A5A6A02" w14:textId="77777777" w:rsidR="00B67E6D" w:rsidRPr="00B67E6D" w:rsidRDefault="00B67E6D" w:rsidP="00B67E6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20" w:after="0" w:line="240" w:lineRule="auto"/>
        <w:ind w:left="2517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nájemné prostor, kanceláří, ve kterých je provozována administrativní činnost organizace,</w:t>
      </w:r>
    </w:p>
    <w:p w14:paraId="39A1AD96" w14:textId="77777777" w:rsidR="00B67E6D" w:rsidRPr="00B67E6D" w:rsidRDefault="00B67E6D" w:rsidP="00B67E6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20" w:after="0" w:line="240" w:lineRule="auto"/>
        <w:ind w:left="2517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telefonní účty, bankovní poplatky, internet,</w:t>
      </w:r>
    </w:p>
    <w:p w14:paraId="0A8D2BB0" w14:textId="77777777" w:rsidR="00B67E6D" w:rsidRPr="00B67E6D" w:rsidRDefault="00B67E6D" w:rsidP="00B67E6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20" w:after="0" w:line="240" w:lineRule="auto"/>
        <w:ind w:left="2517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provoz webových stránek, webové domény, webmastering, webdesign, </w:t>
      </w:r>
    </w:p>
    <w:p w14:paraId="64D1AA65" w14:textId="77777777" w:rsidR="00B67E6D" w:rsidRPr="00B67E6D" w:rsidRDefault="00B67E6D" w:rsidP="00B67E6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20" w:after="0" w:line="240" w:lineRule="auto"/>
        <w:ind w:left="2517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nákup poštovních známek, obálek, poštovné,</w:t>
      </w:r>
    </w:p>
    <w:p w14:paraId="5A82CC04" w14:textId="77777777" w:rsidR="00B67E6D" w:rsidRPr="00B67E6D" w:rsidRDefault="00B67E6D" w:rsidP="00B67E6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20" w:after="0" w:line="240" w:lineRule="auto"/>
        <w:ind w:left="2517" w:hanging="35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kancelářský materiál. </w:t>
      </w:r>
    </w:p>
    <w:p w14:paraId="66D9A1CC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4.4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je povinen v době realizace vést o projektu oddělenou účetní evidenci a výkaznictví. Musí být jednoznačně prokazatelné, zda konkrétní výdaj nebo příjem je vykazován na podporovaný projekt a skutečně odpovídá charakteru projektu. Subjekty, které vedou daňovou evidenci v souladu se zákonem č. 586/1992 Sb., o daních z příjmů, ve znění pozdějších předpisů, jsou povinny použít jiný prokazatelný způsob vedení evidence o finančních tocích projektu. Doklady prokazující využití dotace musí být viditelně označeny „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Dotace KUL ZK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“ (označeny musí být již originály dokladů). Příjemce je povinen umožnit poskytovateli na základě jeho požadavku provedení kontroly všech prvotních účetních dokladů za účelem prověření předloženého vyúčtování projektu. Poskytovatel bude vykonávat u příjemce kontrolu vyplývající ze zákona č. 320/2001 Sb., o finanční kontrole, ve znění pozdějších předpisů.</w:t>
      </w:r>
    </w:p>
    <w:p w14:paraId="462101F9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4.5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Ustanovení o dani z přidané hodnoty (dále jen „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DPH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“) dle zákona č. 235/2004 Sb., o dani z přidané hodnoty, ve znění pozdějších předpisů (dále jen „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zákon o DPH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“):</w:t>
      </w:r>
    </w:p>
    <w:p w14:paraId="7B5598C0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4.5.a)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DPH je pro příjemce způsobilým výdajem, pokud příjemce není plátcem DPH nebo příjemci nevzniká nárok na odpočet DPH;</w:t>
      </w:r>
    </w:p>
    <w:p w14:paraId="1DD20227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4.5.b)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 případě, že výdaje projektu jsou způsobilými výdaji pouze z č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>ásti, pak je DPH způsobilým výdajem ze stejné části;</w:t>
      </w:r>
    </w:p>
    <w:p w14:paraId="1CA94426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4.5.c)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pokud má příjemce nárok na odpočet v poměrné části nebo dle koeficientu, bude způsobilým výdajem část oprávněně neuplatněné DPH;</w:t>
      </w:r>
    </w:p>
    <w:p w14:paraId="24A81F34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4.5.d)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 případě, že před předložením Závěrečné zprávy dojde ke změně nároku na odpočet, musí příjemce tuto skutečnost promítnout do Závěrečné zprávy. Způsobilým výdajem je pak pouze oprávněně neuplatněná DPH;</w:t>
      </w:r>
    </w:p>
    <w:p w14:paraId="60C1C69C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4.5.e)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pokud příjemce není plátcem DPH, ale stane se jím po předložení Závěrečné zprávy, a vznikne mu ve vztahu ke způsobilým výdajům projektu nárok na uplatnění odpočtu DPH, je povinen tuto skutečnost neprodleně oznámit poskytovateli a do 30 dnů od podání přiznání k DPH, v němž si nárokuje odpočet, částku DPH vrátit na účet poskytovatele;</w:t>
      </w:r>
    </w:p>
    <w:p w14:paraId="04ED3BC5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4.5.f)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jestliže se příjemce stane plátcem DPH v průběhu doby realizace, je povinen tuto skutečnost nejpozději se závěrečnou zprávou oznámit poskytovateli;</w:t>
      </w:r>
    </w:p>
    <w:p w14:paraId="1C1ABA07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4.5.g)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v případech, kdy je příjemce plátcem DPH a dotace bude použita v rámci ekonomické činnosti pro úhradu výdaje z titulu plnění, pro které je plátce povinen použít režim přenesení daňové povinnosti dle zákona o DPH, a DPH je způsobilým výdajem, doloží 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lastRenderedPageBreak/>
        <w:t>příjemce výši DPH poskytovateli vnitřním účetním dokladem s vyčíslením částky DPH, daňovým přiznáním k DPH, kontrolním hlášením a bankovním výpisem.</w:t>
      </w:r>
    </w:p>
    <w:p w14:paraId="485F60A1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4.6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U veřejné zakázky, která podléhá zákonu č. 134/2016 Sb., o zadávání veřejných zakázek, ve znění pozdějších předpisů, je příjemce povinen při výběru dodavatelů, kteří se budou podílet na realizaci projektu, postupovat v souladu s tímto zákonem, a na výzvu poskytovatele umožnit kontrolu dokumentace a průběhu výběrového řízení na veřejnou zakázku. U veřejné zakázky, která zákonu č. 134/2016 Sb. nepodléhá, je příjemce povinen poskytnout na výzvu poskytovatele relevantní informace o způsobu zadání zakázky a výběru nejvhodnější nabídky.</w:t>
      </w:r>
    </w:p>
    <w:p w14:paraId="0E0AE246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4.7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Příjemce je povinen do 15 dnů oznámit poskytovateli vstup právnické osoby do likvidace, zahájení insolvenčního řízení, exekučního řízení, či řízení o výkonu rozhodnutí. Příjemce je povinen oznámit poskytovateli přeměnu právnické osoby do 15 dnů ode dne rozhodnutí příslušného orgánu. </w:t>
      </w:r>
    </w:p>
    <w:p w14:paraId="52974C7A" w14:textId="77777777" w:rsidR="00B67E6D" w:rsidRPr="00B67E6D" w:rsidRDefault="00B67E6D" w:rsidP="00B67E6D">
      <w:pPr>
        <w:autoSpaceDE w:val="0"/>
        <w:autoSpaceDN w:val="0"/>
        <w:adjustRightInd w:val="0"/>
        <w:spacing w:before="60" w:after="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4.8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 Příjemce je dále povinen:</w:t>
      </w:r>
    </w:p>
    <w:p w14:paraId="115DD53E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4.8.a)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zajistit, aby všechny údaje, které uvádí poskytovateli, byly vždy úplné a pravdivé,</w:t>
      </w:r>
    </w:p>
    <w:p w14:paraId="57CA54BC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4.8.b)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zabezpečit archivaci veškeré dokumentace k projektu včetně účetnictví o projektu po dobu 10 let ode dne ukončení doby realizace dle čl. 2.2,</w:t>
      </w:r>
    </w:p>
    <w:p w14:paraId="08218665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4.8.c)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dohodnout s dodavateli v rámci projektu fakturační podmínky tak, aby byla doložena účelovost faktur včetně specifikace jednotlivých výdajů,</w:t>
      </w:r>
    </w:p>
    <w:p w14:paraId="092D78DB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4.9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B67E6D">
        <w:rPr>
          <w:rFonts w:ascii="Arial" w:eastAsia="Times New Roman" w:hAnsi="Arial" w:cs="Arial"/>
          <w:spacing w:val="-6"/>
          <w:sz w:val="20"/>
          <w:szCs w:val="20"/>
          <w:lang w:eastAsia="cs-CZ"/>
        </w:rPr>
        <w:t xml:space="preserve">Příjemce prohlašuje, že není účastníkem soudního řízení, jehož jedním z dalších účastníků je poskytovatel, případně právnická osoba zřízená nebo založená poskytovatelem (tyto osoby jsou uvedené na adrese: </w:t>
      </w:r>
      <w:hyperlink r:id="rId7" w:history="1">
        <w:r w:rsidRPr="00B67E6D">
          <w:rPr>
            <w:rFonts w:ascii="Arial" w:eastAsia="Times New Roman" w:hAnsi="Arial" w:cs="Arial"/>
            <w:spacing w:val="-6"/>
            <w:sz w:val="20"/>
            <w:szCs w:val="20"/>
            <w:lang w:eastAsia="cs-CZ"/>
          </w:rPr>
          <w:t>https://zlinskykraj.cz/seznam-zrizovanych-a-zalozenych-organizaci-zlinskym-krajem</w:t>
        </w:r>
      </w:hyperlink>
      <w:r w:rsidRPr="00B67E6D">
        <w:rPr>
          <w:rFonts w:ascii="Arial" w:eastAsia="Times New Roman" w:hAnsi="Arial" w:cs="Arial"/>
          <w:spacing w:val="-6"/>
          <w:sz w:val="20"/>
          <w:szCs w:val="20"/>
          <w:lang w:eastAsia="cs-CZ"/>
        </w:rPr>
        <w:t>).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14:paraId="30822AD3" w14:textId="77777777" w:rsidR="00B67E6D" w:rsidRPr="00B67E6D" w:rsidRDefault="00B67E6D" w:rsidP="00B67E6D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5.  Povinnosti příjemce při zajišťování publicity poskytovatele</w:t>
      </w:r>
    </w:p>
    <w:p w14:paraId="0CB19C26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5.1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odpovídá za informování o dotaci, kterou obdržel z rozpočtu Zlínského kraje (nikoliv Krajského úřadu Zlínského kraje). Zároveň je příjemce povinen doložit, že dodržel podmínky informačních a propagačních opatření v Závěrečné zprávě.</w:t>
      </w:r>
    </w:p>
    <w:p w14:paraId="14C019D3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5.2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Přijetím finančních prostředků z rozpočtu Zlínského kraje dává příjemce souhlas se zveřejněním údajů o aktivitě financované z rozpočtu Zlínského kraje.</w:t>
      </w:r>
    </w:p>
    <w:p w14:paraId="28AB7A16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5.3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Přijetím finančních prostředků z rozpočtu Zlínského kraje získává příjemce souhlas s užitím loga Zlínského kraje, které je k dispozici na adrese: </w:t>
      </w:r>
      <w:hyperlink r:id="rId8" w:history="1">
        <w:r w:rsidRPr="00B67E6D">
          <w:rPr>
            <w:rFonts w:ascii="Arial" w:eastAsia="Times New Roman" w:hAnsi="Arial" w:cs="Arial"/>
            <w:sz w:val="20"/>
            <w:szCs w:val="20"/>
            <w:lang w:eastAsia="cs-CZ"/>
          </w:rPr>
          <w:t>https://zlinskykraj.cz/logo-zlinskeho-kraje</w:t>
        </w:r>
      </w:hyperlink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. Logo bude umístěno na všech dokumentech souvisejících s realizací projektu, které budou propagovat aktivitu financovanou z rozpočtu Zlínského kraje. </w:t>
      </w:r>
    </w:p>
    <w:p w14:paraId="55776DF1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5.4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je povinen opatřit veškeré dokumenty související s realizací projektu (tiskové zprávy, plakáty, letáky, brožury, webové stránky, prezentace apod.) logem Zlínského kraje a/nebo formulací: „Název akce“ je financována/spolufinancována Zlínským krajem.</w:t>
      </w:r>
    </w:p>
    <w:p w14:paraId="61C1891F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5.5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je dále povinen prezentovat poskytovatele s využitím alespoň 1 prostředku komunikace, který doloží v Závěrečné zprávě:</w:t>
      </w:r>
    </w:p>
    <w:p w14:paraId="58B64A8B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5.5.a)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billboard (doloží se fotografií a informací o období vyvěšení),</w:t>
      </w:r>
    </w:p>
    <w:p w14:paraId="64569FFE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5.5.b)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informační tabule (nástěnky apod.), (doloží se kopií informace, která byla uveřejněna s uvedením doby uveřejnění),</w:t>
      </w:r>
    </w:p>
    <w:p w14:paraId="6A44C9E2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5.5.c)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obecní zpravodaj (doloží se originálem nebo kopií příslušného článku a informací, kdy byl publikován),</w:t>
      </w:r>
    </w:p>
    <w:p w14:paraId="6C01D18B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5.5.d)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periodikum vydávané ve smyslu zákona č. 46/2000 Sb., tiskový zákon, ve znění pozdějších předpisů (doloží se originálem nebo kopií příslušného článku a informací, kdy byl publikován),</w:t>
      </w:r>
    </w:p>
    <w:p w14:paraId="1CD0B7A9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5.5.e)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regionální tisk (doloží se originálem či kopií příslušného článku a informací, kdy byl publikován),</w:t>
      </w:r>
    </w:p>
    <w:p w14:paraId="0E22931B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5.5.f)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úřední deska (doloží se kopií informace, která byla uveřejněna, s uvedením doby uveřejnění),</w:t>
      </w:r>
    </w:p>
    <w:p w14:paraId="5F723BF0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5.5.g)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on-line prostředí – webové stránky, sociální sítě apod. (doloží se odkazem na příslušné stránky nebo printscreenem s uvedením, kdy byla informace uveřejněna),</w:t>
      </w:r>
    </w:p>
    <w:p w14:paraId="3C724AD1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5.5.h)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plakát, pozvánka (doloží se originálem nebo kopií)</w:t>
      </w:r>
    </w:p>
    <w:p w14:paraId="07AD0B98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5.5.i)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rozhlas – obecní či regionální/celoplošné vysílání (doloží se přepisem hlášeného textu a informací o datu, kdy byla informace hlášena),</w:t>
      </w:r>
    </w:p>
    <w:p w14:paraId="14A28DA1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5.5.j)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vlastní návrh příjemce odsouhlasený poskytovatelem.</w:t>
      </w:r>
    </w:p>
    <w:p w14:paraId="3B2010F0" w14:textId="77777777" w:rsidR="00B67E6D" w:rsidRPr="00B67E6D" w:rsidRDefault="00B67E6D" w:rsidP="00B67E6D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lastRenderedPageBreak/>
        <w:t>6.  Sankce</w:t>
      </w:r>
    </w:p>
    <w:p w14:paraId="58368A8C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6.1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 případě porušení rozpočtové kázně ze strany příjemce bude poskytovatel postupovat v souladu s § 22 zákona č. 250/2000 Sb., o rozpočtových pravidlech územních rozpočtů, ve znění pozdějších předpisů (dále jen „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zákon o rozpočtových pravidlech územních rozpočtů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“).</w:t>
      </w:r>
    </w:p>
    <w:p w14:paraId="3F6E0203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6.2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Za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porušení rozpočtové kázně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dle § 22 zákona o rozpočtových pravidlech územních rozpočtů, za který bude příjemci uložen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odvod ve výši poskytnuté dotace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, se považuje zejména pokud:</w:t>
      </w:r>
    </w:p>
    <w:p w14:paraId="7A500F2B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6.2.a)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nedodrží účel dotace,</w:t>
      </w:r>
    </w:p>
    <w:p w14:paraId="6C62DBE8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6.2.b)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vůbec nedoloží úhrady výdajů,</w:t>
      </w:r>
    </w:p>
    <w:p w14:paraId="279B33B7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6.2.c)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B67E6D">
        <w:rPr>
          <w:rFonts w:ascii="Arial" w:eastAsia="Times New Roman" w:hAnsi="Arial" w:cs="Arial"/>
          <w:spacing w:val="-8"/>
          <w:sz w:val="20"/>
          <w:szCs w:val="20"/>
          <w:lang w:eastAsia="cs-CZ"/>
        </w:rPr>
        <w:t>příjemce nepředloží Závěrečnou zprávu ani ve lhůtě 30 pracovních dní po uplynutí lhůty dle čl. 3.4,</w:t>
      </w:r>
    </w:p>
    <w:p w14:paraId="081BC4A2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6.2.d)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poruší povinnost dle čl. 4.7 nebo 4.8,</w:t>
      </w:r>
    </w:p>
    <w:p w14:paraId="2C532377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6.3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Za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porušení rozpočtové kázně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dle § 22 zákona o rozpočtových pravidlech územních rozpočtů, za který bude příjemci uložen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odvod ve výši neoprávněně použitých nebo zadržených peněžních prostředků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, se považuje zejména pokud:</w:t>
      </w:r>
    </w:p>
    <w:p w14:paraId="0C8450F1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i/>
          <w:i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6.3.a)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neodstraní nedostatky v předložené závěrečné zprávě ani v náhradní lhůtě dle čl. 3.6, výše odvodu se v tomto případě rovná výši neoprávněně použitých nebo zadržených peněžních prostředků,</w:t>
      </w:r>
    </w:p>
    <w:p w14:paraId="4B21F6AE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6.3.b)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v rozporu s č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>l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. 4.2 uhradí výdaje později než ve lhůtě stanovené pro předložení závěrečné zprávy. Za toto porušení bude příjemci uložen odvod ve výši takto opožděně uhrazené částky způsobilých výdajů. </w:t>
      </w:r>
    </w:p>
    <w:p w14:paraId="710155D6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6.4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O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méně závažné porušení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rozpočtové kázně dle § 22 zákona o rozpočtových pravidlech územních rozpočtů, za které bude příjemci uložen snížený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odvod ve výši 5 %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z poskytnuté dotace, se jedná v případě, kdy:</w:t>
      </w:r>
    </w:p>
    <w:p w14:paraId="5B46F0C5" w14:textId="77777777" w:rsidR="00B67E6D" w:rsidRPr="00B67E6D" w:rsidRDefault="00B67E6D" w:rsidP="00B67E6D">
      <w:pPr>
        <w:autoSpaceDE w:val="0"/>
        <w:autoSpaceDN w:val="0"/>
        <w:adjustRightInd w:val="0"/>
        <w:spacing w:after="6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6.4.a)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B67E6D">
        <w:rPr>
          <w:rFonts w:ascii="Arial" w:eastAsia="Times New Roman" w:hAnsi="Arial" w:cs="Arial"/>
          <w:spacing w:val="-6"/>
          <w:sz w:val="20"/>
          <w:szCs w:val="20"/>
          <w:lang w:eastAsia="cs-CZ"/>
        </w:rPr>
        <w:t>příjemce předloží Závěrečnou zprávu ve lhůtě do 30 pracovních dní po uplynutí lhůty dle čl. 3.4,</w:t>
      </w:r>
    </w:p>
    <w:p w14:paraId="4B8FA37C" w14:textId="77777777" w:rsidR="00B67E6D" w:rsidRPr="00B67E6D" w:rsidRDefault="00B67E6D" w:rsidP="00B67E6D">
      <w:pPr>
        <w:autoSpaceDE w:val="0"/>
        <w:autoSpaceDN w:val="0"/>
        <w:adjustRightInd w:val="0"/>
        <w:spacing w:after="6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6.4.b)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poruší povinnosti dle čl. 5.</w:t>
      </w:r>
    </w:p>
    <w:p w14:paraId="607FB7CB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6.5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O </w:t>
      </w: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méně závažné porušení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rozpočtové kázně dle § 22 zákona o rozpočtových pravidlech územních rozpočtů, se dále jedná v případě, kdy:</w:t>
      </w:r>
    </w:p>
    <w:p w14:paraId="1EBAC83B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6.5.a)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odstraní nedostatky či nesrovnalosti v závěrečné zprávě až v náhradní lhůtě dle čl. 3.6. Příjemci bude uložen snížený odvod ve výši 5 % z č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>ástky dotace, které se týkaly odstran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ě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>né nedostatky či nesrovnalosti;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 pokud takový rozsah nelze stanovit, bude mu uložen odvod ve výši 5 % ze schválené dotace, </w:t>
      </w:r>
    </w:p>
    <w:p w14:paraId="7EA03EF8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6.5.b)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v rozporu s č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>l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. 4.2 uhradí výdaje po uplynutí lhůty pro úhradu výdajů dle č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>l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. 4.2, ale ne později než do lhůty pro předložení závěrečné zprávy dle č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>l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. 3.4. Příjemci bude uložen snížený odvod ve výši 10 % z takto opožděně uhrazené částky způsobilých výdajů. </w:t>
      </w:r>
    </w:p>
    <w:p w14:paraId="649CB17E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6.6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Nastane-li situace, za kterou by byl příjemci uložen odvod podle tohoto článku, ale peněžní prostředky dotace ještě nebyly poskytnuty, odvod nebude příjemci uložen. Namísto toho bude v odpovídající výši zkrácena dotace.</w:t>
      </w:r>
    </w:p>
    <w:p w14:paraId="6A522349" w14:textId="77777777" w:rsidR="00B67E6D" w:rsidRPr="00B67E6D" w:rsidRDefault="00B67E6D" w:rsidP="00B67E6D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7.  Změny podmínek smlouvy</w:t>
      </w:r>
    </w:p>
    <w:p w14:paraId="6C2092AA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7.1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může změnit projekt bez předchozího souhlasu poskytovatele za předpokladu, že změny nejsou podstatného charakteru, a za podmínky zachování smyslu a účelu projektu. Nepodstatné změny projektu je příjemce povinen prostřednictvím datové schránky nebo v listinné podobě oznámit poskytovateli bez zbytečného odkladu, nejpozději v Závěrečné zprávě. Nepodstatnými změnami jsou:</w:t>
      </w:r>
    </w:p>
    <w:p w14:paraId="38A77A38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7.1.a)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změna adresy nebo sídla příjemce,</w:t>
      </w:r>
    </w:p>
    <w:p w14:paraId="0C0896EE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7.1.b)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změna statutárního orgánu nebo kontaktní osoby,</w:t>
      </w:r>
    </w:p>
    <w:p w14:paraId="4092E11B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7.1.c)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změna názvu příjemce,</w:t>
      </w:r>
    </w:p>
    <w:p w14:paraId="5DD2AEEF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7.1.d)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změna názvu akce/projektu při zachování účelu a všech ostatních parametrů akce/projektu,</w:t>
      </w:r>
    </w:p>
    <w:p w14:paraId="768DF6C4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7.1.e)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změna zdrojů nebo výše podílů těchto zdrojů na financování projektu (s výjimkou dotace od Zlínského kraje),</w:t>
      </w:r>
    </w:p>
    <w:p w14:paraId="3F40A547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7.1.f)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změna harmonogramu doby realizace, akce nebo aktivity (změnou harmonogramu nesmí dojít k překročení nejzazšího data doby realizace, akce nebo aktivity stanoveného ve smlouvě a podpora nebude vyplacena před termínem ukončení doby realizace, akce nebo aktivity),</w:t>
      </w:r>
    </w:p>
    <w:p w14:paraId="2E117A2C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lastRenderedPageBreak/>
        <w:t>7.2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Změnu bankovního spojení oznámí příjemce poskytovateli prostřednictvím datové schránky nebo v listinné podobě ve lhůtě do 15 dní ode dne, kdy ke změně došlo. Informace o změně účtu příjemce je pro poskytovatele závazná ode dne, kdy byla poskytovateli doručena. </w:t>
      </w:r>
    </w:p>
    <w:p w14:paraId="6F88BA9B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7.3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V případě podstatných změn projektu musí příjemce prostřednictvím datové schránky nebo 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br/>
        <w:t>v listinné podobě požádat poskytovatele o změnu smlouvy formou dodatku ke smlouvě, přičemž žádost o změnu smlouvy musí být řádně odůvodněná a musí být doručena poskytovateli minimálně 30 dnů před realizací změny projektu a v přiměřené lhůtě, zpravidla minimálně 30 dnů před zasedáním příslušného orgánu kraje tak, aby bylo možné vypracování dodatku. Změny smlouvy je možné provádět pouze během plnění smlouvy a nelze je aplikovat se zpětnou účinností.</w:t>
      </w:r>
    </w:p>
    <w:p w14:paraId="6B6BB73B" w14:textId="77777777" w:rsidR="00B67E6D" w:rsidRPr="00B67E6D" w:rsidRDefault="00B67E6D" w:rsidP="00B67E6D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8.  Ukončení smlouvy</w:t>
      </w:r>
    </w:p>
    <w:p w14:paraId="1E613411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8.1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Smlouvu lze ukončit na základě písemné dohody obou smluvních stran nebo písemnou výpovědí smlouvy, a to za podmínek dále stanovených.</w:t>
      </w:r>
    </w:p>
    <w:p w14:paraId="12173DBB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8.2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Poskytovatel je oprávněn vypovědět smlouvu jak před proplacením, tak i po proplacení dotace.</w:t>
      </w:r>
    </w:p>
    <w:p w14:paraId="20A7E256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8.3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Výpovědním důvodem je porušení povinností příjemcem stanovených touto smlouvou nebo obecně závaznými právními předpisy. Porušením se rozumí zejména, pokud příjemce:</w:t>
      </w:r>
    </w:p>
    <w:p w14:paraId="63A2C7F2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8.3.a)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nedodrží účel dotace,</w:t>
      </w:r>
    </w:p>
    <w:p w14:paraId="76DD6C6C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8.3.b)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svým jednáním poruší rozpočtovou kázeň zejména dle č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 xml:space="preserve">l. 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6.2, ve smyslu zákona o rozpočtových pravidlech územních rozpočtů,</w:t>
      </w:r>
    </w:p>
    <w:p w14:paraId="27955F73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8.3.c)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prohlášení příjemce dle čl. 4.9 se prokáže jako nepravdivé,</w:t>
      </w:r>
    </w:p>
    <w:p w14:paraId="287B8E21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8.3.d)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se opozdí s předložením závěrečné zprávy o více než 30 pracovních dnů oproti lhůtě dle čl. 3.4,</w:t>
      </w:r>
    </w:p>
    <w:p w14:paraId="2708492E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8.3.e)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je on sám, případně jako právnická osoba či některá osoba tvořící statutární orgán příjemce odsouzen/a za trestný čin, jehož skutková podstata souvisí s předmětem podnikání nebo činností příjemce, nebo pro trestný čin hospodářský, anebo trestný čin proti majetku ve smyslu zákona č. 40/2009 Sb., trestní zákoník, ve znění pozdějších předpisů a zákona č. 418/2011 Sb., o trestní odpovědnosti právnických osob, ve znění pozdějších předpisů,</w:t>
      </w:r>
    </w:p>
    <w:p w14:paraId="03EC1E3D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8.3.f)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bylo vůči příjemci zahájeno insolvenční řízení podle zákona č. 182/2006 Sb., o úpadku a způsobech jeho řešení, ve znění pozdějších předpisů, exekuční řízení či řízení o výkonu rozhodnutí,</w:t>
      </w:r>
    </w:p>
    <w:p w14:paraId="1450CA4D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8.3.g)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uvedl nepravdivé, neúplné nebo zkreslené údaje, na které se váže uzavření této smlouvy,</w:t>
      </w:r>
    </w:p>
    <w:p w14:paraId="7A6DB207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8.3.h)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je v likvidaci,</w:t>
      </w:r>
    </w:p>
    <w:p w14:paraId="5D53B060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8.3.i)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změní právní formu a stane se tak nezpůsobilým příjemcem pro danou oblast podpory,</w:t>
      </w:r>
    </w:p>
    <w:p w14:paraId="6EA23A33" w14:textId="77777777" w:rsidR="00B67E6D" w:rsidRPr="00B67E6D" w:rsidRDefault="00B67E6D" w:rsidP="00B67E6D">
      <w:pPr>
        <w:autoSpaceDE w:val="0"/>
        <w:autoSpaceDN w:val="0"/>
        <w:adjustRightInd w:val="0"/>
        <w:spacing w:after="40" w:line="240" w:lineRule="auto"/>
        <w:ind w:left="1304" w:hanging="73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8.3.j)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neplní povinnosti stanovené smlouvou, i když byl k jejich nápravě vyzván poskytovatelem; v případě, že příjemce nesplní povinnost ze smlouvy, a toto nesplnění již nelze napravit (např. příjemce nedodrží konečný termín doby realizace) může poskytovatel smlouvu vypovědět i bez učinění předchozí výzvy k nápravě,</w:t>
      </w:r>
    </w:p>
    <w:p w14:paraId="609FA2DF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8.4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 případě, že došlo k některé ze skutečností uvedené v předchozích ustanoveních tohoto článku, je poskytovatel oprávněn pozastavit proplacení dotace. Stejně tak je poskytovatel oprávněn postupovat i v případě pouhého podezření, že došlo k některé z výše uvedených skutečností.</w:t>
      </w:r>
    </w:p>
    <w:p w14:paraId="67383806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8.5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 případě výpovědi této smlouvy před proplacením dotace, nárok na vyplacení dotace nevzniká a nelze se jej platně domáhat. V případě výpovědi smlouvy po proplacení dotace, se příjemce zavazuje poskytnuté peněžní prostředky vrátit bezhotovostním převodem na účet poskytovatele bez zbytečného odkladu, nejpozději však do 15 dnů od doručení výpovědi.</w:t>
      </w:r>
    </w:p>
    <w:p w14:paraId="72CA3769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8.6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Výpověď smlouvy musí být učiněna písemně a musí v ní být uvedeny důvody jejího udělení.</w:t>
      </w:r>
    </w:p>
    <w:p w14:paraId="52BCB34D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8.7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Výpovědní doba činí jeden měsíc a začne běžet od prvního dne měsíce následujícího po měsíci, v němž byla výpověď doručena příjemci. Účinky doručení pro účely této smlouvy však nastávají i tehdy, pokud příjemce svým jednáním nebo opomenutím doručení zmařil.</w:t>
      </w:r>
    </w:p>
    <w:p w14:paraId="2C376A10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8.8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Účinky výpovědi nastávají dnem uplynutí výpovědní doby za podmínky, že příjemce vrátí poskytnuté peněžní prostředky před jejím uplynutím. Jinak k ukončení smlouvy dojde až vypořádáním všech práv a povinností smluvních stran.</w:t>
      </w:r>
    </w:p>
    <w:p w14:paraId="64ECC087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8.9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Příjemce je oprávněn tuto smlouvu kdykoliv písemně vypovědět i bez udání důvodů, přičemž výpověď je účinná dnem jejího doručení poskytovateli. V takovém případě je příjemce povinen vrátit poskytnutou částku dotace poskytovateli do 15 dnů ode dne účinnosti výpovědi.</w:t>
      </w:r>
    </w:p>
    <w:p w14:paraId="69A2D747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lastRenderedPageBreak/>
        <w:t>8.10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Při ukončení smlouvy dohodou je příjemce povinen vrátit bezhotovostním převodem na účet poskytovatele poskytnutou částku dotace, která mu již byla vyplacena, a to bez zbytečného odkladu, nejpozději do 30 dnů ode dne doručení dohody podepsané oběma smluvními stranami, nedohodnou-li se smluvní strany jinak.</w:t>
      </w:r>
    </w:p>
    <w:p w14:paraId="2729AFA3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8.11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Smlouva zaniká také z důvodů uvedených v § 167 odst. 1 písm. b) až e) zákona č. 500/2004 Sb., správní řád, ve znění pozdějších předpisů. Návrh na zrušení smlouvy musí být učiněn písemně a musí v něm být uvedeny důvody, které vedou k zániku smlouvy.</w:t>
      </w:r>
    </w:p>
    <w:p w14:paraId="0543C8D3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8.12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Pokud příjemce ve stanovené lhůtě poskytnuté prostředky nevrátí v souladu s tímto článkem poskytovateli, považují se tyto prostředky za zadržené ve smyslu zákona o rozpočtových pravidlech územních rozpočtů.</w:t>
      </w:r>
    </w:p>
    <w:p w14:paraId="147BFA81" w14:textId="77777777" w:rsidR="00B67E6D" w:rsidRPr="00B67E6D" w:rsidRDefault="00B67E6D" w:rsidP="00B67E6D">
      <w:pPr>
        <w:keepNext/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9.  Závěrečná ustanovení</w:t>
      </w:r>
    </w:p>
    <w:p w14:paraId="7345F503" w14:textId="04D3F021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9.1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Jako kontaktní místo poskytovatele se pro účely této smlouvy stanovuje: Krajský úřad Zlínského kraje, odbor kultury a památkové péče, </w:t>
      </w:r>
      <w:r w:rsidR="00584B68">
        <w:rPr>
          <w:rFonts w:ascii="Arial" w:eastAsia="Times New Roman" w:hAnsi="Arial" w:cs="Arial"/>
          <w:sz w:val="20"/>
          <w:szCs w:val="20"/>
          <w:lang w:eastAsia="cs-CZ"/>
        </w:rPr>
        <w:t>XXXXXXXXXXXXXXXXXXXXXXXXXXXXXXXXXXXXXX</w:t>
      </w:r>
    </w:p>
    <w:p w14:paraId="5DD55F3C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9.2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V případě rozporu mezi skutečnostmi uvedenými v programu a ustanoveními této smlouvy, se přednostně aplikují ustanovení této smlouvy.</w:t>
      </w:r>
    </w:p>
    <w:p w14:paraId="5DB37768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9.3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Právní vztahy, které nejsou přímo upraveny touto smlouvou, se řídí příslušnými ustanoveními zákona č. 500/2004 Sb., správní řád, ve znění pozdějších předpisů, zákona o rozpočtových pravidlech územních rozpočtů a dalšími obecně závaznými předpisy.</w:t>
      </w:r>
    </w:p>
    <w:p w14:paraId="48F8BF3A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9.4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Tato smlouva byla uzavřena na základě svobodné vůle, nebyla uzavřena v tísni za nápadně nevýhodných podmínek.</w:t>
      </w:r>
    </w:p>
    <w:p w14:paraId="18305829" w14:textId="77777777" w:rsidR="00F56266" w:rsidRPr="001E66EE" w:rsidRDefault="00B67E6D" w:rsidP="00F56266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9.5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F56266" w:rsidRPr="001E66EE">
        <w:rPr>
          <w:rFonts w:ascii="Arial" w:eastAsia="Times New Roman" w:hAnsi="Arial" w:cs="Arial"/>
          <w:sz w:val="20"/>
          <w:szCs w:val="20"/>
          <w:lang w:eastAsia="cs-CZ"/>
        </w:rPr>
        <w:t xml:space="preserve">Smlouva je vyhotovena ve třech stejnopisech, z nichž každý má platnost originálu. Dvě vyhotovení obdrží poskytovatel a jedno vyhotovení obdrží příjemce. </w:t>
      </w:r>
    </w:p>
    <w:p w14:paraId="144EA6A6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9.6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Smlouva podléhá zveřejnění v registru smluv v souladu se zákonem č. 340/2015 Sb., zákon o registru smluv, ve znění pozdějších předpisů. Smluvní strany se dohodly, že poskytovatel odešle v zákonné lhůtě smlouvu k ř</w:t>
      </w:r>
      <w:r w:rsidRPr="00B67E6D">
        <w:rPr>
          <w:rFonts w:ascii="Arial" w:eastAsia="Times New Roman" w:hAnsi="Arial" w:cs="Arial"/>
          <w:sz w:val="20"/>
          <w:szCs w:val="20"/>
          <w:lang w:val="en-US" w:eastAsia="cs-CZ"/>
        </w:rPr>
        <w:t>ádnému uveřejnění do registru smluv. O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 uveřejnění smlouvy bude příjemce bezodkladně informován. </w:t>
      </w:r>
    </w:p>
    <w:p w14:paraId="285BF078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ind w:left="567" w:hanging="567"/>
        <w:jc w:val="both"/>
        <w:rPr>
          <w:rFonts w:ascii="Arial" w:eastAsia="Times New Roman" w:hAnsi="Arial" w:cs="Arial"/>
          <w:i/>
          <w:iCs/>
          <w:color w:val="5B9BD5"/>
          <w:sz w:val="16"/>
          <w:szCs w:val="16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9.7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Tato smlouva nabývá účinnosti dnem zveřejnění v registru smluv. </w:t>
      </w:r>
    </w:p>
    <w:p w14:paraId="6A24EDFA" w14:textId="77777777" w:rsidR="00B67E6D" w:rsidRPr="00B67E6D" w:rsidRDefault="00B67E6D" w:rsidP="00B67E6D">
      <w:pPr>
        <w:widowControl w:val="0"/>
        <w:tabs>
          <w:tab w:val="left" w:pos="708"/>
          <w:tab w:val="left" w:pos="8928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5CA8D7A" w14:textId="77777777" w:rsidR="00B67E6D" w:rsidRPr="00B67E6D" w:rsidRDefault="00B67E6D" w:rsidP="00B67E6D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Doložka dle § 23 zákona č. 129/2000 Sb., o krajích, ve znění pozdějších předpisů</w:t>
      </w:r>
    </w:p>
    <w:p w14:paraId="66A24C3F" w14:textId="77777777" w:rsidR="00B67E6D" w:rsidRPr="00B67E6D" w:rsidRDefault="00B67E6D" w:rsidP="00B67E6D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Schváleno orgánem kraje: Rada Zlínského kraje</w:t>
      </w:r>
    </w:p>
    <w:p w14:paraId="7B53FF4D" w14:textId="77777777" w:rsidR="00B67E6D" w:rsidRPr="00B67E6D" w:rsidRDefault="00B67E6D" w:rsidP="00B67E6D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Datum jednání a číslo usnesení: 1. 6. 2026, 0565/R13/26</w:t>
      </w:r>
    </w:p>
    <w:p w14:paraId="607614D2" w14:textId="77777777" w:rsidR="00B67E6D" w:rsidRPr="00B67E6D" w:rsidRDefault="00B67E6D" w:rsidP="00B67E6D">
      <w:pPr>
        <w:widowControl w:val="0"/>
        <w:tabs>
          <w:tab w:val="left" w:pos="708"/>
          <w:tab w:val="left" w:pos="8928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D09B334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D8380EA" w14:textId="77777777" w:rsidR="00B67E6D" w:rsidRPr="00B67E6D" w:rsidRDefault="00B67E6D" w:rsidP="00B67E6D">
      <w:pPr>
        <w:autoSpaceDE w:val="0"/>
        <w:autoSpaceDN w:val="0"/>
        <w:adjustRightInd w:val="0"/>
        <w:spacing w:before="60" w:after="60" w:line="276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8F591CF" w14:textId="5075DE20" w:rsidR="00B67E6D" w:rsidRPr="00B67E6D" w:rsidRDefault="00B67E6D" w:rsidP="00B67E6D">
      <w:pPr>
        <w:widowControl w:val="0"/>
        <w:tabs>
          <w:tab w:val="left" w:pos="4820"/>
        </w:tabs>
        <w:autoSpaceDE w:val="0"/>
        <w:autoSpaceDN w:val="0"/>
        <w:adjustRightInd w:val="0"/>
        <w:spacing w:before="24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 xml:space="preserve">Zlín, dne </w:t>
      </w:r>
      <w:r w:rsidR="00584B68">
        <w:rPr>
          <w:rFonts w:ascii="Arial" w:eastAsia="Times New Roman" w:hAnsi="Arial" w:cs="Arial"/>
          <w:sz w:val="20"/>
          <w:szCs w:val="20"/>
          <w:lang w:eastAsia="cs-CZ"/>
        </w:rPr>
        <w:t>14.9.2026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Zlín, dne </w:t>
      </w:r>
      <w:r w:rsidR="00584B68">
        <w:rPr>
          <w:rFonts w:ascii="Arial" w:eastAsia="Times New Roman" w:hAnsi="Arial" w:cs="Arial"/>
          <w:sz w:val="20"/>
          <w:szCs w:val="20"/>
          <w:lang w:eastAsia="cs-CZ"/>
        </w:rPr>
        <w:t>3.9.2026</w:t>
      </w:r>
    </w:p>
    <w:p w14:paraId="3FE79554" w14:textId="77777777" w:rsidR="00B67E6D" w:rsidRPr="00B67E6D" w:rsidRDefault="00B67E6D" w:rsidP="00B67E6D">
      <w:pPr>
        <w:widowControl w:val="0"/>
        <w:tabs>
          <w:tab w:val="left" w:pos="4820"/>
          <w:tab w:val="left" w:pos="5812"/>
          <w:tab w:val="left" w:pos="8928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za poskytovatele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za příjemce</w:t>
      </w:r>
    </w:p>
    <w:p w14:paraId="32589D45" w14:textId="77777777" w:rsidR="00B67E6D" w:rsidRPr="00B67E6D" w:rsidRDefault="00B67E6D" w:rsidP="00B67E6D">
      <w:pPr>
        <w:widowControl w:val="0"/>
        <w:tabs>
          <w:tab w:val="left" w:pos="4820"/>
          <w:tab w:val="left" w:pos="8928"/>
        </w:tabs>
        <w:autoSpaceDE w:val="0"/>
        <w:autoSpaceDN w:val="0"/>
        <w:adjustRightInd w:val="0"/>
        <w:spacing w:before="144" w:after="0" w:line="252" w:lineRule="auto"/>
        <w:ind w:left="360" w:hanging="360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C962D2C" w14:textId="77777777" w:rsidR="00B67E6D" w:rsidRPr="00B67E6D" w:rsidRDefault="00B67E6D" w:rsidP="00B67E6D">
      <w:pPr>
        <w:widowControl w:val="0"/>
        <w:tabs>
          <w:tab w:val="left" w:pos="4820"/>
          <w:tab w:val="left" w:pos="8928"/>
        </w:tabs>
        <w:autoSpaceDE w:val="0"/>
        <w:autoSpaceDN w:val="0"/>
        <w:adjustRightInd w:val="0"/>
        <w:spacing w:before="144" w:after="0" w:line="252" w:lineRule="auto"/>
        <w:ind w:left="360" w:hanging="360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84FA0EF" w14:textId="29C3571F" w:rsidR="00B67E6D" w:rsidRPr="00B67E6D" w:rsidRDefault="00584B68" w:rsidP="00B67E6D">
      <w:pPr>
        <w:widowControl w:val="0"/>
        <w:tabs>
          <w:tab w:val="left" w:pos="4820"/>
          <w:tab w:val="left" w:pos="5670"/>
          <w:tab w:val="left" w:pos="8928"/>
        </w:tabs>
        <w:autoSpaceDE w:val="0"/>
        <w:autoSpaceDN w:val="0"/>
        <w:adjustRightInd w:val="0"/>
        <w:spacing w:after="60" w:line="252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XXXXXXXXXX</w:t>
      </w:r>
      <w:r w:rsidR="00B67E6D" w:rsidRPr="00B67E6D"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>XXXXXXXXXXXXX</w:t>
      </w:r>
    </w:p>
    <w:p w14:paraId="21DDFA9F" w14:textId="77777777" w:rsidR="00B67E6D" w:rsidRPr="00B67E6D" w:rsidRDefault="00B67E6D" w:rsidP="00B67E6D">
      <w:pPr>
        <w:widowControl w:val="0"/>
        <w:tabs>
          <w:tab w:val="left" w:pos="4820"/>
          <w:tab w:val="left" w:pos="5387"/>
          <w:tab w:val="left" w:pos="8928"/>
        </w:tabs>
        <w:autoSpaceDE w:val="0"/>
        <w:autoSpaceDN w:val="0"/>
        <w:adjustRightInd w:val="0"/>
        <w:spacing w:after="60" w:line="252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Ivan Láska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  <w:t>Bc. Michal Synovec</w:t>
      </w:r>
    </w:p>
    <w:p w14:paraId="04A0A6BA" w14:textId="0C421103" w:rsidR="00953D22" w:rsidRPr="00B67E6D" w:rsidRDefault="00B67E6D" w:rsidP="000B4EAE">
      <w:pPr>
        <w:widowControl w:val="0"/>
        <w:tabs>
          <w:tab w:val="left" w:pos="4820"/>
          <w:tab w:val="left" w:pos="5387"/>
          <w:tab w:val="left" w:pos="8928"/>
        </w:tabs>
        <w:autoSpaceDE w:val="0"/>
        <w:autoSpaceDN w:val="0"/>
        <w:adjustRightInd w:val="0"/>
        <w:spacing w:after="60" w:line="252" w:lineRule="auto"/>
      </w:pPr>
      <w:r w:rsidRPr="00B67E6D">
        <w:rPr>
          <w:rFonts w:ascii="Arial" w:eastAsia="Times New Roman" w:hAnsi="Arial" w:cs="Arial"/>
          <w:sz w:val="20"/>
          <w:szCs w:val="20"/>
          <w:lang w:eastAsia="cs-CZ"/>
        </w:rPr>
        <w:t>člen Rady Zlínského kraje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0B4EAE">
        <w:rPr>
          <w:rFonts w:ascii="Arial" w:eastAsia="Times New Roman" w:hAnsi="Arial" w:cs="Arial"/>
          <w:sz w:val="20"/>
          <w:szCs w:val="20"/>
          <w:lang w:eastAsia="cs-CZ"/>
        </w:rPr>
        <w:t>č</w:t>
      </w:r>
      <w:r w:rsidRPr="00B67E6D">
        <w:rPr>
          <w:rFonts w:ascii="Arial" w:eastAsia="Times New Roman" w:hAnsi="Arial" w:cs="Arial"/>
          <w:sz w:val="20"/>
          <w:szCs w:val="20"/>
          <w:lang w:eastAsia="cs-CZ"/>
        </w:rPr>
        <w:t>len Rady spolku</w:t>
      </w:r>
    </w:p>
    <w:sectPr w:rsidR="00953D22" w:rsidRPr="00B67E6D" w:rsidSect="00536822">
      <w:footerReference w:type="default" r:id="rId9"/>
      <w:pgSz w:w="11906" w:h="16838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40791" w14:textId="77777777" w:rsidR="00245972" w:rsidRDefault="00245972">
      <w:pPr>
        <w:spacing w:after="0" w:line="240" w:lineRule="auto"/>
      </w:pPr>
      <w:r>
        <w:separator/>
      </w:r>
    </w:p>
  </w:endnote>
  <w:endnote w:type="continuationSeparator" w:id="0">
    <w:p w14:paraId="4C918466" w14:textId="77777777" w:rsidR="00245972" w:rsidRDefault="00245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9C83E" w14:textId="3215BB3F" w:rsidR="00B67E6D" w:rsidRDefault="00B67E6D" w:rsidP="00CF7FF9">
    <w:pPr>
      <w:pStyle w:val="Zpat1"/>
      <w:jc w:val="center"/>
    </w:pPr>
    <w:r w:rsidRPr="00D03248">
      <w:rPr>
        <w:bCs/>
        <w:sz w:val="16"/>
        <w:szCs w:val="16"/>
      </w:rPr>
      <w:fldChar w:fldCharType="begin"/>
    </w:r>
    <w:r w:rsidRPr="00D03248">
      <w:rPr>
        <w:bCs/>
        <w:sz w:val="16"/>
        <w:szCs w:val="16"/>
      </w:rPr>
      <w:instrText>PAGE</w:instrText>
    </w:r>
    <w:r w:rsidRPr="00D03248">
      <w:rPr>
        <w:bCs/>
        <w:sz w:val="16"/>
        <w:szCs w:val="16"/>
      </w:rPr>
      <w:fldChar w:fldCharType="separate"/>
    </w:r>
    <w:r>
      <w:rPr>
        <w:bCs/>
        <w:sz w:val="16"/>
        <w:szCs w:val="16"/>
      </w:rPr>
      <w:t>10</w:t>
    </w:r>
    <w:r w:rsidRPr="00D03248">
      <w:rPr>
        <w:bCs/>
        <w:sz w:val="16"/>
        <w:szCs w:val="16"/>
      </w:rPr>
      <w:fldChar w:fldCharType="end"/>
    </w:r>
    <w:r w:rsidRPr="00D03248">
      <w:rPr>
        <w:bCs/>
        <w:sz w:val="16"/>
        <w:szCs w:val="16"/>
      </w:rPr>
      <w:t>/</w:t>
    </w:r>
    <w:r>
      <w:rPr>
        <w:bCs/>
        <w:sz w:val="16"/>
        <w:szCs w:val="16"/>
      </w:rPr>
      <w:fldChar w:fldCharType="begin"/>
    </w:r>
    <w:r>
      <w:rPr>
        <w:bCs/>
        <w:sz w:val="16"/>
        <w:szCs w:val="16"/>
      </w:rPr>
      <w:instrText xml:space="preserve"> SECTIONPAGES  </w:instrText>
    </w:r>
    <w:r>
      <w:rPr>
        <w:bCs/>
        <w:sz w:val="16"/>
        <w:szCs w:val="16"/>
      </w:rPr>
      <w:fldChar w:fldCharType="separate"/>
    </w:r>
    <w:r w:rsidR="00584B68">
      <w:rPr>
        <w:bCs/>
        <w:noProof/>
        <w:sz w:val="16"/>
        <w:szCs w:val="16"/>
      </w:rPr>
      <w:t>7</w:t>
    </w:r>
    <w:r>
      <w:rPr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F3AD2" w14:textId="77777777" w:rsidR="00245972" w:rsidRDefault="00245972">
      <w:pPr>
        <w:spacing w:after="0" w:line="240" w:lineRule="auto"/>
      </w:pPr>
      <w:r>
        <w:separator/>
      </w:r>
    </w:p>
  </w:footnote>
  <w:footnote w:type="continuationSeparator" w:id="0">
    <w:p w14:paraId="62C920EA" w14:textId="77777777" w:rsidR="00245972" w:rsidRDefault="00245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4473A"/>
    <w:multiLevelType w:val="hybridMultilevel"/>
    <w:tmpl w:val="FFFFFFFF"/>
    <w:lvl w:ilvl="0" w:tplc="04050005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3" w:hanging="360"/>
      </w:pPr>
      <w:rPr>
        <w:rFonts w:ascii="Wingdings" w:hAnsi="Wingdings" w:hint="default"/>
      </w:rPr>
    </w:lvl>
  </w:abstractNum>
  <w:num w:numId="1" w16cid:durableId="1401447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E6D"/>
    <w:rsid w:val="000B4EAE"/>
    <w:rsid w:val="00245972"/>
    <w:rsid w:val="0025343D"/>
    <w:rsid w:val="00266125"/>
    <w:rsid w:val="00443A5A"/>
    <w:rsid w:val="00536822"/>
    <w:rsid w:val="00584B68"/>
    <w:rsid w:val="00751EEE"/>
    <w:rsid w:val="00953D22"/>
    <w:rsid w:val="00B67E6D"/>
    <w:rsid w:val="00B92AD5"/>
    <w:rsid w:val="00D565D5"/>
    <w:rsid w:val="00F44039"/>
    <w:rsid w:val="00F543AA"/>
    <w:rsid w:val="00F5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3BD89"/>
  <w15:chartTrackingRefBased/>
  <w15:docId w15:val="{73FD8BE6-1EF5-44C8-B18E-DB1429BE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67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67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67E6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67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67E6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67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67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67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67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67E6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67E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67E6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67E6D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67E6D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67E6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67E6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67E6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67E6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67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67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67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67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67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67E6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67E6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67E6D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67E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67E6D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67E6D"/>
    <w:rPr>
      <w:b/>
      <w:bCs/>
      <w:smallCaps/>
      <w:color w:val="2E74B5" w:themeColor="accent1" w:themeShade="BF"/>
      <w:spacing w:val="5"/>
    </w:rPr>
  </w:style>
  <w:style w:type="paragraph" w:customStyle="1" w:styleId="Zpat1">
    <w:name w:val="Zápatí1"/>
    <w:basedOn w:val="Normln"/>
    <w:next w:val="Zpat"/>
    <w:link w:val="ZpatChar"/>
    <w:uiPriority w:val="99"/>
    <w:unhideWhenUsed/>
    <w:rsid w:val="00B67E6D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1"/>
    <w:uiPriority w:val="99"/>
    <w:rsid w:val="00B67E6D"/>
    <w:rPr>
      <w:rFonts w:ascii="Arial" w:hAnsi="Arial" w:cs="Arial"/>
      <w:kern w:val="0"/>
    </w:rPr>
  </w:style>
  <w:style w:type="paragraph" w:styleId="Zpat">
    <w:name w:val="footer"/>
    <w:basedOn w:val="Normln"/>
    <w:link w:val="ZpatChar1"/>
    <w:uiPriority w:val="99"/>
    <w:semiHidden/>
    <w:unhideWhenUsed/>
    <w:rsid w:val="00B67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B67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linskykraj.cz/logo-zlinskeho-kraj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linskykraj.cz/seznam-zrizovanych-a-zalozenych-organizaci-zlinskym-kraj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3616</Words>
  <Characters>21339</Characters>
  <Application>Microsoft Office Word</Application>
  <DocSecurity>0</DocSecurity>
  <Lines>177</Lines>
  <Paragraphs>49</Paragraphs>
  <ScaleCrop>false</ScaleCrop>
  <Company>Zlinsky kraj</Company>
  <LinksUpToDate>false</LinksUpToDate>
  <CharactersWithSpaces>24906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Pavlíčková Diana</dc:creator>
  <cp:keywords/>
  <dc:description/>
  <cp:lastModifiedBy>Gajdůšková Michaela</cp:lastModifiedBy>
  <cp:revision>5</cp:revision>
  <dcterms:created xsi:type="dcterms:W3CDTF">2026-06-15T08:44:00Z</dcterms:created>
  <dcterms:modified xsi:type="dcterms:W3CDTF">2026-09-14T13:51:00Z</dcterms:modified>
</cp:coreProperties>
</file>