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5139AF">
        <w:rPr>
          <w:rFonts w:ascii="Arial" w:hAnsi="Arial" w:cs="Arial"/>
          <w:b/>
          <w:bCs/>
          <w:sz w:val="18"/>
          <w:szCs w:val="18"/>
        </w:rPr>
        <w:t>6130</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992067">
        <w:rPr>
          <w:rFonts w:ascii="Arial" w:hAnsi="Arial" w:cs="Arial"/>
          <w:sz w:val="18"/>
          <w:szCs w:val="18"/>
        </w:rPr>
        <w:t>Město</w:t>
      </w:r>
      <w:r w:rsidR="005139AF">
        <w:rPr>
          <w:rFonts w:ascii="Arial" w:hAnsi="Arial" w:cs="Arial"/>
          <w:sz w:val="18"/>
          <w:szCs w:val="18"/>
        </w:rPr>
        <w:t xml:space="preserve"> Náchod</w:t>
      </w:r>
    </w:p>
    <w:p w:rsidR="00624452" w:rsidRDefault="00624452">
      <w:pPr>
        <w:rPr>
          <w:rFonts w:ascii="Arial" w:hAnsi="Arial" w:cs="Arial"/>
          <w:sz w:val="18"/>
          <w:szCs w:val="18"/>
        </w:rPr>
      </w:pPr>
      <w:r>
        <w:rPr>
          <w:rFonts w:ascii="Arial" w:hAnsi="Arial" w:cs="Arial"/>
          <w:sz w:val="18"/>
          <w:szCs w:val="18"/>
        </w:rPr>
        <w:t xml:space="preserve">Adresa (sídlo)                  </w:t>
      </w:r>
      <w:r>
        <w:rPr>
          <w:rFonts w:ascii="Arial" w:hAnsi="Arial" w:cs="Arial"/>
          <w:sz w:val="18"/>
          <w:szCs w:val="18"/>
        </w:rPr>
        <w:tab/>
        <w:t>:</w:t>
      </w:r>
      <w:r w:rsidR="00B629AD">
        <w:rPr>
          <w:rFonts w:ascii="Arial" w:hAnsi="Arial" w:cs="Arial"/>
          <w:sz w:val="18"/>
          <w:szCs w:val="18"/>
        </w:rPr>
        <w:t xml:space="preserve"> </w:t>
      </w:r>
      <w:r w:rsidR="00992067">
        <w:rPr>
          <w:rFonts w:ascii="Arial" w:hAnsi="Arial" w:cs="Arial"/>
          <w:sz w:val="18"/>
          <w:szCs w:val="18"/>
        </w:rPr>
        <w:t>Masarykovo náměstí 40, Náchod 547 6</w:t>
      </w:r>
      <w:r w:rsidR="00873C9D">
        <w:rPr>
          <w:rFonts w:ascii="Arial" w:hAnsi="Arial" w:cs="Arial"/>
          <w:sz w:val="18"/>
          <w:szCs w:val="18"/>
        </w:rPr>
        <w:t>1</w:t>
      </w:r>
    </w:p>
    <w:p w:rsidR="00624452" w:rsidRDefault="00624452">
      <w:pPr>
        <w:rPr>
          <w:rFonts w:ascii="Arial" w:hAnsi="Arial" w:cs="Arial"/>
          <w:sz w:val="18"/>
          <w:szCs w:val="18"/>
        </w:rPr>
      </w:pPr>
      <w:r>
        <w:rPr>
          <w:rFonts w:ascii="Arial" w:hAnsi="Arial" w:cs="Arial"/>
          <w:sz w:val="18"/>
          <w:szCs w:val="18"/>
        </w:rPr>
        <w:t xml:space="preserve">nar./IČO                             : </w:t>
      </w:r>
      <w:r w:rsidR="00992067">
        <w:rPr>
          <w:rFonts w:ascii="Arial" w:hAnsi="Arial" w:cs="Arial"/>
          <w:sz w:val="18"/>
          <w:szCs w:val="18"/>
        </w:rPr>
        <w:t>00272868</w:t>
      </w:r>
      <w:r>
        <w:rPr>
          <w:rFonts w:ascii="Arial" w:hAnsi="Arial" w:cs="Arial"/>
          <w:sz w:val="18"/>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sidR="00992067">
        <w:rPr>
          <w:rFonts w:ascii="Arial" w:hAnsi="Arial" w:cs="Arial"/>
          <w:sz w:val="18"/>
          <w:szCs w:val="18"/>
        </w:rPr>
        <w:t>Správa budov Náchod s.r.o., Českoskalická 105, Náchod 547 01</w:t>
      </w:r>
      <w:r>
        <w:rPr>
          <w:rFonts w:ascii="Arial" w:hAnsi="Arial" w:cs="Arial"/>
          <w:sz w:val="18"/>
          <w:szCs w:val="18"/>
        </w:rPr>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B629AD">
        <w:rPr>
          <w:rFonts w:ascii="Arial" w:hAnsi="Arial" w:cs="Arial"/>
          <w:sz w:val="18"/>
          <w:szCs w:val="18"/>
        </w:rPr>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r w:rsidR="00873C9D">
        <w:rPr>
          <w:rFonts w:ascii="Arial" w:hAnsi="Arial" w:cs="Arial"/>
          <w:sz w:val="18"/>
          <w:szCs w:val="18"/>
        </w:rPr>
        <w:t xml:space="preserve"> </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Říkov 3, 552 03  Česká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r w:rsidR="002B5F9B">
        <w:rPr>
          <w:rFonts w:ascii="Arial" w:hAnsi="Arial" w:cs="Arial"/>
          <w:sz w:val="18"/>
          <w:szCs w:val="18"/>
        </w:rPr>
        <w:t>XXXXXXXX</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w:t>
      </w:r>
      <w:r w:rsidR="002B5F9B">
        <w:rPr>
          <w:rFonts w:ascii="Arial" w:hAnsi="Arial" w:cs="Arial"/>
          <w:sz w:val="18"/>
          <w:szCs w:val="18"/>
        </w:rPr>
        <w:t>XXXXXXXX</w:t>
      </w:r>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r>
      <w:r w:rsidR="002B5F9B">
        <w:rPr>
          <w:rFonts w:ascii="Arial" w:hAnsi="Arial" w:cs="Arial"/>
          <w:sz w:val="18"/>
          <w:szCs w:val="18"/>
        </w:rPr>
        <w:t>XXXXXXXX</w:t>
      </w:r>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 xml:space="preserve">Osoby  zhotovitele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Objednatel se zavazuje dílo převzít a zaplatit za ně zhotoviteli cenu dle oběma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Pr="005139AF" w:rsidRDefault="00624452" w:rsidP="005139AF">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5139AF">
        <w:rPr>
          <w:rFonts w:ascii="Arial" w:hAnsi="Arial" w:cs="Arial"/>
          <w:sz w:val="18"/>
          <w:szCs w:val="18"/>
        </w:rPr>
        <w:t xml:space="preserve">plastových prvků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r w:rsidR="005139AF">
        <w:rPr>
          <w:rFonts w:ascii="Arial" w:hAnsi="Arial" w:cs="Arial"/>
          <w:sz w:val="18"/>
          <w:szCs w:val="18"/>
        </w:rPr>
        <w:t xml:space="preserve">1.10.2016 č.NVDP161307 </w:t>
      </w:r>
      <w:r w:rsidRPr="005139AF">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r w:rsidR="00992067">
        <w:rPr>
          <w:rFonts w:ascii="Arial" w:hAnsi="Arial" w:cs="Arial"/>
          <w:sz w:val="18"/>
          <w:szCs w:val="18"/>
        </w:rPr>
        <w:t>výměna oken v bytovém domě</w:t>
      </w:r>
      <w:r w:rsidR="005139AF">
        <w:rPr>
          <w:rFonts w:ascii="Arial" w:hAnsi="Arial" w:cs="Arial"/>
          <w:sz w:val="18"/>
          <w:szCs w:val="18"/>
        </w:rPr>
        <w:t xml:space="preserve"> Babí 60, Náchod</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spotřebovaný materiál (pěna, lepidla, vruty,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zajistit zhotoviteli bezplatně nezbytné energie pro montáž díla a nezbytné sociální zázemí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provést dílo ve  sjednaných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w:t>
      </w:r>
      <w:r>
        <w:rPr>
          <w:rFonts w:ascii="Arial" w:hAnsi="Arial" w:cs="Arial"/>
          <w:sz w:val="18"/>
          <w:szCs w:val="18"/>
        </w:rPr>
        <w:lastRenderedPageBreak/>
        <w:t>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(méněpráce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předání připraveného místa montáže - montážního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r w:rsidR="00B339C3">
        <w:rPr>
          <w:rFonts w:ascii="Arial" w:hAnsi="Arial" w:cs="Arial"/>
          <w:sz w:val="18"/>
          <w:szCs w:val="18"/>
        </w:rPr>
        <w:t xml:space="preserve">7. </w:t>
      </w:r>
      <w:r w:rsidR="005139AF">
        <w:rPr>
          <w:rFonts w:ascii="Arial" w:hAnsi="Arial" w:cs="Arial"/>
          <w:sz w:val="18"/>
          <w:szCs w:val="18"/>
        </w:rPr>
        <w:t>Listopad 2016</w:t>
      </w:r>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B339C3">
        <w:rPr>
          <w:rFonts w:ascii="Arial" w:hAnsi="Arial" w:cs="Arial"/>
          <w:sz w:val="18"/>
          <w:szCs w:val="18"/>
        </w:rPr>
        <w:t xml:space="preserve"> 16. </w:t>
      </w:r>
      <w:r w:rsidR="005139AF">
        <w:rPr>
          <w:rFonts w:ascii="Arial" w:hAnsi="Arial" w:cs="Arial"/>
          <w:sz w:val="18"/>
          <w:szCs w:val="18"/>
        </w:rPr>
        <w:t xml:space="preserve">Listopad 2016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5.3. této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Cena za dílo je stanovena dohodou stran a jedná se o smluvní cenu. Cena vychází z objednatelem odsouhlasené cenové nabídky zhotovitele. Cena díla je stanovena ve výši</w:t>
      </w:r>
    </w:p>
    <w:p w:rsidR="00624452" w:rsidRDefault="002B5F9B">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0" t="0" r="3810" b="381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13970" t="7620" r="8890" b="1143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5139AF">
                              <w:t>198 303,30,-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AwKwIAAE8EAAAOAAAAZHJzL2Uyb0RvYy54bWysVFFv0zAQfkfiP1h+p0nahq1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">
                <v:textbox>
                  <w:txbxContent>
                    <w:p w:rsidR="00624452" w:rsidRDefault="00624452">
                      <w:r>
                        <w:t>=</w:t>
                      </w:r>
                      <w:r w:rsidR="00B629AD">
                        <w:t xml:space="preserve"> </w:t>
                      </w:r>
                      <w:r w:rsidR="005139AF">
                        <w:t>198 303,30,-</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1943735</wp:posOffset>
                </wp:positionH>
                <wp:positionV relativeFrom="paragraph">
                  <wp:posOffset>34290</wp:posOffset>
                </wp:positionV>
                <wp:extent cx="539115" cy="228600"/>
                <wp:effectExtent l="635" t="0" r="3175" b="381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margin-left:153.05pt;margin-top:2.7pt;width:42.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" stroked="f">
                <v:textbox>
                  <w:txbxContent>
                    <w:p w:rsidR="00624452" w:rsidRDefault="00624452">
                      <w:r>
                        <w:t>Kč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2540" t="0" r="0" b="190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EhQIAAA0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DXJ&#10;z8S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10795" t="10795" r="8255" b="1333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5139AF">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pwKAIAAE4EAAAOAAAAZHJzL2Uyb0RvYy54bWysVNuO0zAQfUfiHyy/0yTdhO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KBZOnAoAgAATgQAAA4AAAAAAAAAAAAAAAAALgIAAGRycy9lMm9E&#10;b2MueG1sUEsBAi0AFAAGAAgAAAAhACey8PfdAAAACAEAAA8AAAAAAAAAAAAAAAAAggQAAGRycy9k&#10;b3ducmV2LnhtbFBLBQYAAAAABAAEAPMAAACMBQAAAAA=&#10;">
                <v:textbox>
                  <w:txbxContent>
                    <w:p w:rsidR="00624452" w:rsidRDefault="005139AF">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6985" t="5715" r="7620" b="1333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5139AF">
                              <w:t>239 947,00,-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B+iQJM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5139AF">
                        <w:t>239 947,00,-</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sidR="005139AF">
        <w:rPr>
          <w:rFonts w:ascii="Arial" w:hAnsi="Arial" w:cs="Arial"/>
          <w:sz w:val="18"/>
          <w:szCs w:val="18"/>
        </w:rPr>
        <w:t>bude</w:t>
      </w:r>
      <w:r>
        <w:rPr>
          <w:rFonts w:ascii="Arial" w:hAnsi="Arial" w:cs="Arial"/>
          <w:sz w:val="18"/>
          <w:szCs w:val="18"/>
        </w:rPr>
        <w:t xml:space="preserve"> poskytová</w:t>
      </w:r>
      <w:r w:rsidR="00A2398E">
        <w:rPr>
          <w:rFonts w:ascii="Arial" w:hAnsi="Arial" w:cs="Arial"/>
          <w:sz w:val="18"/>
          <w:szCs w:val="18"/>
        </w:rPr>
        <w:t>na finanční záloha ve výši 100 000,- Kč.</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Zhotovitel vystaví objednateli vyúčtování  -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Objednatel splní svou platební povinnost při  bezhotovostní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V souladu s ust.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obdržení a pokud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se zavazuje v rámci celé záruční doby poskytovat pro objednatele ZDARMA servis na díle. Servisem se rozumí seřízení kování a uvedení otevíracího prvku do funkčního stavu, případně výměna opotřebovaných částí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V případě prodlení objednatele  se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odstraněním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Všechny spory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  Cenová nabídka</w:t>
      </w:r>
      <w:r w:rsidR="005139AF">
        <w:rPr>
          <w:rFonts w:ascii="Arial" w:hAnsi="Arial" w:cs="Arial"/>
          <w:sz w:val="18"/>
          <w:szCs w:val="18"/>
        </w:rPr>
        <w:t xml:space="preserve"> NVDP161307</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r w:rsidR="00A2398E">
        <w:rPr>
          <w:rFonts w:ascii="Arial" w:hAnsi="Arial" w:cs="Arial"/>
          <w:sz w:val="18"/>
          <w:szCs w:val="18"/>
        </w:rPr>
        <w:t>5.10.2016</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Objednatel                                                                            Zhotovitel</w:t>
      </w:r>
    </w:p>
    <w:p w:rsidR="002B5F9B" w:rsidRDefault="002B5F9B">
      <w:pPr>
        <w:spacing w:before="120"/>
        <w:rPr>
          <w:rFonts w:ascii="Arial" w:hAnsi="Arial" w:cs="Arial"/>
          <w:sz w:val="18"/>
          <w:szCs w:val="18"/>
        </w:rPr>
      </w:pPr>
      <w:r>
        <w:rPr>
          <w:rFonts w:ascii="Arial" w:hAnsi="Arial" w:cs="Arial"/>
          <w:sz w:val="18"/>
          <w:szCs w:val="18"/>
        </w:rPr>
        <w:t>XXXXXXXXX                                                                       XXXXXXXXXXX</w:t>
      </w:r>
      <w:bookmarkStart w:id="0" w:name="_GoBack"/>
      <w:bookmarkEnd w:id="0"/>
    </w:p>
    <w:sectPr w:rsidR="002B5F9B"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B4" w:rsidRDefault="00A26FB4">
      <w:r>
        <w:separator/>
      </w:r>
    </w:p>
  </w:endnote>
  <w:endnote w:type="continuationSeparator" w:id="0">
    <w:p w:rsidR="00A26FB4" w:rsidRDefault="00A2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C41F03">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C41F03">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2B5F9B">
      <w:rPr>
        <w:rStyle w:val="slostrnky"/>
        <w:noProof/>
      </w:rPr>
      <w:t>2</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B4" w:rsidRDefault="00A26FB4">
      <w:r>
        <w:separator/>
      </w:r>
    </w:p>
  </w:footnote>
  <w:footnote w:type="continuationSeparator" w:id="0">
    <w:p w:rsidR="00A26FB4" w:rsidRDefault="00A26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D"/>
    <w:rsid w:val="00152849"/>
    <w:rsid w:val="001C0266"/>
    <w:rsid w:val="001C7958"/>
    <w:rsid w:val="002237B3"/>
    <w:rsid w:val="002B5F9B"/>
    <w:rsid w:val="0039417C"/>
    <w:rsid w:val="00400750"/>
    <w:rsid w:val="004824AF"/>
    <w:rsid w:val="004B0FFB"/>
    <w:rsid w:val="005139AF"/>
    <w:rsid w:val="00624452"/>
    <w:rsid w:val="0070068C"/>
    <w:rsid w:val="0076606F"/>
    <w:rsid w:val="007A442D"/>
    <w:rsid w:val="007A53A1"/>
    <w:rsid w:val="00873C9D"/>
    <w:rsid w:val="0091433C"/>
    <w:rsid w:val="00992067"/>
    <w:rsid w:val="009B4982"/>
    <w:rsid w:val="00A235F0"/>
    <w:rsid w:val="00A2398E"/>
    <w:rsid w:val="00A26FB4"/>
    <w:rsid w:val="00B339C3"/>
    <w:rsid w:val="00B629AD"/>
    <w:rsid w:val="00BB3795"/>
    <w:rsid w:val="00C41F03"/>
    <w:rsid w:val="00CE7F93"/>
    <w:rsid w:val="00D10872"/>
    <w:rsid w:val="00D41C4A"/>
    <w:rsid w:val="00D862F7"/>
    <w:rsid w:val="00E21F3D"/>
    <w:rsid w:val="00F2689C"/>
    <w:rsid w:val="00FD4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2706</Words>
  <Characters>15969</Characters>
  <Application>Microsoft Office Word</Application>
  <DocSecurity>4</DocSecurity>
  <Lines>133</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18638</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2</cp:revision>
  <cp:lastPrinted>2016-07-21T08:55:00Z</cp:lastPrinted>
  <dcterms:created xsi:type="dcterms:W3CDTF">2016-10-05T11:31:00Z</dcterms:created>
  <dcterms:modified xsi:type="dcterms:W3CDTF">2016-10-05T11:31:00Z</dcterms:modified>
</cp:coreProperties>
</file>