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FC8" w:rsidRDefault="00E3678D">
      <w:pPr>
        <w:spacing w:before="60" w:after="12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</w:t>
      </w:r>
    </w:p>
    <w:p w:rsidR="00146FC8" w:rsidRDefault="00E3678D">
      <w:pPr>
        <w:spacing w:after="120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PŘÍKAZNÍ SMLOUVA</w:t>
      </w:r>
    </w:p>
    <w:p w:rsidR="00146FC8" w:rsidRDefault="00E3678D">
      <w:pPr>
        <w:tabs>
          <w:tab w:val="left" w:pos="0"/>
        </w:tabs>
        <w:ind w:right="566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O DAŇOVÉM PORADENSTVÍ A ZASTUPOVÁNÍ VE VĚCECH DANÍ</w:t>
      </w:r>
    </w:p>
    <w:p w:rsidR="00146FC8" w:rsidRDefault="00146FC8">
      <w:pPr>
        <w:jc w:val="center"/>
        <w:rPr>
          <w:rFonts w:asciiTheme="minorHAnsi" w:hAnsiTheme="minorHAnsi" w:cs="Arial"/>
        </w:rPr>
      </w:pPr>
    </w:p>
    <w:p w:rsidR="00146FC8" w:rsidRDefault="00E3678D">
      <w:pPr>
        <w:tabs>
          <w:tab w:val="left" w:pos="0"/>
        </w:tabs>
        <w:ind w:right="21"/>
        <w:jc w:val="center"/>
        <w:rPr>
          <w:rFonts w:asciiTheme="minorHAnsi" w:hAnsiTheme="minorHAnsi" w:cs="Arial"/>
          <w:sz w:val="10"/>
          <w:szCs w:val="10"/>
        </w:rPr>
      </w:pPr>
      <w:r>
        <w:rPr>
          <w:rFonts w:asciiTheme="minorHAnsi" w:hAnsiTheme="minorHAnsi" w:cs="Arial"/>
          <w:sz w:val="28"/>
          <w:szCs w:val="28"/>
        </w:rPr>
        <w:t>uzavřená ve smyslu § 2430 a násl. zákona č. 89/2012 Sb., občanský zákoník,</w:t>
      </w:r>
      <w:r>
        <w:rPr>
          <w:rFonts w:asciiTheme="minorHAnsi" w:hAnsiTheme="minorHAnsi" w:cs="Arial"/>
          <w:sz w:val="28"/>
          <w:szCs w:val="28"/>
        </w:rPr>
        <w:br/>
        <w:t>ve znění pozdějších předpisů (dále jen „</w:t>
      </w:r>
      <w:r>
        <w:rPr>
          <w:rFonts w:asciiTheme="minorHAnsi" w:hAnsiTheme="minorHAnsi" w:cs="Arial"/>
          <w:b/>
          <w:i/>
          <w:sz w:val="28"/>
          <w:szCs w:val="28"/>
        </w:rPr>
        <w:t>Smlouva</w:t>
      </w:r>
      <w:r>
        <w:rPr>
          <w:rFonts w:asciiTheme="minorHAnsi" w:hAnsiTheme="minorHAnsi" w:cs="Arial"/>
          <w:sz w:val="28"/>
          <w:szCs w:val="28"/>
        </w:rPr>
        <w:t xml:space="preserve">“), mezi těmito smluvními stranami: </w:t>
      </w:r>
      <w:r>
        <w:rPr>
          <w:rFonts w:asciiTheme="minorHAnsi" w:hAnsiTheme="minorHAnsi" w:cs="Arial"/>
          <w:sz w:val="28"/>
          <w:szCs w:val="28"/>
        </w:rPr>
        <w:br/>
      </w:r>
    </w:p>
    <w:p w:rsidR="00146FC8" w:rsidRDefault="00146FC8">
      <w:pPr>
        <w:jc w:val="center"/>
        <w:rPr>
          <w:rFonts w:ascii="Arial" w:hAnsi="Arial" w:cs="Arial"/>
          <w:sz w:val="22"/>
          <w:szCs w:val="22"/>
        </w:rPr>
      </w:pPr>
    </w:p>
    <w:p w:rsidR="00146FC8" w:rsidRDefault="00146FC8">
      <w:pPr>
        <w:jc w:val="center"/>
        <w:rPr>
          <w:rFonts w:ascii="Arial" w:hAnsi="Arial" w:cs="Arial"/>
          <w:sz w:val="22"/>
          <w:szCs w:val="22"/>
        </w:rPr>
      </w:pPr>
    </w:p>
    <w:p w:rsidR="00146FC8" w:rsidRDefault="00E367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Příkazce</w:t>
      </w:r>
    </w:p>
    <w:p w:rsidR="00146FC8" w:rsidRDefault="00E367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Národní zemědělské muzeum,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s.p.</w:t>
      </w:r>
      <w:proofErr w:type="gramEnd"/>
      <w:r>
        <w:rPr>
          <w:rFonts w:ascii="Arial" w:hAnsi="Arial" w:cs="Arial"/>
          <w:b/>
          <w:sz w:val="22"/>
          <w:szCs w:val="22"/>
        </w:rPr>
        <w:t>o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Kostelní 1300/44, 170 00 Praha 7 - Holešovice</w:t>
      </w: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750 75 741</w:t>
      </w: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 75075741</w:t>
      </w: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25847">
        <w:rPr>
          <w:rFonts w:ascii="Arial" w:hAnsi="Arial" w:cs="Arial"/>
          <w:sz w:val="22"/>
          <w:szCs w:val="22"/>
        </w:rPr>
        <w:t>xxx</w:t>
      </w:r>
      <w:proofErr w:type="spellEnd"/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25847">
        <w:rPr>
          <w:rFonts w:ascii="Arial" w:hAnsi="Arial" w:cs="Arial"/>
          <w:sz w:val="22"/>
          <w:szCs w:val="22"/>
        </w:rPr>
        <w:t>xxx</w:t>
      </w:r>
      <w:proofErr w:type="spellEnd"/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doc. Ing. Milanem Janem Půčkem, MBA, PhD., generálním ředitelem</w:t>
      </w:r>
    </w:p>
    <w:p w:rsidR="00146FC8" w:rsidRDefault="00146FC8">
      <w:pPr>
        <w:jc w:val="center"/>
        <w:rPr>
          <w:rFonts w:ascii="Arial" w:hAnsi="Arial" w:cs="Arial"/>
          <w:sz w:val="10"/>
          <w:szCs w:val="10"/>
        </w:rPr>
      </w:pP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příkazce</w:t>
      </w:r>
      <w:r>
        <w:rPr>
          <w:rFonts w:ascii="Arial" w:hAnsi="Arial" w:cs="Arial"/>
          <w:sz w:val="22"/>
          <w:szCs w:val="22"/>
        </w:rPr>
        <w:t>“)</w:t>
      </w: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straně jedné</w:t>
      </w:r>
    </w:p>
    <w:p w:rsidR="00146FC8" w:rsidRDefault="00146FC8">
      <w:pPr>
        <w:jc w:val="center"/>
        <w:rPr>
          <w:rFonts w:ascii="Arial" w:hAnsi="Arial" w:cs="Arial"/>
          <w:sz w:val="22"/>
          <w:szCs w:val="22"/>
        </w:rPr>
      </w:pPr>
    </w:p>
    <w:p w:rsidR="00146FC8" w:rsidRDefault="00E36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146FC8" w:rsidRDefault="00146FC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146FC8" w:rsidRDefault="00E367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Příkazník</w:t>
      </w:r>
    </w:p>
    <w:p w:rsidR="00146FC8" w:rsidRDefault="00E3678D">
      <w:pPr>
        <w:tabs>
          <w:tab w:val="left" w:pos="0"/>
        </w:tabs>
        <w:ind w:right="15"/>
        <w:jc w:val="both"/>
      </w:pPr>
      <w:r>
        <w:rPr>
          <w:rFonts w:ascii="Arial" w:eastAsia="SimSun" w:hAnsi="Arial" w:cs="Arial"/>
          <w:b/>
          <w:sz w:val="22"/>
          <w:szCs w:val="22"/>
          <w:shd w:val="clear" w:color="auto" w:fill="FFFFFF"/>
        </w:rPr>
        <w:t>Ing. Alena Parkánová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sz w:val="22"/>
          <w:szCs w:val="22"/>
        </w:rPr>
        <w:t xml:space="preserve"> daňový poradce,</w:t>
      </w:r>
    </w:p>
    <w:p w:rsidR="00146FC8" w:rsidRDefault="00E3678D">
      <w:pPr>
        <w:tabs>
          <w:tab w:val="left" w:pos="0"/>
        </w:tabs>
        <w:ind w:right="15"/>
        <w:jc w:val="both"/>
      </w:pPr>
      <w:r>
        <w:rPr>
          <w:rFonts w:ascii="Arial" w:hAnsi="Arial" w:cs="Arial"/>
        </w:rPr>
        <w:t>zapsaný: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seznamu Komory daňových poradců ČR pod ev. č. 107</w:t>
      </w:r>
    </w:p>
    <w:p w:rsidR="00146FC8" w:rsidRDefault="00E3678D">
      <w:pPr>
        <w:tabs>
          <w:tab w:val="left" w:pos="0"/>
        </w:tabs>
        <w:ind w:right="15"/>
        <w:jc w:val="both"/>
      </w:pPr>
      <w:r>
        <w:rPr>
          <w:rFonts w:ascii="Arial" w:hAnsi="Arial" w:cs="Arial"/>
        </w:rPr>
        <w:t xml:space="preserve">bytem: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Řevnice, Mníšecká 1112</w:t>
      </w:r>
    </w:p>
    <w:p w:rsidR="00146FC8" w:rsidRDefault="00E3678D">
      <w:pPr>
        <w:tabs>
          <w:tab w:val="left" w:pos="0"/>
        </w:tabs>
        <w:ind w:right="15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IČO: 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15092356</w:t>
      </w:r>
    </w:p>
    <w:p w:rsidR="00146FC8" w:rsidRDefault="00E3678D">
      <w:pPr>
        <w:tabs>
          <w:tab w:val="left" w:pos="0"/>
        </w:tabs>
        <w:ind w:right="15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DIČ: 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proofErr w:type="spellStart"/>
      <w:r w:rsidR="00625847">
        <w:rPr>
          <w:rFonts w:ascii="Arial" w:eastAsia="SimSun" w:hAnsi="Arial" w:cs="Arial"/>
          <w:sz w:val="22"/>
          <w:szCs w:val="22"/>
          <w:shd w:val="clear" w:color="auto" w:fill="FFFFFF"/>
        </w:rPr>
        <w:t>xxx</w:t>
      </w:r>
      <w:proofErr w:type="spellEnd"/>
    </w:p>
    <w:p w:rsidR="00146FC8" w:rsidRDefault="00E3678D">
      <w:pPr>
        <w:tabs>
          <w:tab w:val="left" w:pos="0"/>
        </w:tabs>
        <w:ind w:right="15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bankovní spojení: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proofErr w:type="spellStart"/>
      <w:r w:rsidR="00625847">
        <w:rPr>
          <w:rFonts w:ascii="Arial" w:eastAsia="SimSun" w:hAnsi="Arial" w:cs="Arial"/>
          <w:sz w:val="22"/>
          <w:szCs w:val="22"/>
          <w:shd w:val="clear" w:color="auto" w:fill="FFFFFF"/>
        </w:rPr>
        <w:t>xxx</w:t>
      </w:r>
      <w:proofErr w:type="spellEnd"/>
    </w:p>
    <w:p w:rsidR="00146FC8" w:rsidRDefault="00E3678D">
      <w:pPr>
        <w:tabs>
          <w:tab w:val="left" w:pos="0"/>
        </w:tabs>
        <w:ind w:right="15"/>
        <w:jc w:val="both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číslo účtu:  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proofErr w:type="spellStart"/>
      <w:r w:rsidR="00625847">
        <w:rPr>
          <w:rFonts w:ascii="Arial" w:eastAsia="SimSun" w:hAnsi="Arial" w:cs="Arial"/>
          <w:sz w:val="22"/>
          <w:szCs w:val="22"/>
          <w:shd w:val="clear" w:color="auto" w:fill="FFFFFF"/>
        </w:rPr>
        <w:t>xxx</w:t>
      </w:r>
      <w:proofErr w:type="spellEnd"/>
    </w:p>
    <w:p w:rsidR="00146FC8" w:rsidRDefault="00E3678D">
      <w:pPr>
        <w:pStyle w:val="Odstavecpokraovac5"/>
        <w:ind w:left="0"/>
        <w:rPr>
          <w:rFonts w:cs="Arial"/>
          <w:szCs w:val="24"/>
        </w:rPr>
      </w:pPr>
      <w:r>
        <w:rPr>
          <w:rFonts w:cs="Arial"/>
          <w:szCs w:val="24"/>
        </w:rPr>
        <w:t>(dále jen "</w:t>
      </w:r>
      <w:r>
        <w:rPr>
          <w:rFonts w:cs="Arial"/>
          <w:b/>
          <w:i/>
          <w:szCs w:val="24"/>
        </w:rPr>
        <w:t>daňový poradce</w:t>
      </w:r>
      <w:r>
        <w:rPr>
          <w:rFonts w:cs="Arial"/>
          <w:szCs w:val="24"/>
        </w:rPr>
        <w:t xml:space="preserve">" </w:t>
      </w:r>
      <w:r>
        <w:rPr>
          <w:rStyle w:val="Zkladntext3Netun"/>
          <w:rFonts w:cs="Arial"/>
          <w:sz w:val="24"/>
          <w:szCs w:val="24"/>
        </w:rPr>
        <w:t xml:space="preserve">nebo </w:t>
      </w:r>
      <w:r>
        <w:rPr>
          <w:rFonts w:cs="Arial"/>
          <w:b/>
          <w:szCs w:val="24"/>
        </w:rPr>
        <w:t>„</w:t>
      </w:r>
      <w:r>
        <w:rPr>
          <w:rFonts w:cs="Arial"/>
          <w:b/>
          <w:i/>
          <w:szCs w:val="24"/>
        </w:rPr>
        <w:t>příkazník</w:t>
      </w:r>
      <w:r>
        <w:rPr>
          <w:rFonts w:cs="Arial"/>
          <w:b/>
          <w:szCs w:val="24"/>
        </w:rPr>
        <w:t>“)</w:t>
      </w:r>
      <w:r>
        <w:rPr>
          <w:rFonts w:cs="Arial"/>
          <w:szCs w:val="24"/>
        </w:rPr>
        <w:t xml:space="preserve"> </w:t>
      </w:r>
    </w:p>
    <w:p w:rsidR="00146FC8" w:rsidRDefault="00E3678D">
      <w:pPr>
        <w:tabs>
          <w:tab w:val="left" w:pos="720"/>
        </w:tabs>
        <w:spacing w:before="6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146FC8" w:rsidRDefault="00146FC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146FC8" w:rsidRDefault="00E367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(příkazník a příkazce dále společné též jako „</w:t>
      </w:r>
      <w:r>
        <w:rPr>
          <w:rFonts w:ascii="Arial" w:hAnsi="Arial" w:cs="Arial"/>
          <w:b/>
          <w:color w:val="000000"/>
          <w:sz w:val="22"/>
          <w:szCs w:val="22"/>
        </w:rPr>
        <w:t>smluvní strany</w:t>
      </w:r>
      <w:r>
        <w:rPr>
          <w:rFonts w:ascii="Arial" w:hAnsi="Arial" w:cs="Arial"/>
          <w:color w:val="000000"/>
          <w:sz w:val="22"/>
          <w:szCs w:val="22"/>
        </w:rPr>
        <w:t>“ či jednotlivě jako „</w:t>
      </w:r>
      <w:r>
        <w:rPr>
          <w:rFonts w:ascii="Arial" w:hAnsi="Arial" w:cs="Arial"/>
          <w:b/>
          <w:color w:val="000000"/>
          <w:sz w:val="22"/>
          <w:szCs w:val="22"/>
        </w:rPr>
        <w:t>smluvní strana</w:t>
      </w:r>
      <w:r>
        <w:rPr>
          <w:rFonts w:ascii="Arial" w:hAnsi="Arial" w:cs="Arial"/>
          <w:color w:val="000000"/>
          <w:sz w:val="22"/>
          <w:szCs w:val="22"/>
        </w:rPr>
        <w:t>“).</w:t>
      </w:r>
    </w:p>
    <w:p w:rsidR="00146FC8" w:rsidRDefault="00146FC8">
      <w:pPr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146FC8" w:rsidRDefault="00E367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uzavírají níže uvedeného dne, měsíce a roku ve smyslu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§ 2430 a násl. zákona č. 89/2012 Sb., občanského zákoníku, v platném znění (dále jen „</w:t>
      </w:r>
      <w:r>
        <w:rPr>
          <w:rFonts w:ascii="Arial" w:hAnsi="Arial" w:cs="Arial"/>
          <w:b/>
          <w:color w:val="000000"/>
          <w:sz w:val="22"/>
          <w:szCs w:val="22"/>
        </w:rPr>
        <w:t>občanský zákoník</w:t>
      </w:r>
      <w:r>
        <w:rPr>
          <w:rFonts w:ascii="Arial" w:hAnsi="Arial" w:cs="Arial"/>
          <w:color w:val="000000"/>
          <w:sz w:val="22"/>
          <w:szCs w:val="22"/>
        </w:rPr>
        <w:t xml:space="preserve">“), tuto </w:t>
      </w:r>
    </w:p>
    <w:p w:rsidR="00146FC8" w:rsidRDefault="00146FC8">
      <w:pPr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146FC8" w:rsidRDefault="00E3678D">
      <w:pPr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příkazní smlouvu</w:t>
      </w:r>
    </w:p>
    <w:p w:rsidR="00146FC8" w:rsidRDefault="00E3678D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>
        <w:rPr>
          <w:rFonts w:ascii="Arial" w:hAnsi="Arial" w:cs="Arial"/>
          <w:b/>
          <w:color w:val="000000"/>
          <w:sz w:val="22"/>
          <w:szCs w:val="22"/>
        </w:rPr>
        <w:t>smlouva</w:t>
      </w:r>
      <w:r>
        <w:rPr>
          <w:rFonts w:ascii="Arial" w:hAnsi="Arial" w:cs="Arial"/>
          <w:color w:val="000000"/>
          <w:sz w:val="22"/>
          <w:szCs w:val="22"/>
        </w:rPr>
        <w:t>“).</w:t>
      </w:r>
    </w:p>
    <w:p w:rsidR="00146FC8" w:rsidRDefault="00146FC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146FC8" w:rsidRDefault="00E3678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:rsidR="00146FC8" w:rsidRDefault="00E3678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Předmět smlouvy</w:t>
      </w:r>
    </w:p>
    <w:p w:rsidR="00146FC8" w:rsidRDefault="00146FC8">
      <w:pPr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146FC8" w:rsidRDefault="00E3678D">
      <w:pPr>
        <w:widowControl/>
        <w:numPr>
          <w:ilvl w:val="0"/>
          <w:numId w:val="1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Předmětem této smlouvy je obstarávání níže uvedených záležitostí příkazce příkazníkem. </w:t>
      </w:r>
    </w:p>
    <w:p w:rsidR="00146FC8" w:rsidRDefault="00E3678D">
      <w:pPr>
        <w:widowControl/>
        <w:numPr>
          <w:ilvl w:val="0"/>
          <w:numId w:val="1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se tedy zavazuje:</w:t>
      </w:r>
    </w:p>
    <w:p w:rsidR="00146FC8" w:rsidRDefault="00E3678D">
      <w:pPr>
        <w:widowControl/>
        <w:numPr>
          <w:ilvl w:val="0"/>
          <w:numId w:val="2"/>
        </w:numPr>
        <w:suppressAutoHyphens w:val="0"/>
        <w:spacing w:after="60"/>
        <w:ind w:left="851"/>
        <w:jc w:val="both"/>
        <w:rPr>
          <w:rFonts w:asciiTheme="minorHAnsi" w:hAnsiTheme="minorHAnsi" w:cs="Arial"/>
        </w:rPr>
      </w:pPr>
      <w:r>
        <w:rPr>
          <w:rFonts w:ascii="Calibri" w:hAnsi="Calibri" w:cs="Arial"/>
          <w:szCs w:val="24"/>
        </w:rPr>
        <w:t>Poskytovat odbornou pomoc a finančně ekonomické rady ve věci daní a poplatků, jakož i ve věcech, které s daněmi přímo souvisejí (dále jen jako „daňové poradenství“)</w:t>
      </w:r>
      <w:r>
        <w:rPr>
          <w:rFonts w:ascii="Calibri" w:hAnsi="Calibri" w:cs="Arial"/>
        </w:rPr>
        <w:t>;</w:t>
      </w:r>
    </w:p>
    <w:p w:rsidR="00146FC8" w:rsidRDefault="00E3678D">
      <w:pPr>
        <w:widowControl/>
        <w:numPr>
          <w:ilvl w:val="0"/>
          <w:numId w:val="2"/>
        </w:numPr>
        <w:suppressAutoHyphens w:val="0"/>
        <w:spacing w:after="60"/>
        <w:ind w:left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Zpracovat, sestavit a podat jménem příkazce daňové přiznání na daň z příjmů právnických osob v prodloužené lhůtě za jednotlivá účetní období;</w:t>
      </w:r>
    </w:p>
    <w:p w:rsidR="00146FC8" w:rsidRDefault="00E3678D">
      <w:pPr>
        <w:widowControl/>
        <w:numPr>
          <w:ilvl w:val="0"/>
          <w:numId w:val="2"/>
        </w:numPr>
        <w:suppressAutoHyphens w:val="0"/>
        <w:spacing w:after="60"/>
        <w:ind w:left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Zastupovat příkazce při kontrolách tohoto období vykonávaných příslušným správcem daně.</w:t>
      </w:r>
    </w:p>
    <w:p w:rsidR="00146FC8" w:rsidRDefault="00146FC8">
      <w:pPr>
        <w:pStyle w:val="Zkladntext30"/>
        <w:shd w:val="clear" w:color="auto" w:fill="auto"/>
        <w:spacing w:before="0" w:after="262" w:line="226" w:lineRule="exact"/>
        <w:ind w:firstLine="0"/>
        <w:jc w:val="center"/>
        <w:rPr>
          <w:rFonts w:asciiTheme="minorHAnsi" w:hAnsiTheme="minorHAnsi"/>
        </w:rPr>
      </w:pPr>
    </w:p>
    <w:p w:rsidR="00146FC8" w:rsidRDefault="00E3678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ČI. II</w:t>
      </w:r>
    </w:p>
    <w:p w:rsidR="00146FC8" w:rsidRDefault="00E3678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Práva a povinnosti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bookmarkStart w:id="0" w:name="bookmark2"/>
      <w:r>
        <w:rPr>
          <w:rFonts w:asciiTheme="minorHAnsi" w:hAnsiTheme="minorHAnsi" w:cs="Arial"/>
        </w:rPr>
        <w:t xml:space="preserve">Příkazník je povinen činnosti uvedené v Čl. I této smlouvy provádět v souladu se </w:t>
      </w:r>
      <w:bookmarkEnd w:id="0"/>
      <w:r>
        <w:rPr>
          <w:rFonts w:asciiTheme="minorHAnsi" w:hAnsiTheme="minorHAnsi" w:cs="Arial"/>
        </w:rPr>
        <w:t>zájmy příkazce a podle jeho pokynů, které zná nebo musí znát.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je povinen oznámit příkazci všechny okolnosti, které zjistil při zařizování záležitostí a jež mohou mít vliv na změnu pokynů příkazce.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pokynů příkazce se může příkazník odchýlit, pokud to je nezbytné v zájmu příkazce a pokud příkazník nemůže obdržet včas jeho souhlas.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je povinen předat bez zbytečného odkladu příkazci věci, které za něho převzal při vyřizování záležitostí.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se zavazuje průběžně informovat příkazce o průběhu vyřizování záležitostí a to zpravidla ústní formou při osobních jednáních nebo telefonicky, pokud z povahy a závažnosti věci nevyplývá, že je nezbytná písemná forma vzájemného kontaktu.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je povinen zachovávat mlčenlivost o všech skutečnostech, o nichž se dozvěděl v souvislosti s výkonem daňového poradenství s výjimkou informací, které jsou obecně známy a s výjimkou situací specifikovaných zákony. Této povinnosti ho může zprostit pouze příkazce svým prohlášením, avšak i v tomto případě je příkazník povinen zachovat mlčenlivost, pokud je to v zájmu příkazce. Tato povinnost platí i v případě, že příkazník pozbude oprávnění k výkonu daňového poradenství. Získané informace nesmí zneužít ke svému prospěchu nebo k prospěchu někoho jiného.</w:t>
      </w:r>
    </w:p>
    <w:p w:rsidR="00146FC8" w:rsidRDefault="00E3678D">
      <w:pPr>
        <w:widowControl/>
        <w:numPr>
          <w:ilvl w:val="0"/>
          <w:numId w:val="3"/>
        </w:numPr>
        <w:suppressAutoHyphens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 zpracování daňového přiznání dle Čl. I předá příkazce příkazníkovi veškeré potřebné podklady nejpozději 20 dnů před termínem pro odevzdání daňového přiznání. Seznam potřebných podkladů předá příkazník v písemné podobě příkazci 5 dnů před termínem pro odevzdání daňového přiznání.</w:t>
      </w:r>
    </w:p>
    <w:p w:rsidR="00146FC8" w:rsidRDefault="00E3678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 xml:space="preserve">ČI. III </w:t>
      </w:r>
    </w:p>
    <w:p w:rsidR="00146FC8" w:rsidRDefault="00E3678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Odměna</w:t>
      </w:r>
    </w:p>
    <w:p w:rsidR="00146FC8" w:rsidRDefault="00E3678D">
      <w:pPr>
        <w:widowControl/>
        <w:numPr>
          <w:ilvl w:val="0"/>
          <w:numId w:val="4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má právo na odměnu pouze v případě, že nastal výsledek, k němuž činnost příkazníka směřovala.</w:t>
      </w:r>
    </w:p>
    <w:p w:rsidR="00146FC8" w:rsidRDefault="00E3678D">
      <w:pPr>
        <w:widowControl/>
        <w:numPr>
          <w:ilvl w:val="0"/>
          <w:numId w:val="4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Odměna příkazníka za činnosti </w:t>
      </w:r>
      <w:proofErr w:type="gramStart"/>
      <w:r>
        <w:rPr>
          <w:rFonts w:asciiTheme="minorHAnsi" w:hAnsiTheme="minorHAnsi" w:cs="Arial"/>
        </w:rPr>
        <w:t>dle</w:t>
      </w:r>
      <w:proofErr w:type="gramEnd"/>
      <w:r>
        <w:rPr>
          <w:rFonts w:asciiTheme="minorHAnsi" w:hAnsiTheme="minorHAnsi" w:cs="Arial"/>
        </w:rPr>
        <w:t xml:space="preserve"> ČI. I této smlouvy za účetní období se stanoví částkou ve </w:t>
      </w:r>
      <w:r>
        <w:rPr>
          <w:rFonts w:asciiTheme="minorHAnsi" w:hAnsiTheme="minorHAnsi" w:cs="Arial"/>
          <w:b/>
        </w:rPr>
        <w:t>výši:</w:t>
      </w:r>
    </w:p>
    <w:p w:rsidR="00146FC8" w:rsidRDefault="00E3678D">
      <w:pPr>
        <w:pStyle w:val="Odstavecseseznamem"/>
        <w:widowControl/>
        <w:numPr>
          <w:ilvl w:val="0"/>
          <w:numId w:val="9"/>
        </w:numPr>
        <w:suppressAutoHyphens w:val="0"/>
        <w:spacing w:before="60" w:after="60"/>
        <w:jc w:val="both"/>
        <w:rPr>
          <w:shd w:val="clear" w:color="auto" w:fill="FFFFFF"/>
        </w:rPr>
      </w:pPr>
      <w:r>
        <w:rPr>
          <w:rFonts w:asciiTheme="minorHAnsi" w:eastAsia="SimSun" w:hAnsiTheme="minorHAnsi" w:cs="Arial"/>
          <w:b/>
          <w:shd w:val="clear" w:color="auto" w:fill="FFFFFF"/>
        </w:rPr>
        <w:t>1000</w:t>
      </w:r>
      <w:r>
        <w:rPr>
          <w:rFonts w:asciiTheme="minorHAnsi" w:hAnsiTheme="minorHAnsi" w:cs="Arial"/>
          <w:b/>
          <w:shd w:val="clear" w:color="auto" w:fill="FFFFFF"/>
        </w:rPr>
        <w:t xml:space="preserve">,-Kč (slovy </w:t>
      </w:r>
      <w:proofErr w:type="spellStart"/>
      <w:r>
        <w:rPr>
          <w:rFonts w:asciiTheme="minorHAnsi" w:eastAsia="SimSun" w:hAnsiTheme="minorHAnsi" w:cs="Arial"/>
          <w:b/>
          <w:shd w:val="clear" w:color="auto" w:fill="FFFFFF"/>
        </w:rPr>
        <w:t>jedentisíc</w:t>
      </w:r>
      <w:proofErr w:type="spellEnd"/>
      <w:r>
        <w:rPr>
          <w:rFonts w:asciiTheme="minorHAnsi" w:eastAsia="SimSun" w:hAnsiTheme="minorHAnsi" w:cs="Arial"/>
          <w:b/>
          <w:shd w:val="clear" w:color="auto" w:fill="FFFFFF"/>
        </w:rPr>
        <w:t xml:space="preserve"> </w:t>
      </w:r>
      <w:r>
        <w:rPr>
          <w:rFonts w:asciiTheme="minorHAnsi" w:hAnsiTheme="minorHAnsi" w:cs="Arial"/>
          <w:b/>
          <w:shd w:val="clear" w:color="auto" w:fill="FFFFFF"/>
        </w:rPr>
        <w:t>korun českých) bez DPH/ hodina poradenství;</w:t>
      </w:r>
    </w:p>
    <w:p w:rsidR="00146FC8" w:rsidRDefault="00E3678D">
      <w:pPr>
        <w:pStyle w:val="Odstavecseseznamem"/>
        <w:widowControl/>
        <w:numPr>
          <w:ilvl w:val="0"/>
          <w:numId w:val="9"/>
        </w:numPr>
        <w:suppressAutoHyphens w:val="0"/>
        <w:spacing w:before="60" w:after="60"/>
        <w:jc w:val="both"/>
      </w:pPr>
      <w:r>
        <w:rPr>
          <w:rFonts w:asciiTheme="minorHAnsi" w:eastAsia="SimSun" w:hAnsiTheme="minorHAnsi" w:cs="Arial"/>
          <w:b/>
          <w:shd w:val="clear" w:color="auto" w:fill="FFFFFF"/>
        </w:rPr>
        <w:t>60000</w:t>
      </w:r>
      <w:r>
        <w:rPr>
          <w:rFonts w:asciiTheme="minorHAnsi" w:hAnsiTheme="minorHAnsi" w:cs="Arial"/>
          <w:b/>
          <w:shd w:val="clear" w:color="auto" w:fill="FFFFFF"/>
        </w:rPr>
        <w:t xml:space="preserve">,-Kč (slovy </w:t>
      </w:r>
      <w:proofErr w:type="spellStart"/>
      <w:r>
        <w:rPr>
          <w:rFonts w:asciiTheme="minorHAnsi" w:eastAsia="SimSun" w:hAnsiTheme="minorHAnsi" w:cs="Arial"/>
          <w:b/>
          <w:shd w:val="clear" w:color="auto" w:fill="FFFFFF"/>
        </w:rPr>
        <w:t>šedesáttisíc</w:t>
      </w:r>
      <w:proofErr w:type="spellEnd"/>
      <w:r>
        <w:rPr>
          <w:rFonts w:ascii="Calibri" w:eastAsia="SimSun" w:hAnsi="Calibri"/>
          <w:b/>
          <w:shd w:val="clear" w:color="auto" w:fill="FFFFFF"/>
        </w:rPr>
        <w:t xml:space="preserve"> </w:t>
      </w:r>
      <w:r>
        <w:rPr>
          <w:rFonts w:asciiTheme="minorHAnsi" w:hAnsiTheme="minorHAnsi" w:cs="Arial"/>
          <w:b/>
        </w:rPr>
        <w:t>korun českých) bez DPH/ roční zpracování daňového přiznání za účetní období a zastupování při kontrolách tohoto období vykonávaných příslušným správcem daně.</w:t>
      </w:r>
    </w:p>
    <w:p w:rsidR="00146FC8" w:rsidRDefault="00E3678D">
      <w:pPr>
        <w:widowControl/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V odměně příkazníka dle předchozích odstavců jsou již zahrnuty všechny běžné režijní náklady příkazníka, zejména náhrady za administrativní práce, poplatky spojům, využití výpočetní techniky, software, informačních databází, pojištění apod. V odměně není zahrnuta náhrada správních a jiných poplatků, cestovní výdaje mimo obec sídla příkazníka, znalecké posudky, překlady a tlumočení další náhrady, které v případě jejich vzniku budou příkazníkovi proplaceny v prokázané výši na základě vystavené faktury.</w:t>
      </w:r>
    </w:p>
    <w:p w:rsidR="00146FC8" w:rsidRDefault="00E3678D">
      <w:pPr>
        <w:widowControl/>
        <w:numPr>
          <w:ilvl w:val="0"/>
          <w:numId w:val="4"/>
        </w:numPr>
        <w:suppressAutoHyphens w:val="0"/>
        <w:spacing w:before="60" w:after="60"/>
        <w:jc w:val="both"/>
      </w:pPr>
      <w:bookmarkStart w:id="1" w:name="bookmark3"/>
      <w:r>
        <w:rPr>
          <w:rFonts w:asciiTheme="minorHAnsi" w:hAnsiTheme="minorHAnsi" w:cs="Arial"/>
        </w:rPr>
        <w:t>Veškeré odměny a případná náhrada výdajů dle odst. 3 jsou splatné na základě řádné faktury, obsahující zákonem požadované náležitosti, vystavené daňovým</w:t>
      </w:r>
      <w:bookmarkEnd w:id="1"/>
      <w:r>
        <w:rPr>
          <w:rFonts w:asciiTheme="minorHAnsi" w:hAnsiTheme="minorHAnsi" w:cs="Arial"/>
        </w:rPr>
        <w:t xml:space="preserve"> poradcem, a to se splatností 30 dnů na účet příkazníka č. </w:t>
      </w:r>
      <w:proofErr w:type="spellStart"/>
      <w:r w:rsidR="00625847">
        <w:rPr>
          <w:rFonts w:asciiTheme="minorHAnsi" w:eastAsia="SimSun" w:hAnsiTheme="minorHAnsi" w:cs="Arial"/>
          <w:shd w:val="clear" w:color="auto" w:fill="FFFFFF"/>
        </w:rPr>
        <w:t>xxx</w:t>
      </w:r>
      <w:proofErr w:type="spellEnd"/>
      <w:r>
        <w:rPr>
          <w:rFonts w:asciiTheme="minorHAnsi" w:hAnsiTheme="minorHAnsi" w:cs="Arial"/>
          <w:shd w:val="clear" w:color="auto" w:fill="FFFFFF"/>
        </w:rPr>
        <w:t xml:space="preserve">, vedeném u </w:t>
      </w:r>
      <w:proofErr w:type="spellStart"/>
      <w:r w:rsidR="00625847">
        <w:rPr>
          <w:rFonts w:asciiTheme="minorHAnsi" w:eastAsia="SimSun" w:hAnsiTheme="minorHAnsi" w:cs="Arial"/>
          <w:shd w:val="clear" w:color="auto" w:fill="FFFFFF"/>
        </w:rPr>
        <w:t>xxx</w:t>
      </w:r>
      <w:proofErr w:type="spellEnd"/>
      <w:r>
        <w:rPr>
          <w:rFonts w:asciiTheme="minorHAnsi" w:hAnsiTheme="minorHAnsi" w:cs="Arial"/>
          <w:shd w:val="clear" w:color="auto" w:fill="FFFFFF"/>
        </w:rPr>
        <w:t>.</w:t>
      </w:r>
    </w:p>
    <w:p w:rsidR="00146FC8" w:rsidRDefault="00E3678D">
      <w:pPr>
        <w:widowControl/>
        <w:numPr>
          <w:ilvl w:val="0"/>
          <w:numId w:val="4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DPH bude ve fakturách vyúčtována ve výši platné sazby.</w:t>
      </w:r>
    </w:p>
    <w:p w:rsidR="00146FC8" w:rsidRDefault="00146FC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</w:p>
    <w:p w:rsidR="00146FC8" w:rsidRDefault="00146FC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</w:p>
    <w:p w:rsidR="00146FC8" w:rsidRDefault="00E3678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ČI. IV</w:t>
      </w:r>
    </w:p>
    <w:p w:rsidR="00146FC8" w:rsidRDefault="00E3678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bookmarkStart w:id="2" w:name="bookmark4"/>
      <w:bookmarkEnd w:id="2"/>
      <w:r>
        <w:rPr>
          <w:rFonts w:asciiTheme="minorHAnsi" w:hAnsiTheme="minorHAnsi" w:cs="Arial"/>
          <w:sz w:val="24"/>
          <w:szCs w:val="24"/>
          <w:lang w:val="cs-CZ"/>
        </w:rPr>
        <w:t>Sankce, penále a pokuty</w:t>
      </w:r>
    </w:p>
    <w:p w:rsidR="00146FC8" w:rsidRDefault="00E3678D">
      <w:pPr>
        <w:widowControl/>
        <w:numPr>
          <w:ilvl w:val="0"/>
          <w:numId w:val="5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odpovídá příkazci za škodu, která mu v souvislosti s výkonem daňového poradenství vznikla, pokud ji prokazatelně způsobil příkazník, popřípadě pokud se na jejím vzniku příkazník podílel.</w:t>
      </w:r>
    </w:p>
    <w:p w:rsidR="00146FC8" w:rsidRDefault="00E3678D">
      <w:pPr>
        <w:widowControl/>
        <w:numPr>
          <w:ilvl w:val="0"/>
          <w:numId w:val="5"/>
        </w:numPr>
        <w:suppressAutoHyphens w:val="0"/>
        <w:spacing w:before="60" w:after="60"/>
        <w:jc w:val="both"/>
      </w:pPr>
      <w:r>
        <w:rPr>
          <w:rFonts w:asciiTheme="minorHAnsi" w:hAnsiTheme="minorHAnsi" w:cs="Arial"/>
        </w:rPr>
        <w:t xml:space="preserve">Příkazník prohlašuje, že je ve smyslu § 6 odst. 10) písm. a) zákona č. 523/1992 Sb., o daňovém poradenství a Komoře daňových poradců ČR, pojištěn na odpovědnost za škodu, která by příkazci mohla vzniknout v souvislosti s výkonem daňového poradenství a bude takto pojištěn po celou dobu trvání této smlouvy. Výše pojistné částky je sjednána mezi příkazníkem a </w:t>
      </w:r>
      <w:r>
        <w:rPr>
          <w:rFonts w:asciiTheme="minorHAnsi" w:eastAsia="SimSun" w:hAnsiTheme="minorHAnsi" w:cs="Arial"/>
          <w:shd w:val="clear" w:color="auto" w:fill="FFFFFF"/>
        </w:rPr>
        <w:t>Kooperativou Pojišťovnou, a.s.</w:t>
      </w:r>
      <w:r>
        <w:rPr>
          <w:rFonts w:asciiTheme="minorHAnsi" w:hAnsiTheme="minorHAnsi" w:cs="Arial"/>
          <w:shd w:val="clear" w:color="auto" w:fill="FFFFFF"/>
        </w:rPr>
        <w:t xml:space="preserve">, na částku </w:t>
      </w:r>
      <w:r>
        <w:rPr>
          <w:rFonts w:asciiTheme="minorHAnsi" w:eastAsia="SimSun" w:hAnsiTheme="minorHAnsi" w:cs="Arial"/>
          <w:shd w:val="clear" w:color="auto" w:fill="FFFFFF"/>
        </w:rPr>
        <w:t>2 000 000</w:t>
      </w:r>
      <w:r>
        <w:rPr>
          <w:rFonts w:asciiTheme="minorHAnsi" w:hAnsiTheme="minorHAnsi" w:cs="Arial"/>
          <w:shd w:val="clear" w:color="auto" w:fill="FFFFFF"/>
        </w:rPr>
        <w:t>,- Kč.</w:t>
      </w:r>
    </w:p>
    <w:p w:rsidR="00146FC8" w:rsidRDefault="00E3678D">
      <w:pPr>
        <w:widowControl/>
        <w:numPr>
          <w:ilvl w:val="0"/>
          <w:numId w:val="5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se zprostí své odpovědnosti, pokud prokáže, že postupoval s odbornou péčí. Odpovědnosti se zprostí také v případě, že obdrží od příkazce nesprávné či neúplné podklady a informace, ačkoliv na toto příkazce upozornil, případně obdrží-li je více než 30 dnů po dohodnutých termínech.</w:t>
      </w:r>
    </w:p>
    <w:p w:rsidR="00146FC8" w:rsidRDefault="00E3678D">
      <w:pPr>
        <w:widowControl/>
        <w:numPr>
          <w:ilvl w:val="0"/>
          <w:numId w:val="5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Vyměří-li správce daně příkazci jakékoli sankce, má příkazník právo v zájmu příkazce využít všech řádných opravných prostředků. V případě, že příkazce neumožní příkazníkovi uplatnit tyto opravné prostředky, není oprávněn uplatňovat na něm nárok na náhradu škody.</w:t>
      </w:r>
    </w:p>
    <w:p w:rsidR="00146FC8" w:rsidRDefault="00E3678D">
      <w:pPr>
        <w:widowControl/>
        <w:numPr>
          <w:ilvl w:val="0"/>
          <w:numId w:val="5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Při nedodržení plateb dle článku III. sjednávají strany smluvní pokutu ve výši 0,05% denně z výše platby, se kterou je příkazce v prodlení. Při prodlení příkazníka s obstaráváním záležitostí příkazce dle této smlouvy si smluvní strany sjednaly smluvní pokutu ve výši 1.000,- Kč denně. Tato smluvní pokuta je splatná dnem následujícím po dni, kdy na ní příkazci vznikne právo.</w:t>
      </w:r>
    </w:p>
    <w:p w:rsidR="00146FC8" w:rsidRDefault="00E3678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ČI. V</w:t>
      </w:r>
    </w:p>
    <w:p w:rsidR="00146FC8" w:rsidRDefault="00E3678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Další dohodnuté podmínky</w:t>
      </w:r>
    </w:p>
    <w:p w:rsidR="00146FC8" w:rsidRDefault="00146FC8">
      <w:pPr>
        <w:pStyle w:val="Zkladntext30"/>
        <w:shd w:val="clear" w:color="auto" w:fill="auto"/>
        <w:spacing w:before="0" w:after="91" w:line="220" w:lineRule="exact"/>
        <w:ind w:left="120" w:firstLine="0"/>
        <w:jc w:val="center"/>
        <w:rPr>
          <w:rFonts w:asciiTheme="minorHAnsi" w:hAnsiTheme="minorHAnsi"/>
        </w:rPr>
      </w:pPr>
    </w:p>
    <w:p w:rsidR="00146FC8" w:rsidRDefault="00E3678D">
      <w:pPr>
        <w:widowControl/>
        <w:numPr>
          <w:ilvl w:val="0"/>
          <w:numId w:val="6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je povinen zachovat mlčenlivost o všech skutečnostech, týkajících se účetní jednotky, o nichž se dozvěděl v souvislosti s poskytováním poradenských služeb.</w:t>
      </w:r>
    </w:p>
    <w:p w:rsidR="00146FC8" w:rsidRDefault="00E3678D">
      <w:pPr>
        <w:widowControl/>
        <w:numPr>
          <w:ilvl w:val="0"/>
          <w:numId w:val="6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je povinen předat příkazci včas věci a pravdivé informace, jež jsou nutné k zařízení záležitosti, poskytnout včas potřebnou součinnost pro výkon činnosti dle této smlouvy a informovat ho neprodleně a v plném rozsahu o všech skutečnostech, majících vztah k činnosti podle této smlouvy.</w:t>
      </w:r>
    </w:p>
    <w:p w:rsidR="00146FC8" w:rsidRDefault="00E3678D">
      <w:pPr>
        <w:widowControl/>
        <w:numPr>
          <w:ilvl w:val="0"/>
          <w:numId w:val="6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Příkazce určuje pro pracovní styk s příkazníkem tyto osoby, které jsou oprávněny jednat s příkazníkem: Ing. Dita Drozdová.</w:t>
      </w:r>
    </w:p>
    <w:p w:rsidR="00146FC8" w:rsidRDefault="00E3678D">
      <w:pPr>
        <w:widowControl/>
        <w:numPr>
          <w:ilvl w:val="0"/>
          <w:numId w:val="6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 zastupování příkazce příkazníkem před správcem daně ve smyslu Čl. I bude pro správce daně sepsána plná moc.</w:t>
      </w:r>
    </w:p>
    <w:p w:rsidR="00146FC8" w:rsidRDefault="00E3678D">
      <w:pPr>
        <w:widowControl/>
        <w:numPr>
          <w:ilvl w:val="0"/>
          <w:numId w:val="6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Příkazce zajistí předání jednoho vyhotovení plné moci příslušnému správci daně, a to v neprodloužené lhůtě.</w:t>
      </w:r>
    </w:p>
    <w:p w:rsidR="00146FC8" w:rsidRDefault="00146FC8">
      <w:pPr>
        <w:pStyle w:val="Zkladntext30"/>
        <w:shd w:val="clear" w:color="auto" w:fill="auto"/>
        <w:spacing w:before="0" w:after="165" w:line="269" w:lineRule="exact"/>
        <w:ind w:left="100" w:firstLine="0"/>
        <w:jc w:val="center"/>
        <w:rPr>
          <w:rFonts w:asciiTheme="minorHAnsi" w:hAnsiTheme="minorHAnsi"/>
        </w:rPr>
      </w:pPr>
    </w:p>
    <w:p w:rsidR="00146FC8" w:rsidRDefault="00E3678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ČI. VI</w:t>
      </w:r>
    </w:p>
    <w:p w:rsidR="00146FC8" w:rsidRDefault="00E3678D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>
        <w:rPr>
          <w:rFonts w:asciiTheme="minorHAnsi" w:hAnsiTheme="minorHAnsi" w:cs="Arial"/>
          <w:sz w:val="24"/>
          <w:szCs w:val="24"/>
          <w:lang w:val="cs-CZ"/>
        </w:rPr>
        <w:t>Závěrečná ujednání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se uzavírá na dobu neurčitou.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Příkazník je oprávněn odstoupit od této smlouvy, dojde-li k narušení důvěry mezi ním a příkazcem, zejména neposkytuje-li příkazce potřebnou součinnost, nebo neuhradí-li po delší dobu odměnu stanovenou v Čl. III. 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Příkazník je povinen do 15 dnů ode dne, kdy oznámil klientovi odstoupení od této smlouvy: </w:t>
      </w:r>
    </w:p>
    <w:p w:rsidR="00146FC8" w:rsidRDefault="00E3678D">
      <w:pPr>
        <w:widowControl/>
        <w:numPr>
          <w:ilvl w:val="0"/>
          <w:numId w:val="7"/>
        </w:numPr>
        <w:suppressAutoHyphens w:val="0"/>
        <w:spacing w:after="60"/>
        <w:ind w:left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učinit všechny neodkladné úkony, pokud příkazce neučinil jiné opatření,</w:t>
      </w:r>
    </w:p>
    <w:p w:rsidR="00146FC8" w:rsidRDefault="00E3678D">
      <w:pPr>
        <w:widowControl/>
        <w:numPr>
          <w:ilvl w:val="0"/>
          <w:numId w:val="7"/>
        </w:numPr>
        <w:suppressAutoHyphens w:val="0"/>
        <w:spacing w:after="60"/>
        <w:ind w:left="851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zúčtovat s příkazcem zálohu na odměnu a výdaje.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Smlouvu lze zrušit jednostrannou písemnou výpovědí bez udání důvodu, s dvouměsíční výpovědní lhůtou nebo dohodou. V průběhu prací na daňovém přiznání je možné smlouvu vypovědět jen v případě vážného porušení povinností smluvních stran uvedených v této smlouvě nebo upravených obecně závaznými předpisy. Výpovědní lhůta počíná běžet prvního dne měsíce následujícího po doručení písemné výpovědi.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se vyhotovuje ve dvou exemplářích, z nichž každá strana obdrží jedno vyhotovení.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Smlouvu lze měnit či doplňovat pouze písemnými dodatky podepsanými oprávněnými osobami.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Ostatní vztahy vyplývající z této smlouvy se řídí obecnou legislativou v platném znění.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Smluvní strany prohlašují, že si tuto smlouvu před jejím podpisem přečetly, že byla uzavřena po vzájemném projednání a z jejich výslovné, vážné a svobodné vůle, nikoli v tísni či za nevýhodných podmínek. Autentičnost této smlouvy potvrzují svými podpisy.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Příkazník bere na vědomí a souhlasí s tím, že tato smlouva bude příkazcem v souladu se zákonem č. 340/2015 Sb., o zvláštních podmínkách účinnosti některých smluv, uveřejňování těchto smluv a o registru smluv (zákon o registru smluv), ve znění pozdějších předpisů (dále jen zákon o registru smluv), zveřejněna v registru smluv.</w:t>
      </w:r>
    </w:p>
    <w:p w:rsidR="00146FC8" w:rsidRDefault="00E3678D">
      <w:pPr>
        <w:widowControl/>
        <w:numPr>
          <w:ilvl w:val="0"/>
          <w:numId w:val="8"/>
        </w:numPr>
        <w:suppressAutoHyphens w:val="0"/>
        <w:spacing w:before="60" w:after="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Smlouva nabývá platnosti dnem podpisu oběma smluvními stranami a účinnosti v souladu s § 6 odst. 1 zákona o registru smluv dnem uveřejnění v registru smluv.  </w:t>
      </w:r>
    </w:p>
    <w:p w:rsidR="00AD7C25" w:rsidRDefault="00AD7C25" w:rsidP="00AD7C25">
      <w:pPr>
        <w:widowControl/>
        <w:suppressAutoHyphens w:val="0"/>
        <w:spacing w:before="60" w:after="60"/>
        <w:jc w:val="both"/>
        <w:rPr>
          <w:rFonts w:asciiTheme="minorHAnsi" w:hAnsiTheme="minorHAnsi" w:cs="Arial"/>
        </w:rPr>
      </w:pPr>
    </w:p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5992"/>
        <w:gridCol w:w="4394"/>
      </w:tblGrid>
      <w:tr w:rsidR="00146FC8" w:rsidTr="00AD7C25">
        <w:trPr>
          <w:trHeight w:val="2251"/>
        </w:trPr>
        <w:tc>
          <w:tcPr>
            <w:tcW w:w="5992" w:type="dxa"/>
            <w:shd w:val="clear" w:color="auto" w:fill="auto"/>
          </w:tcPr>
          <w:p w:rsidR="00146FC8" w:rsidRDefault="00E3678D">
            <w:pPr>
              <w:pStyle w:val="Text"/>
              <w:spacing w:line="240" w:lineRule="auto"/>
              <w:ind w:right="15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 xml:space="preserve">V Praze dne    </w:t>
            </w:r>
            <w:r w:rsidR="00625847"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………</w:t>
            </w: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 xml:space="preserve"> 2017</w:t>
            </w:r>
          </w:p>
          <w:p w:rsidR="00146FC8" w:rsidRDefault="00146FC8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</w:p>
          <w:p w:rsidR="00AD7C25" w:rsidRDefault="00AD7C25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………………………………………………….</w:t>
            </w:r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b/>
                <w:color w:val="00000A"/>
                <w:sz w:val="24"/>
                <w:szCs w:val="24"/>
                <w:lang w:val="cs-CZ"/>
              </w:rPr>
              <w:t xml:space="preserve">Národní zemědělské muzeum, </w:t>
            </w:r>
            <w:proofErr w:type="spellStart"/>
            <w:proofErr w:type="gramStart"/>
            <w:r>
              <w:rPr>
                <w:rFonts w:asciiTheme="minorHAnsi" w:hAnsiTheme="minorHAnsi" w:cs="Arial"/>
                <w:b/>
                <w:color w:val="00000A"/>
                <w:sz w:val="24"/>
                <w:szCs w:val="24"/>
                <w:lang w:val="cs-CZ"/>
              </w:rPr>
              <w:t>s.p.</w:t>
            </w:r>
            <w:proofErr w:type="gramEnd"/>
            <w:r>
              <w:rPr>
                <w:rFonts w:asciiTheme="minorHAnsi" w:hAnsiTheme="minorHAnsi" w:cs="Arial"/>
                <w:b/>
                <w:color w:val="00000A"/>
                <w:sz w:val="24"/>
                <w:szCs w:val="24"/>
                <w:lang w:val="cs-CZ"/>
              </w:rPr>
              <w:t>o</w:t>
            </w:r>
            <w:proofErr w:type="spellEnd"/>
            <w:r>
              <w:rPr>
                <w:rFonts w:asciiTheme="minorHAnsi" w:hAnsiTheme="minorHAnsi" w:cs="Arial"/>
                <w:b/>
                <w:color w:val="00000A"/>
                <w:sz w:val="24"/>
                <w:szCs w:val="24"/>
                <w:lang w:val="cs-CZ"/>
              </w:rPr>
              <w:t xml:space="preserve">. </w:t>
            </w:r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doc. Ing. Milan Jan Půček, MBA, Ph.D., generální ředitel</w:t>
            </w:r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(Příkazce)</w:t>
            </w:r>
          </w:p>
        </w:tc>
        <w:tc>
          <w:tcPr>
            <w:tcW w:w="4394" w:type="dxa"/>
            <w:shd w:val="clear" w:color="auto" w:fill="auto"/>
          </w:tcPr>
          <w:p w:rsidR="00146FC8" w:rsidRDefault="00E3678D">
            <w:pPr>
              <w:pStyle w:val="Text"/>
              <w:spacing w:line="240" w:lineRule="auto"/>
              <w:ind w:right="15"/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 xml:space="preserve">  V</w:t>
            </w:r>
            <w:r>
              <w:rPr>
                <w:rFonts w:asciiTheme="minorHAnsi" w:hAnsiTheme="minorHAnsi" w:cs="Arial"/>
                <w:color w:val="00000A"/>
                <w:sz w:val="24"/>
                <w:szCs w:val="24"/>
                <w:shd w:val="clear" w:color="auto" w:fill="FFFFFF"/>
                <w:lang w:val="cs-CZ"/>
              </w:rPr>
              <w:t xml:space="preserve"> Řevnicích </w:t>
            </w: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 xml:space="preserve">       dne </w:t>
            </w:r>
            <w:r w:rsidR="00625847"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……</w:t>
            </w: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. 2017</w:t>
            </w:r>
          </w:p>
          <w:p w:rsidR="00146FC8" w:rsidRDefault="00146FC8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</w:p>
          <w:p w:rsidR="00AD7C25" w:rsidRDefault="00AD7C25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bookmarkStart w:id="3" w:name="_GoBack"/>
            <w:bookmarkEnd w:id="3"/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>……………………….…………………………</w:t>
            </w:r>
          </w:p>
          <w:p w:rsidR="00146FC8" w:rsidRDefault="00E3678D">
            <w:pPr>
              <w:pStyle w:val="Text"/>
              <w:spacing w:line="240" w:lineRule="auto"/>
              <w:ind w:right="15"/>
              <w:jc w:val="center"/>
            </w:pPr>
            <w:r>
              <w:rPr>
                <w:rFonts w:asciiTheme="minorHAnsi" w:hAnsiTheme="minorHAnsi" w:cs="Arial"/>
                <w:color w:val="00000A"/>
                <w:sz w:val="24"/>
                <w:szCs w:val="24"/>
                <w:shd w:val="clear" w:color="auto" w:fill="FFFFFF"/>
                <w:lang w:val="cs-CZ"/>
              </w:rPr>
              <w:t>Ing. Alena Parkánová</w:t>
            </w:r>
            <w:r>
              <w:rPr>
                <w:rFonts w:asciiTheme="minorHAnsi" w:hAnsiTheme="minorHAnsi" w:cs="Arial"/>
                <w:color w:val="00000A"/>
                <w:sz w:val="24"/>
                <w:szCs w:val="24"/>
                <w:lang w:val="cs-CZ"/>
              </w:rPr>
              <w:t xml:space="preserve"> (Příkazník)</w:t>
            </w:r>
          </w:p>
        </w:tc>
      </w:tr>
    </w:tbl>
    <w:p w:rsidR="00146FC8" w:rsidRDefault="00146FC8"/>
    <w:sectPr w:rsidR="00146FC8" w:rsidSect="00AD7C2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276" w:left="1134" w:header="708" w:footer="993" w:gutter="0"/>
      <w:cols w:space="708"/>
      <w:formProt w:val="0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4C" w:rsidRDefault="007A4E4C">
      <w:r>
        <w:separator/>
      </w:r>
    </w:p>
  </w:endnote>
  <w:endnote w:type="continuationSeparator" w:id="0">
    <w:p w:rsidR="007A4E4C" w:rsidRDefault="007A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EE"/>
    <w:family w:val="roman"/>
    <w:pitch w:val="variable"/>
  </w:font>
  <w:font w:name="Luxi Sans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Nimbus Roman No9 L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8" w:rsidRDefault="00E3678D">
    <w:pPr>
      <w:pStyle w:val="Zpat"/>
      <w:jc w:val="center"/>
      <w:rPr>
        <w:rFonts w:ascii="Times New Roman" w:hAnsi="Times New Roman"/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inline distT="0" distB="0" distL="0" distR="0">
              <wp:extent cx="1905" cy="20320"/>
              <wp:effectExtent l="0" t="0" r="0" b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.05pt;height:1.5pt">
              <w10:wrap type="none"/>
              <v:fill type="solid" color2="#5f5f5f" o:detectmouseclick="t"/>
              <v:stroke color="#3465a4" joinstyle="round" endcap="flat"/>
            </v:rect>
          </w:pict>
        </mc:Fallback>
      </mc:AlternateContent>
    </w:r>
  </w:p>
  <w:p w:rsidR="00146FC8" w:rsidRDefault="00E3678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AD7C25">
      <w:rPr>
        <w:noProof/>
      </w:rPr>
      <w:t>4</w:t>
    </w:r>
    <w:r>
      <w:fldChar w:fldCharType="end"/>
    </w:r>
    <w:r>
      <w:rPr>
        <w:rFonts w:ascii="Arial" w:hAnsi="Arial" w:cs="Arial"/>
        <w:sz w:val="18"/>
        <w:szCs w:val="18"/>
      </w:rPr>
      <w:t xml:space="preserve"> (celkem 4)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8" w:rsidRDefault="00E3678D">
    <w:pPr>
      <w:pStyle w:val="Zpat"/>
      <w:jc w:val="center"/>
      <w:rPr>
        <w:rFonts w:ascii="Arial" w:hAnsi="Arial" w:cs="Arial"/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inline distT="0" distB="0" distL="0" distR="0">
              <wp:extent cx="1905" cy="20320"/>
              <wp:effectExtent l="0" t="0" r="0" b="0"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.05pt;height:1.5pt">
              <w10:wrap type="none"/>
              <v:fill type="solid" color2="#5f5f5f" o:detectmouseclick="t"/>
              <v:stroke color="#3465a4" joinstyle="round" endcap="flat"/>
            </v:rect>
          </w:pict>
        </mc:Fallback>
      </mc:AlternateContent>
    </w:r>
  </w:p>
  <w:p w:rsidR="00146FC8" w:rsidRDefault="00E3678D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AD7C25">
      <w:rPr>
        <w:noProof/>
      </w:rPr>
      <w:t>1</w:t>
    </w:r>
    <w:r>
      <w:fldChar w:fldCharType="end"/>
    </w:r>
    <w:r>
      <w:rPr>
        <w:rFonts w:ascii="Arial" w:hAnsi="Arial" w:cs="Arial"/>
        <w:sz w:val="18"/>
        <w:szCs w:val="18"/>
      </w:rPr>
      <w:t xml:space="preserve"> (celkem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4C" w:rsidRDefault="007A4E4C">
      <w:r>
        <w:separator/>
      </w:r>
    </w:p>
  </w:footnote>
  <w:footnote w:type="continuationSeparator" w:id="0">
    <w:p w:rsidR="007A4E4C" w:rsidRDefault="007A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8" w:rsidRDefault="00146FC8">
    <w:pPr>
      <w:pStyle w:val="Zpat"/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C8" w:rsidRDefault="00E3678D">
    <w:pPr>
      <w:pStyle w:val="Zhlav"/>
      <w:rPr>
        <w:lang w:val="cs-CZ" w:eastAsia="cs-CZ"/>
      </w:rPr>
    </w:pPr>
    <w:r>
      <w:rPr>
        <w:noProof/>
        <w:lang w:val="cs-CZ" w:eastAsia="cs-CZ"/>
      </w:rPr>
      <w:drawing>
        <wp:inline distT="0" distB="0" distL="0" distR="0">
          <wp:extent cx="2308860" cy="952500"/>
          <wp:effectExtent l="0" t="0" r="0" b="0"/>
          <wp:docPr id="5" name="Picture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C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658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ED44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18385A"/>
    <w:multiLevelType w:val="multilevel"/>
    <w:tmpl w:val="0AFEF93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8D18F0"/>
    <w:multiLevelType w:val="multilevel"/>
    <w:tmpl w:val="DFD6C1D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B75FC4"/>
    <w:multiLevelType w:val="multilevel"/>
    <w:tmpl w:val="407E794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140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4331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45B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DC4633"/>
    <w:multiLevelType w:val="multilevel"/>
    <w:tmpl w:val="8C4264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C8"/>
    <w:rsid w:val="00146FC8"/>
    <w:rsid w:val="00625847"/>
    <w:rsid w:val="007A4E4C"/>
    <w:rsid w:val="00AD7C25"/>
    <w:rsid w:val="00B2636F"/>
    <w:rsid w:val="00B4530B"/>
    <w:rsid w:val="00E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C165"/>
  <w15:docId w15:val="{41C35E39-1479-4812-AD6B-88668BE1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Luxi Sans" w:hAnsi="Thorndale" w:cs="Thorndale"/>
      <w:color w:val="00000A"/>
      <w:sz w:val="24"/>
      <w:lang w:eastAsia="zh-CN"/>
    </w:rPr>
  </w:style>
  <w:style w:type="paragraph" w:styleId="Nadpis1">
    <w:name w:val="heading 1"/>
    <w:basedOn w:val="Normln"/>
    <w:qFormat/>
    <w:pPr>
      <w:keepNext/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qFormat/>
    <w:pPr>
      <w:keepNext/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qFormat/>
    <w:pPr>
      <w:keepNext/>
      <w:widowControl/>
      <w:tabs>
        <w:tab w:val="left" w:pos="0"/>
      </w:tabs>
      <w:overflowPunct w:val="0"/>
      <w:textAlignment w:val="baseline"/>
      <w:outlineLvl w:val="2"/>
    </w:pPr>
    <w:rPr>
      <w:rFonts w:eastAsia="Times New Roman"/>
      <w:color w:val="FF0000"/>
    </w:rPr>
  </w:style>
  <w:style w:type="paragraph" w:styleId="Nadpis4">
    <w:name w:val="heading 4"/>
    <w:basedOn w:val="Normln"/>
    <w:qFormat/>
    <w:pPr>
      <w:keepNext/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qFormat/>
    <w:pPr>
      <w:keepNext/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qFormat/>
    <w:pPr>
      <w:keepNext/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qFormat/>
    <w:pPr>
      <w:keepNext/>
      <w:tabs>
        <w:tab w:val="left" w:pos="0"/>
      </w:tabs>
      <w:outlineLvl w:val="6"/>
    </w:pPr>
    <w:rPr>
      <w:b/>
      <w:bCs/>
      <w:sz w:val="22"/>
    </w:rPr>
  </w:style>
  <w:style w:type="paragraph" w:styleId="Nadpis8">
    <w:name w:val="heading 8"/>
    <w:basedOn w:val="Normln"/>
    <w:qFormat/>
    <w:pPr>
      <w:keepNext/>
      <w:tabs>
        <w:tab w:val="left" w:pos="0"/>
      </w:tabs>
      <w:outlineLvl w:val="7"/>
    </w:pPr>
  </w:style>
  <w:style w:type="paragraph" w:styleId="Nadpis9">
    <w:name w:val="heading 9"/>
    <w:basedOn w:val="Normln"/>
    <w:qFormat/>
    <w:pPr>
      <w:keepNext/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Franklin Gothic Book" w:hAnsi="Franklin Gothic Book" w:cs="Franklin Gothic Book"/>
      <w:b/>
      <w:sz w:val="22"/>
      <w:szCs w:val="22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b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Franklin Gothic Book" w:hAnsi="Franklin Gothic Book" w:cs="Franklin Gothic Book"/>
      <w:b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Franklin Gothic Book" w:hAnsi="Franklin Gothic Book" w:cs="Franklin Gothic Book"/>
      <w:b/>
      <w:sz w:val="22"/>
      <w:szCs w:val="22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b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Franklin Gothic Book" w:hAnsi="Franklin Gothic Book" w:cs="Franklin Gothic Book"/>
      <w:b/>
      <w:sz w:val="22"/>
      <w:szCs w:val="22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b/>
    </w:rPr>
  </w:style>
  <w:style w:type="character" w:customStyle="1" w:styleId="Standardnpsmoodstavce10">
    <w:name w:val="Standardní písmo odstavce10"/>
    <w:qFormat/>
  </w:style>
  <w:style w:type="character" w:customStyle="1" w:styleId="Standardnpsmoodstavce9">
    <w:name w:val="Standardní písmo odstavce9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Standardnpsmoodstavce8">
    <w:name w:val="Standardní písmo odstavce8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Standardnpsmoodstavce7">
    <w:name w:val="Standardní písmo odstavce7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Standardnpsmoodstavce6">
    <w:name w:val="Standardní písmo odstavce6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Standardnpsmoodstavce5">
    <w:name w:val="Standardní písmo odstavce5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Standardnpsmoodstavce">
    <w:name w:val="WW-Standardní písmo odstavce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Symbolyproodrky">
    <w:name w:val="Symboly pro 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Symbolyproslovn">
    <w:name w:val="WW-Symboly pro číslování"/>
    <w:qFormat/>
  </w:style>
  <w:style w:type="character" w:customStyle="1" w:styleId="WW-Symbolyproodrky">
    <w:name w:val="WW-Symboly pro 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platne1">
    <w:name w:val="platne1"/>
    <w:qFormat/>
    <w:rPr>
      <w:rFonts w:ascii="Nimbus Roman No9 L" w:eastAsia="Nimbus Roman No9 L" w:hAnsi="Nimbus Roman No9 L" w:cs="Nimbus Roman No9 L"/>
      <w:color w:val="00000A"/>
      <w:sz w:val="24"/>
      <w:szCs w:val="24"/>
      <w:lang w:val="cs-CZ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qFormat/>
    <w:rPr>
      <w:rFonts w:ascii="Segoe UI" w:eastAsia="Luxi Sans" w:hAnsi="Segoe UI" w:cs="Segoe UI"/>
      <w:sz w:val="18"/>
      <w:szCs w:val="18"/>
      <w:lang w:eastAsia="zh-CN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Thorndale" w:eastAsia="Luxi Sans" w:hAnsi="Thorndale" w:cs="Thorndale"/>
      <w:lang w:eastAsia="zh-CN"/>
    </w:rPr>
  </w:style>
  <w:style w:type="character" w:customStyle="1" w:styleId="PedmtkomenteChar">
    <w:name w:val="Předmět komentáře Char"/>
    <w:qFormat/>
    <w:rPr>
      <w:rFonts w:ascii="Thorndale" w:eastAsia="Luxi Sans" w:hAnsi="Thorndale" w:cs="Thorndale"/>
      <w:b/>
      <w:bCs/>
      <w:lang w:eastAsia="zh-CN"/>
    </w:rPr>
  </w:style>
  <w:style w:type="character" w:customStyle="1" w:styleId="ZhlavChar">
    <w:name w:val="Záhlaví Char"/>
    <w:qFormat/>
    <w:rPr>
      <w:rFonts w:ascii="Thorndale" w:eastAsia="Luxi Sans" w:hAnsi="Thorndale" w:cs="Thorndale"/>
      <w:sz w:val="24"/>
      <w:lang w:eastAsia="zh-CN"/>
    </w:rPr>
  </w:style>
  <w:style w:type="character" w:customStyle="1" w:styleId="apple-converted-space">
    <w:name w:val="apple-converted-space"/>
    <w:qFormat/>
    <w:rsid w:val="00B10C5A"/>
  </w:style>
  <w:style w:type="character" w:customStyle="1" w:styleId="Zkladntext3Char">
    <w:name w:val="Základní text 3 Char"/>
    <w:qFormat/>
    <w:rsid w:val="00566DE2"/>
    <w:rPr>
      <w:sz w:val="16"/>
      <w:szCs w:val="16"/>
      <w:lang w:val="x-none"/>
    </w:rPr>
  </w:style>
  <w:style w:type="character" w:customStyle="1" w:styleId="ZpatChar">
    <w:name w:val="Zápatí Char"/>
    <w:link w:val="Zpat"/>
    <w:uiPriority w:val="99"/>
    <w:qFormat/>
    <w:rsid w:val="00610F25"/>
    <w:rPr>
      <w:rFonts w:ascii="Thorndale" w:eastAsia="Luxi Sans" w:hAnsi="Thorndale" w:cs="Thorndale"/>
      <w:sz w:val="24"/>
      <w:lang w:eastAsia="zh-CN"/>
    </w:rPr>
  </w:style>
  <w:style w:type="character" w:customStyle="1" w:styleId="Zkladntext3Netun">
    <w:name w:val="Základní text (3) + Ne tučné"/>
    <w:basedOn w:val="Standardnpsmoodstavce"/>
    <w:qFormat/>
    <w:rsid w:val="00EF374A"/>
    <w:rPr>
      <w:color w:val="000000"/>
      <w:spacing w:val="0"/>
      <w:w w:val="100"/>
      <w:sz w:val="22"/>
      <w:szCs w:val="22"/>
      <w:shd w:val="clear" w:color="auto" w:fill="FFFFFF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qFormat/>
    <w:rsid w:val="00EF374A"/>
    <w:rPr>
      <w:sz w:val="22"/>
      <w:szCs w:val="22"/>
      <w:shd w:val="clear" w:color="auto" w:fill="FFFFFF"/>
    </w:rPr>
  </w:style>
  <w:style w:type="character" w:customStyle="1" w:styleId="ListLabel1">
    <w:name w:val="ListLabel 1"/>
    <w:qFormat/>
    <w:rPr>
      <w:rFonts w:cs="Franklin Gothic Book"/>
      <w:b/>
      <w:sz w:val="22"/>
      <w:szCs w:val="22"/>
    </w:rPr>
  </w:style>
  <w:style w:type="character" w:customStyle="1" w:styleId="ListLabel2">
    <w:name w:val="ListLabel 2"/>
    <w:qFormat/>
    <w:rPr>
      <w:rFonts w:cs="Times New Roman"/>
      <w:b/>
      <w:sz w:val="22"/>
      <w:szCs w:val="22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Times New Roman"/>
      <w:color w:val="00000A"/>
      <w:spacing w:val="4"/>
      <w:w w:val="100"/>
      <w:sz w:val="22"/>
      <w:szCs w:val="22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  <w:b w:val="0"/>
      <w:i w:val="0"/>
      <w:sz w:val="24"/>
      <w:szCs w:val="24"/>
    </w:rPr>
  </w:style>
  <w:style w:type="character" w:customStyle="1" w:styleId="ListLabel8">
    <w:name w:val="ListLabel 8"/>
    <w:qFormat/>
    <w:rPr>
      <w:rFonts w:ascii="Calibri" w:hAnsi="Calibri" w:cs="Times New Roman"/>
      <w:sz w:val="24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ascii="Calibri" w:hAnsi="Calibri"/>
      <w:b/>
    </w:rPr>
  </w:style>
  <w:style w:type="character" w:customStyle="1" w:styleId="ListLabel11">
    <w:name w:val="ListLabel 11"/>
    <w:qFormat/>
    <w:rPr>
      <w:rFonts w:ascii="Calibri" w:hAnsi="Calibri" w:cs="Times New Roman"/>
      <w:sz w:val="24"/>
    </w:rPr>
  </w:style>
  <w:style w:type="character" w:customStyle="1" w:styleId="ListLabel12">
    <w:name w:val="ListLabel 12"/>
    <w:qFormat/>
    <w:rPr>
      <w:rFonts w:ascii="Calibri" w:hAnsi="Calibri"/>
      <w:b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Lucida Sans Unicode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 Unicode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Odsazentlatextu">
    <w:name w:val="Odsazení těla textu"/>
    <w:basedOn w:val="Normln"/>
    <w:pPr>
      <w:tabs>
        <w:tab w:val="left" w:pos="6531"/>
      </w:tabs>
      <w:ind w:left="284" w:hanging="284"/>
    </w:pPr>
    <w:rPr>
      <w:sz w:val="22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  <w:rPr>
      <w:rFonts w:cs="Times New Roman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Tlotextu"/>
    <w:qFormat/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 w:cs="Arial"/>
      <w:b/>
      <w:sz w:val="32"/>
    </w:rPr>
  </w:style>
  <w:style w:type="paragraph" w:customStyle="1" w:styleId="Podtitul">
    <w:name w:val="Podtitul"/>
    <w:basedOn w:val="Nadpis"/>
    <w:qFormat/>
    <w:pPr>
      <w:jc w:val="center"/>
    </w:pPr>
    <w:rPr>
      <w:i/>
      <w:iCs/>
    </w:rPr>
  </w:style>
  <w:style w:type="paragraph" w:customStyle="1" w:styleId="WW-Nadpis">
    <w:name w:val="WW-Nadpis"/>
    <w:basedOn w:val="Normln"/>
    <w:qFormat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qFormat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qFormat/>
    <w:pPr>
      <w:suppressLineNumbers/>
    </w:pPr>
    <w:rPr>
      <w:rFonts w:cs="Lucida Sans Unicode"/>
    </w:rPr>
  </w:style>
  <w:style w:type="paragraph" w:customStyle="1" w:styleId="LO-Normal">
    <w:name w:val="LO-Normal"/>
    <w:qFormat/>
    <w:pPr>
      <w:widowControl w:val="0"/>
      <w:suppressAutoHyphens/>
      <w:spacing w:line="240" w:lineRule="atLeast"/>
    </w:pPr>
    <w:rPr>
      <w:rFonts w:ascii="Times" w:eastAsia="Arial Unicode M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LO-Normal"/>
    <w:qFormat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qFormat/>
    <w:rPr>
      <w:b/>
      <w:u w:val="single"/>
    </w:rPr>
  </w:style>
  <w:style w:type="paragraph" w:customStyle="1" w:styleId="Zkladntext31">
    <w:name w:val="Základní text 31"/>
    <w:basedOn w:val="Normln"/>
    <w:qFormat/>
    <w:pPr>
      <w:jc w:val="both"/>
    </w:pPr>
  </w:style>
  <w:style w:type="paragraph" w:customStyle="1" w:styleId="Zkladntextodsazen21">
    <w:name w:val="Základní text odsazený 21"/>
    <w:basedOn w:val="Normln"/>
    <w:qFormat/>
    <w:pPr>
      <w:ind w:firstLine="284"/>
    </w:pPr>
    <w:rPr>
      <w:sz w:val="22"/>
    </w:rPr>
  </w:style>
  <w:style w:type="paragraph" w:customStyle="1" w:styleId="WW-Vchoz">
    <w:name w:val="WW-Výchozí"/>
    <w:qFormat/>
    <w:pPr>
      <w:widowControl w:val="0"/>
      <w:suppressAutoHyphens/>
    </w:pPr>
    <w:rPr>
      <w:rFonts w:eastAsia="Arial" w:cs="Nimbus Roman No9 L"/>
      <w:color w:val="00000A"/>
      <w:sz w:val="24"/>
      <w:lang w:val="en-US" w:eastAsia="zh-CN"/>
    </w:rPr>
  </w:style>
  <w:style w:type="paragraph" w:customStyle="1" w:styleId="WW-Zkladntext31">
    <w:name w:val="WW-Základní text 31"/>
    <w:basedOn w:val="Normln"/>
    <w:qFormat/>
    <w:pPr>
      <w:jc w:val="both"/>
    </w:pPr>
  </w:style>
  <w:style w:type="paragraph" w:customStyle="1" w:styleId="WW-Zkladntext21">
    <w:name w:val="WW-Základní text 21"/>
    <w:basedOn w:val="Normln"/>
    <w:qFormat/>
  </w:style>
  <w:style w:type="paragraph" w:customStyle="1" w:styleId="WW-Zkladntext3">
    <w:name w:val="WW-Základní text 3"/>
    <w:basedOn w:val="Normln"/>
    <w:qFormat/>
    <w:rPr>
      <w:color w:val="FF0000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horndale" w:eastAsia="Luxi Sans" w:hAnsi="Thorndale" w:cs="Thorndale"/>
      <w:color w:val="00000A"/>
      <w:sz w:val="24"/>
      <w:lang w:eastAsia="zh-CN"/>
    </w:rPr>
  </w:style>
  <w:style w:type="paragraph" w:styleId="Textbubliny">
    <w:name w:val="Balloon Text"/>
    <w:basedOn w:val="Normln"/>
    <w:qFormat/>
    <w:rPr>
      <w:rFonts w:ascii="Segoe UI" w:hAnsi="Segoe UI" w:cs="Times New Roman"/>
      <w:sz w:val="18"/>
      <w:szCs w:val="18"/>
      <w:lang w:val="x-none"/>
    </w:rPr>
  </w:style>
  <w:style w:type="paragraph" w:customStyle="1" w:styleId="Textkomente1">
    <w:name w:val="Text komentáře1"/>
    <w:basedOn w:val="Normln"/>
    <w:qFormat/>
    <w:rPr>
      <w:rFonts w:cs="Times New Roman"/>
      <w:sz w:val="20"/>
      <w:lang w:val="x-none"/>
    </w:rPr>
  </w:style>
  <w:style w:type="paragraph" w:styleId="Pedmtkomente">
    <w:name w:val="annotation subject"/>
    <w:basedOn w:val="Textkomente1"/>
    <w:qFormat/>
    <w:rPr>
      <w:b/>
      <w:bCs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szCs w:val="24"/>
      <w:lang w:bidi="hi-IN"/>
    </w:rPr>
  </w:style>
  <w:style w:type="paragraph" w:customStyle="1" w:styleId="BodyText26">
    <w:name w:val="Body Text 26"/>
    <w:basedOn w:val="Normln"/>
    <w:qFormat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eastAsia="Times New Roman" w:hAnsi="Arial" w:cs="Times New Roman"/>
      <w:sz w:val="22"/>
    </w:rPr>
  </w:style>
  <w:style w:type="paragraph" w:styleId="Revize">
    <w:name w:val="Revision"/>
    <w:qFormat/>
    <w:pPr>
      <w:suppressAutoHyphens/>
    </w:pPr>
    <w:rPr>
      <w:rFonts w:ascii="Thorndale" w:eastAsia="Luxi Sans" w:hAnsi="Thorndale" w:cs="Thorndale"/>
      <w:color w:val="00000A"/>
      <w:sz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Zkladntext32">
    <w:name w:val="Body Text 3"/>
    <w:basedOn w:val="Normln"/>
    <w:qFormat/>
    <w:rsid w:val="00566DE2"/>
    <w:pPr>
      <w:suppressAutoHyphens w:val="0"/>
      <w:spacing w:after="120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Text">
    <w:name w:val="Text"/>
    <w:basedOn w:val="Normln"/>
    <w:uiPriority w:val="99"/>
    <w:qFormat/>
    <w:rsid w:val="00ED56E6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tyleNadpis2PPPAuto">
    <w:name w:val="Style Nadpis 2 PPP + Auto"/>
    <w:basedOn w:val="Normln"/>
    <w:qFormat/>
    <w:rsid w:val="00E63AB0"/>
    <w:pPr>
      <w:keepNext/>
      <w:keepLines/>
      <w:widowControl/>
      <w:spacing w:before="360" w:after="2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Odstavecpokraovac5">
    <w:name w:val="Odstavec pokračovací 5"/>
    <w:uiPriority w:val="99"/>
    <w:qFormat/>
    <w:rsid w:val="00EF374A"/>
    <w:pPr>
      <w:tabs>
        <w:tab w:val="left" w:pos="4536"/>
      </w:tabs>
      <w:suppressAutoHyphens/>
      <w:ind w:left="2835"/>
    </w:pPr>
    <w:rPr>
      <w:rFonts w:ascii="Arial" w:hAnsi="Arial"/>
      <w:color w:val="00000A"/>
      <w:sz w:val="24"/>
    </w:rPr>
  </w:style>
  <w:style w:type="paragraph" w:customStyle="1" w:styleId="Nzevlnku">
    <w:name w:val="N‡zev ‹l‡nku"/>
    <w:basedOn w:val="Normln"/>
    <w:uiPriority w:val="99"/>
    <w:qFormat/>
    <w:rsid w:val="00EF374A"/>
    <w:pPr>
      <w:widowControl/>
      <w:suppressAutoHyphens w:val="0"/>
      <w:spacing w:line="220" w:lineRule="exact"/>
      <w:jc w:val="center"/>
    </w:pPr>
    <w:rPr>
      <w:rFonts w:ascii="Book Antiqua" w:eastAsia="Times New Roman" w:hAnsi="Book Antiqua" w:cs="Times New Roman"/>
      <w:b/>
      <w:color w:val="000000"/>
      <w:sz w:val="18"/>
      <w:lang w:val="en-US" w:eastAsia="cs-CZ"/>
    </w:rPr>
  </w:style>
  <w:style w:type="paragraph" w:customStyle="1" w:styleId="lnek">
    <w:name w:val="‰l‡nek"/>
    <w:basedOn w:val="Normln"/>
    <w:uiPriority w:val="99"/>
    <w:qFormat/>
    <w:rsid w:val="00EF374A"/>
    <w:pPr>
      <w:widowControl/>
      <w:suppressAutoHyphens w:val="0"/>
      <w:spacing w:before="65" w:after="170" w:line="220" w:lineRule="exact"/>
      <w:jc w:val="center"/>
    </w:pPr>
    <w:rPr>
      <w:rFonts w:ascii="Book Antiqua" w:eastAsia="Times New Roman" w:hAnsi="Book Antiqua" w:cs="Times New Roman"/>
      <w:b/>
      <w:color w:val="000000"/>
      <w:sz w:val="20"/>
      <w:lang w:val="en-US" w:eastAsia="cs-CZ"/>
    </w:rPr>
  </w:style>
  <w:style w:type="paragraph" w:customStyle="1" w:styleId="Zkladntext30">
    <w:name w:val="Základní text (3)"/>
    <w:basedOn w:val="Normln"/>
    <w:link w:val="Zkladntext3"/>
    <w:qFormat/>
    <w:rsid w:val="00EF374A"/>
    <w:pPr>
      <w:widowControl/>
      <w:shd w:val="clear" w:color="auto" w:fill="FFFFFF"/>
      <w:spacing w:before="300" w:after="60"/>
      <w:ind w:hanging="420"/>
    </w:pPr>
    <w:rPr>
      <w:rFonts w:ascii="Times New Roman" w:eastAsia="Times New Roman" w:hAnsi="Times New Roman" w:cs="Times New Roman"/>
      <w:b/>
      <w:bCs/>
      <w:sz w:val="22"/>
      <w:szCs w:val="22"/>
      <w:lang w:eastAsia="cs-CZ"/>
    </w:rPr>
  </w:style>
  <w:style w:type="paragraph" w:customStyle="1" w:styleId="Quotations">
    <w:name w:val="Quotation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1338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nzm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creator>Matulova</dc:creator>
  <cp:lastModifiedBy>Heřmanová Pavla</cp:lastModifiedBy>
  <cp:revision>4</cp:revision>
  <cp:lastPrinted>2017-06-07T08:03:00Z</cp:lastPrinted>
  <dcterms:created xsi:type="dcterms:W3CDTF">2017-10-11T10:34:00Z</dcterms:created>
  <dcterms:modified xsi:type="dcterms:W3CDTF">2017-10-11T11:12:00Z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nzm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