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15AB" w14:textId="77777777" w:rsidR="00D010A7" w:rsidRDefault="0094425D" w:rsidP="0094425D">
      <w:pPr>
        <w:jc w:val="center"/>
        <w:rPr>
          <w:rFonts w:ascii="Arial" w:hAnsi="Arial" w:cs="Arial"/>
          <w:b/>
        </w:rPr>
      </w:pPr>
      <w:r w:rsidRPr="0094425D">
        <w:rPr>
          <w:rFonts w:ascii="Arial" w:hAnsi="Arial" w:cs="Arial"/>
          <w:b/>
        </w:rPr>
        <w:t>SMLOUVA O DÍLO</w:t>
      </w:r>
    </w:p>
    <w:p w14:paraId="63D30E12" w14:textId="77777777" w:rsidR="00380FCA" w:rsidRPr="00380FCA" w:rsidRDefault="00600503" w:rsidP="00380FCA">
      <w:pPr>
        <w:spacing w:after="0" w:line="360" w:lineRule="auto"/>
        <w:jc w:val="center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>Projektová dokumentace a související služby</w:t>
      </w:r>
      <w:r w:rsidR="002536CD">
        <w:rPr>
          <w:rFonts w:ascii="Arial" w:eastAsia="Times New Roman" w:hAnsi="Arial" w:cs="Times New Roman"/>
          <w:b/>
          <w:lang w:eastAsia="cs-CZ"/>
        </w:rPr>
        <w:t xml:space="preserve"> </w:t>
      </w:r>
    </w:p>
    <w:p w14:paraId="32CFB749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bCs/>
          <w:lang w:eastAsia="cs-CZ"/>
        </w:rPr>
      </w:pPr>
    </w:p>
    <w:p w14:paraId="65B730D4" w14:textId="77777777" w:rsidR="00380FCA" w:rsidRPr="005F4716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3FD90F88" w14:textId="77777777" w:rsidR="00380FCA" w:rsidRPr="005F4716" w:rsidRDefault="00380FCA" w:rsidP="00380FC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05359812" w14:textId="77777777" w:rsidR="00380FCA" w:rsidRPr="005F4716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4179ED6" w14:textId="77777777" w:rsidR="00380FCA" w:rsidRPr="005F4716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49356FB4" w14:textId="590085E6" w:rsidR="00380FCA" w:rsidRPr="005F4716" w:rsidRDefault="00380FCA" w:rsidP="00A72093">
      <w:pPr>
        <w:tabs>
          <w:tab w:val="left" w:pos="3402"/>
        </w:tabs>
        <w:spacing w:after="0" w:line="276" w:lineRule="auto"/>
        <w:ind w:left="3402" w:hanging="3402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  <w:r w:rsidRPr="005F4716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ab/>
      </w:r>
      <w:r w:rsidR="00A72093" w:rsidRPr="00A72093">
        <w:rPr>
          <w:rFonts w:ascii="Arial" w:hAnsi="Arial" w:cs="Arial"/>
          <w:b/>
          <w:sz w:val="20"/>
          <w:szCs w:val="20"/>
        </w:rPr>
        <w:t>Základní škola Svobodná a Mateřská škola Písek, Dr. M. Horákové</w:t>
      </w:r>
    </w:p>
    <w:p w14:paraId="220B1EE4" w14:textId="0F8867D5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A72093" w:rsidRPr="00A72093">
        <w:rPr>
          <w:rFonts w:ascii="Arial" w:hAnsi="Arial" w:cs="Arial"/>
          <w:sz w:val="20"/>
          <w:szCs w:val="20"/>
        </w:rPr>
        <w:t>Dr. M. Horákové 1720, 397 01 Písek</w:t>
      </w:r>
    </w:p>
    <w:p w14:paraId="1FACC3C8" w14:textId="69AD9EBC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zastoupen</w:t>
      </w:r>
      <w:r w:rsidR="00A72093"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á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: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A72093" w:rsidRPr="00A72093">
        <w:rPr>
          <w:rFonts w:ascii="Arial" w:hAnsi="Arial" w:cs="Arial"/>
          <w:sz w:val="20"/>
          <w:szCs w:val="20"/>
        </w:rPr>
        <w:t>Mgr. Miloslavem Machačem – ředitelem školy</w:t>
      </w:r>
    </w:p>
    <w:p w14:paraId="41DF96EA" w14:textId="49D33BB6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IČO: 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A72093" w:rsidRPr="00A72093">
        <w:rPr>
          <w:rFonts w:ascii="Arial" w:hAnsi="Arial" w:cs="Arial"/>
          <w:sz w:val="20"/>
          <w:szCs w:val="20"/>
        </w:rPr>
        <w:t>70943842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</w:t>
      </w:r>
    </w:p>
    <w:p w14:paraId="39AD5EE2" w14:textId="38640D3C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DIČ: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89211E">
        <w:rPr>
          <w:rFonts w:ascii="Arial" w:hAnsi="Arial" w:cs="Arial"/>
          <w:sz w:val="20"/>
          <w:szCs w:val="20"/>
        </w:rPr>
        <w:t>není plátce DPH</w:t>
      </w:r>
    </w:p>
    <w:p w14:paraId="4B1DCFB4" w14:textId="77777777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Bankovní spojení: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  <w:t>Komerční banka, a.s.</w:t>
      </w:r>
    </w:p>
    <w:p w14:paraId="51B610CB" w14:textId="4A36C05F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Číslo účtu: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50AF24DF" w14:textId="317EDB4C" w:rsidR="00380FCA" w:rsidRPr="005F4716" w:rsidRDefault="009C679B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Kontakt</w:t>
      </w:r>
      <w:r w:rsidR="00380FCA"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:</w:t>
      </w: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380FCA"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 </w:t>
      </w:r>
    </w:p>
    <w:p w14:paraId="6A2652C8" w14:textId="77777777" w:rsidR="00380FCA" w:rsidRPr="005F4716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5B429F57" w14:textId="77777777" w:rsidR="00380FCA" w:rsidRPr="005F4716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25E7C0E5" w14:textId="77777777" w:rsidR="00380FCA" w:rsidRPr="005F4716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46DFE76F" w14:textId="44F4BD79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</w:pPr>
      <w:r w:rsidRPr="005F471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Pr="005F471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r w:rsidR="009C679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IDR </w:t>
      </w:r>
      <w:proofErr w:type="spellStart"/>
      <w:r w:rsidR="009C679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Stavby</w:t>
      </w:r>
      <w:proofErr w:type="spellEnd"/>
      <w:r w:rsidR="009C679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s.r.o.</w:t>
      </w:r>
    </w:p>
    <w:p w14:paraId="16BE69CA" w14:textId="74D61FB2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>se sídlem:</w:t>
      </w: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Radomyšl</w:t>
      </w:r>
      <w:proofErr w:type="spellEnd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čp</w:t>
      </w:r>
      <w:proofErr w:type="spellEnd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. 89, 387 31 </w:t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Radomyšl</w:t>
      </w:r>
      <w:proofErr w:type="spellEnd"/>
    </w:p>
    <w:p w14:paraId="21ED2368" w14:textId="4A9D31CD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zastoupený: </w:t>
      </w:r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ab/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Liborem</w:t>
      </w:r>
      <w:proofErr w:type="spellEnd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Hejpetrem</w:t>
      </w:r>
      <w:proofErr w:type="spellEnd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</w:p>
    <w:p w14:paraId="21740907" w14:textId="54D0ED21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05061059</w:t>
      </w:r>
    </w:p>
    <w:p w14:paraId="7B8B0684" w14:textId="410FF06F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CZ05061059</w:t>
      </w:r>
    </w:p>
    <w:p w14:paraId="1F85DFE7" w14:textId="3FF2CCC6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>Bankovní spojení:</w:t>
      </w: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Komerční</w:t>
      </w:r>
      <w:proofErr w:type="spellEnd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banka</w:t>
      </w:r>
      <w:proofErr w:type="spellEnd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a.s</w:t>
      </w:r>
      <w:proofErr w:type="spellEnd"/>
      <w:r w:rsidR="009C679B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. </w:t>
      </w:r>
    </w:p>
    <w:p w14:paraId="6DEB74C3" w14:textId="3BF71677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>Číslo účtu:</w:t>
      </w: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7CEB407E" w14:textId="1125AD39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val="en-US"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9C679B">
        <w:rPr>
          <w:rFonts w:ascii="Arial" w:eastAsia="Times New Roman" w:hAnsi="Arial" w:cs="Times New Roman"/>
          <w:bCs/>
          <w:sz w:val="20"/>
          <w:szCs w:val="20"/>
          <w:lang w:val="en-US" w:eastAsia="cs-CZ"/>
        </w:rPr>
        <w:t xml:space="preserve">Libor </w:t>
      </w:r>
      <w:proofErr w:type="spellStart"/>
      <w:r w:rsidR="009C679B">
        <w:rPr>
          <w:rFonts w:ascii="Arial" w:eastAsia="Times New Roman" w:hAnsi="Arial" w:cs="Times New Roman"/>
          <w:bCs/>
          <w:sz w:val="20"/>
          <w:szCs w:val="20"/>
          <w:lang w:val="en-US" w:eastAsia="cs-CZ"/>
        </w:rPr>
        <w:t>Hejpetr</w:t>
      </w:r>
      <w:proofErr w:type="spellEnd"/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, </w:t>
      </w:r>
      <w:proofErr w:type="spellStart"/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kontakt</w:t>
      </w:r>
      <w:proofErr w:type="spellEnd"/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: </w:t>
      </w:r>
      <w:bookmarkStart w:id="0" w:name="_GoBack"/>
      <w:bookmarkEnd w:id="0"/>
    </w:p>
    <w:p w14:paraId="68161217" w14:textId="4B5F15CD" w:rsidR="00380FCA" w:rsidRPr="005F4716" w:rsidRDefault="00380FCA" w:rsidP="009C679B">
      <w:pPr>
        <w:tabs>
          <w:tab w:val="left" w:pos="3119"/>
        </w:tabs>
        <w:spacing w:after="0" w:line="276" w:lineRule="auto"/>
        <w:ind w:left="3402" w:hanging="3402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 xml:space="preserve">Registrační údaje: </w:t>
      </w:r>
      <w:r w:rsidR="009C679B">
        <w:rPr>
          <w:rFonts w:ascii="Arial" w:eastAsia="Times New Roman" w:hAnsi="Arial" w:cs="Times New Roman"/>
          <w:sz w:val="20"/>
          <w:szCs w:val="20"/>
          <w:lang w:eastAsia="cs-CZ"/>
        </w:rPr>
        <w:tab/>
        <w:t xml:space="preserve">     Zapsaná v OR vedeném KS v Českých Budějovicích, oddíl C, vložka 24852</w:t>
      </w:r>
    </w:p>
    <w:p w14:paraId="31C0E0FC" w14:textId="77777777" w:rsidR="00380FCA" w:rsidRPr="005F4716" w:rsidRDefault="00380FCA" w:rsidP="00420E48">
      <w:pPr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4F83FB36" w14:textId="77777777" w:rsidR="006146EB" w:rsidRPr="005F4716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15493464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lang w:eastAsia="cs-CZ"/>
        </w:rPr>
      </w:pPr>
    </w:p>
    <w:p w14:paraId="346B97C7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4"/>
          <w:lang w:eastAsia="cs-CZ"/>
        </w:rPr>
      </w:pPr>
    </w:p>
    <w:p w14:paraId="1EAA70A8" w14:textId="77777777" w:rsidR="00380FCA" w:rsidRPr="005F4716" w:rsidRDefault="007715C0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  <w:r w:rsidR="002536CD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0BB09BD3" w14:textId="77777777" w:rsidR="00E256F7" w:rsidRPr="005F4716" w:rsidRDefault="002536CD" w:rsidP="00E256F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1156A960" w14:textId="77777777" w:rsidR="00E256F7" w:rsidRPr="005F4716" w:rsidRDefault="002536CD" w:rsidP="00E256F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uzavřením této smlouvy o dílo zavazuje na svůj náklad a na své nebezpečí odborně provést pro objednatele dílo spočívající ve vypracování projektové dokumentace a v poskytnutí souvisejících služeb. Zhotovitel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prohlašuje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že je 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autorizovanou osobou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oprávněním potřebným k provedení projekčních prací, které jsou předmětem smlouvy, a že disponuje zkušenostmi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technickým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prostředky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ezbytnými k vyhotovení předmětu plnění této smlouvy, v</w:t>
      </w:r>
      <w:r w:rsidR="00533468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rozsahu, kvalitě a</w:t>
      </w:r>
      <w:r w:rsidR="00420E48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termínu touto smlouvou dohodnutých.</w:t>
      </w:r>
      <w:r w:rsidR="00F43FBD" w:rsidRPr="005F4716">
        <w:rPr>
          <w:rFonts w:ascii="Arial" w:hAnsi="Arial" w:cs="Arial"/>
          <w:sz w:val="20"/>
          <w:szCs w:val="20"/>
        </w:rPr>
        <w:t xml:space="preserve"> </w:t>
      </w:r>
    </w:p>
    <w:p w14:paraId="44AC726F" w14:textId="77777777" w:rsidR="00E256F7" w:rsidRPr="005F4716" w:rsidRDefault="00E256F7" w:rsidP="00F43FBD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hAnsi="Arial" w:cs="Arial"/>
          <w:sz w:val="20"/>
          <w:szCs w:val="20"/>
          <w:lang w:val="x-none"/>
        </w:rPr>
        <w:t>Zhotovitel odpovídá za správnost, úplnost a bezpečnost stavby provedené podle jím zpracované projektové dokumentace a za proveditelnost stavby podle jím zpracované projektové dokumentace. Zhotovitel prohlašuje, že je oprávněný a odborně způsobilý provádět činnosti dle této smlouvy.</w:t>
      </w:r>
    </w:p>
    <w:p w14:paraId="26AEECC2" w14:textId="77777777" w:rsidR="004F4317" w:rsidRPr="005F4716" w:rsidRDefault="00F43FB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Objednatel je v nezbytném rozsahu povinen poskytnout zhotoviteli součinnost pro plnění smlouvy, zejména se zavazuje poskytnout zhotoviteli na vyžádání </w:t>
      </w:r>
      <w:r w:rsidR="004F4317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nezbytné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podklady</w:t>
      </w:r>
      <w:r w:rsidR="004F4317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1FBD9F8D" w14:textId="77777777" w:rsidR="0094425D" w:rsidRPr="005F4716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prohlašuje, že má dostatečné finanční prostředky na plnou úhradu ceny díla.</w:t>
      </w:r>
    </w:p>
    <w:p w14:paraId="489EAC3B" w14:textId="77777777" w:rsidR="00E256F7" w:rsidRPr="005F4716" w:rsidRDefault="00E256F7" w:rsidP="00E256F7">
      <w:pPr>
        <w:spacing w:after="12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A421C44" w14:textId="77777777" w:rsidR="002D4596" w:rsidRPr="005F4716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25432576" w14:textId="33E187B7" w:rsidR="00600503" w:rsidRDefault="00600503" w:rsidP="00600503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Předmětem díla je zpracování projektové dokumentace na stavbu: </w:t>
      </w:r>
      <w:r w:rsidR="009C679B" w:rsidRPr="00D16D2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„</w:t>
      </w:r>
      <w:r w:rsidR="00A72093" w:rsidRPr="00D16D2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Snížení energetické náročnosti objektu </w:t>
      </w:r>
      <w:r w:rsidR="00FC594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Družin</w:t>
      </w:r>
      <w:r w:rsidR="00A72093" w:rsidRPr="00D16D2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 ZŠ Svobodná Písek“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související služby v tomto rozsahu: </w:t>
      </w:r>
    </w:p>
    <w:p w14:paraId="4859C604" w14:textId="77777777" w:rsidR="00A72093" w:rsidRDefault="00A72093" w:rsidP="00A72093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A412776" w14:textId="6C987704" w:rsidR="00A72093" w:rsidRPr="00A72093" w:rsidRDefault="00A72093" w:rsidP="00A7209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Zpracování projektové studie stavebního a technologického řešení zateplení objektu </w:t>
      </w:r>
      <w:r w:rsidR="00FC5940" w:rsidRPr="002034E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Družin</w:t>
      </w:r>
      <w:r w:rsidRPr="002034E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ZŠ Svobodná, </w:t>
      </w:r>
      <w:r w:rsidR="00DD3899">
        <w:rPr>
          <w:rFonts w:ascii="Arial" w:hAnsi="Arial" w:cs="Arial"/>
          <w:b/>
          <w:sz w:val="20"/>
          <w:szCs w:val="20"/>
        </w:rPr>
        <w:t>Šobrova 2070</w:t>
      </w:r>
      <w:r w:rsidRPr="002034E7">
        <w:rPr>
          <w:rFonts w:ascii="Arial" w:hAnsi="Arial" w:cs="Arial"/>
          <w:b/>
          <w:sz w:val="20"/>
          <w:szCs w:val="20"/>
        </w:rPr>
        <w:t>, 397 01 Píse</w:t>
      </w:r>
      <w:r w:rsidRPr="00A7209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. Projektová studie bude realizována minimálně v rozsahu a podrobnostech dle závazné struktury definované Státním fondem životního prostředí </w:t>
      </w:r>
      <w:r w:rsidRPr="00A72093">
        <w:rPr>
          <w:rFonts w:ascii="Arial" w:hAnsi="Arial" w:cs="Arial"/>
          <w:sz w:val="20"/>
          <w:szCs w:val="20"/>
          <w:highlight w:val="magenta"/>
        </w:rPr>
        <w:t>PŘÍLOHA 1</w:t>
      </w:r>
      <w:r>
        <w:rPr>
          <w:rFonts w:ascii="Arial" w:hAnsi="Arial" w:cs="Arial"/>
          <w:sz w:val="20"/>
          <w:szCs w:val="20"/>
        </w:rPr>
        <w:t xml:space="preserve">, která bude přílohou žádosti o poskytnutí dotace v rámci 70. Výzvy OPŽP. Technické řešení nuceného větrání učeben bude navrženo v souladu s Metodickým pokynem pro návrh větrání škol vydaným Státním fondem životního prostředí </w:t>
      </w:r>
      <w:r w:rsidRPr="00A72093">
        <w:rPr>
          <w:rFonts w:ascii="Arial" w:hAnsi="Arial" w:cs="Arial"/>
          <w:sz w:val="20"/>
          <w:szCs w:val="20"/>
          <w:highlight w:val="magenta"/>
        </w:rPr>
        <w:t>PŘÍLOHA 2</w:t>
      </w:r>
      <w:r>
        <w:rPr>
          <w:rFonts w:ascii="Arial" w:hAnsi="Arial" w:cs="Arial"/>
          <w:sz w:val="20"/>
          <w:szCs w:val="20"/>
        </w:rPr>
        <w:t xml:space="preserve">. Podkladem pro návrh energetických opatření a jejich rozsah bude odborný posudek energetického auditora firmy TESPORA </w:t>
      </w:r>
      <w:proofErr w:type="spellStart"/>
      <w:r>
        <w:rPr>
          <w:rFonts w:ascii="Arial" w:hAnsi="Arial" w:cs="Arial"/>
          <w:sz w:val="20"/>
          <w:szCs w:val="20"/>
        </w:rPr>
        <w:t>Profi</w:t>
      </w:r>
      <w:proofErr w:type="spellEnd"/>
      <w:r>
        <w:rPr>
          <w:rFonts w:ascii="Arial" w:hAnsi="Arial" w:cs="Arial"/>
          <w:sz w:val="20"/>
          <w:szCs w:val="20"/>
        </w:rPr>
        <w:t xml:space="preserve">, s.r.o. Součástí projektové studie bude oceněný soupis stavebních prací a dodávek v podrobnostech podle vyhlášky 230/2012 Sb. a v obdobné formě jak je uvedeno v odstavci 2.4. </w:t>
      </w:r>
    </w:p>
    <w:p w14:paraId="7E678CA7" w14:textId="77777777" w:rsidR="00A72093" w:rsidRPr="00A72093" w:rsidRDefault="00A72093" w:rsidP="00A72093">
      <w:pPr>
        <w:pStyle w:val="Odstavecseseznamem"/>
        <w:autoSpaceDE w:val="0"/>
        <w:autoSpaceDN w:val="0"/>
        <w:adjustRightInd w:val="0"/>
        <w:spacing w:before="60" w:after="0" w:line="240" w:lineRule="auto"/>
        <w:ind w:left="92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D8F0DBB" w14:textId="2BB89094" w:rsidR="00A72093" w:rsidRPr="00A72093" w:rsidRDefault="00A72093" w:rsidP="00A7209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Zpracování dokumentace pro zadání stavebních prací v podrobnostech dokumentace pro provedení stavby včetně výkazu výměr a kompletní inženýrské činnosti pro zajištění všech opatření stavebního úřadu potřebných k realizaci stavby. Činnost bude zahrnovat i spolupráci při výběru dodavatele stavby a autorský dozor při realizaci stavby.   </w:t>
      </w:r>
    </w:p>
    <w:p w14:paraId="4525EA1A" w14:textId="628F5701" w:rsidR="005F4716" w:rsidRDefault="005F4716" w:rsidP="00A72093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92D2AB" w14:textId="06360C28" w:rsidR="00CC4D0C" w:rsidRPr="00F17ABF" w:rsidRDefault="00CC4D0C" w:rsidP="00CC4D0C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Projektová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odstavce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2.1. b) využitá</w:t>
      </w:r>
      <w:proofErr w:type="gramEnd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 </w:t>
      </w:r>
      <w:r w:rsidR="00E0448F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 stavební řízení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zpracována 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souladu se zákonem č. 183/2006 Sb., o územním plánování a stavebním řádu, ve znění pozdějších předpisů, a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vyhlášky č. 499/2006 Sb., o dokumentaci staveb, ve znění pozdějších předpisů,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bude obsahovat všechny součásti a podklady potřebné pro vydání stavebního povolení</w:t>
      </w:r>
      <w:r w:rsidR="00692C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pokud bude k realizaci stavby vyžadováno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B220AF" w:rsidRPr="00F17ABF">
        <w:rPr>
          <w:rFonts w:ascii="Arial" w:eastAsia="Times New Roman" w:hAnsi="Arial" w:cs="Arial"/>
          <w:sz w:val="20"/>
          <w:szCs w:val="20"/>
          <w:lang w:eastAsia="cs-CZ"/>
        </w:rPr>
        <w:t>Projektová dokumentace musí splňovat i náležitosti dle vyhl</w:t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 xml:space="preserve">ášky </w:t>
      </w:r>
      <w:r w:rsidR="00B220AF" w:rsidRPr="00F17ABF">
        <w:rPr>
          <w:rFonts w:ascii="Arial" w:eastAsia="Times New Roman" w:hAnsi="Arial" w:cs="Arial"/>
          <w:sz w:val="20"/>
          <w:szCs w:val="20"/>
          <w:lang w:eastAsia="cs-CZ"/>
        </w:rPr>
        <w:t>č. 169/2016 Sb., neboť bude sloužit objednateli pro zadání veřejné zakázky.</w:t>
      </w:r>
    </w:p>
    <w:p w14:paraId="4DA8C130" w14:textId="77777777" w:rsidR="00CC4D0C" w:rsidRPr="005F4716" w:rsidRDefault="00CC4D0C" w:rsidP="00CC4D0C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předá objednateli projektovou dokumentaci v listinné podobě v šesti vyhotoveních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jednom vyhotovení v elektronické podobě na CD ve formátu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pdf</w:t>
      </w:r>
      <w:proofErr w:type="spell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dwg</w:t>
      </w:r>
      <w:proofErr w:type="spell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případně v jiném běžně podporovaném formátu.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5E082AD3" w14:textId="77777777" w:rsidR="006146EB" w:rsidRPr="005F4716" w:rsidRDefault="00CC4D0C" w:rsidP="006146EB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Projektová dokumentace pro zadání stavby v podrobnosti pro provádění stavby bude obsahovat soupis prací a výkaz výměr ve formátu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xls</w:t>
      </w:r>
      <w:proofErr w:type="spellEnd"/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N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eoceněný soupis prací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listinné podobě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součástí každého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vyhotovení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projektové dokumentace.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Dále zhotovitel vypracuje oceněný soupis prací, včetně krycího listu,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 cenami uvedenými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Kč bez DPH, samostatné DPH v Kč a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 cenami uvedenými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Kč včetně DPH, dle aktuální cenové soustavy, pro stanovení předpokládané hodnoty stavby. U každého objektu bude uveden u rekapitulace objektů šestimístný číselný kód zatřídění dle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lasifikace stavebních děl (CZ-CC).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Výrobky a dodávky budou podrobně popsány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budou uvedeny jejich technické a fyzikální vlastnosti tak, aby uchazeč o realizaci mohl podle uvedených vlastností vybrat vhodný výrobek, resp. dodávku. 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Soupis prací </w:t>
      </w:r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 obsahovat sloupec s odkazem na typ použité cenové soustavy ve tvaru "</w:t>
      </w:r>
      <w:proofErr w:type="spellStart"/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rok_typ</w:t>
      </w:r>
      <w:proofErr w:type="spellEnd"/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cenové soustavy"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(např. "2015_OTSKP" nebo "CS_ÚRS_2015_01" nebo "RTS_DATA_2016/I").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si vyhrazuje právo požádat zhotovitele v případě potřeby o bezplatnou aktualizaci soupisu prací. O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ceněný soupis prací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listinné podobě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objednateli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 ve dvou vyhotoveních samostatně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bere na vědomí, že tuto projektovou dokumentaci použije objednatel pro výběr dodavatele stavby</w:t>
      </w:r>
      <w:r w:rsidR="006146EB" w:rsidRPr="005F4716">
        <w:rPr>
          <w:sz w:val="20"/>
          <w:szCs w:val="20"/>
        </w:rPr>
        <w:t>.</w:t>
      </w:r>
    </w:p>
    <w:p w14:paraId="7A5FB911" w14:textId="782B87C7" w:rsidR="006146EB" w:rsidRPr="005F4716" w:rsidRDefault="00CC4D0C" w:rsidP="006146EB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Součástí projektové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odst.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dopravně-inženýrské opatření pro realizaci stavby, pro případné zvláštní užívání a uzavírky pozemních komunikací s umístěním dopravního značení, tzn. pro stanovení místní a přechodné úpravy provozu na pozemních komunikacích</w:t>
      </w:r>
      <w:r w:rsidR="00492814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době provádění stavby dle požadavku Policie ČR, vlastníka pozemní komunikace a příslušného správního úřadu dle zák. č. 13/1997 Sb., o</w:t>
      </w:r>
      <w:r w:rsidR="00492814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pozemních komunikacích, ve znění pozdějších předpisů, a dalších souvisejících předpisů.</w:t>
      </w:r>
      <w:r w:rsidR="006146EB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454BA7E7" w14:textId="77777777" w:rsidR="00E256F7" w:rsidRPr="005F4716" w:rsidRDefault="00E256F7" w:rsidP="00E256F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je povinen provést i práce a činnosti výše výslovně neuvedené (průzkumy, studie, polohopisné a výškopisné zaměření apod.), o nichž ví nebo podle svých odborných zkušeností vědět má, že jsou nezbytné pro řádné plnění předmětu této smlouvy.</w:t>
      </w:r>
    </w:p>
    <w:p w14:paraId="027523F6" w14:textId="417F037E" w:rsidR="0033021C" w:rsidRPr="005F4716" w:rsidRDefault="00CC4D0C" w:rsidP="00D21142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Součástí projektové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odst.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posouzení, zda pro realizaci stavby ve smyslu ustanovení zákona č. 309/2006 Sb., kterým se upravují další požadavky bezpečnosti a</w:t>
      </w:r>
      <w:r w:rsidR="00492814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ochrany zdraví při práci v pracovněprávních vztazích a o zajištění bezpečnosti a</w:t>
      </w:r>
      <w:r w:rsidR="006146EB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ochrany zdraví při činnosti nebo poskytování služeb mimo pracovněprávní vztahy (zákon o zajištění dalších podmínek bezpečnosti a ochrany zdraví při práci), ve znění pozdějších předpisů, musí být určen koordinátor bezpečnosti a ochrany zdraví při práci na staveništi a zda vzniká povinnost zpracovat plán bezpečnosti a ochrany zdraví při práci na staveništi. Součástí dokumentace budou podmínky pro zajištění bezpečnosti a</w:t>
      </w:r>
      <w:r w:rsidR="006146EB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ochrany zdraví při práci.</w:t>
      </w:r>
    </w:p>
    <w:p w14:paraId="62F13C14" w14:textId="1C9C88D8" w:rsidR="005F4716" w:rsidRPr="005F4716" w:rsidRDefault="005F4716" w:rsidP="005F4716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Projektová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odst.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obsahovat zakreslení veškerých podzemních a nadzemních sítí, nacházejících se v zájmovém území, zjištění stavu stávajících inženýrských sítí u jejich správců a v případě potřeby bude projektová dokumentace řešit přeložky těchto sítí. </w:t>
      </w:r>
    </w:p>
    <w:p w14:paraId="5B9AAF72" w14:textId="77777777" w:rsidR="0033021C" w:rsidRPr="005F4716" w:rsidRDefault="0033021C" w:rsidP="0033021C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Spolupráce s objednatelem při výběru dodavatele stavby zahrnuje zodpovězení dodatečných dotazů uchazečů k projektové dokumentaci stavby včetně soupisu prací a výkazů výměr, a to ve lhůtě dvou pracovních dnů od doručení dotazu objednatelem. Za doručení dotazu objednatelem se považuje i doručení dotazu prostřednictvím elektronické pošty (e-mailem). </w:t>
      </w:r>
    </w:p>
    <w:p w14:paraId="584993A3" w14:textId="77777777" w:rsidR="0033021C" w:rsidRPr="005F4716" w:rsidRDefault="0033021C" w:rsidP="00E8679D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Spolupráce při výběru dodavatele stavby zahrnuje účast na jednáních hodnotící komise, kontrolu oceněných soupisů prací v nabídkách uchazečů a kontrolu oceněného soupisu prací vítězné nabídky před uzavřením smlouvy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dále posouzení případných zdůvodnění mimořádně nízké nabídkové ceny do tří pracovních dnů od doručení dotazu objednatelem. Za doručení dotazu objednatelem se považuje i doručení dotazu prostřednictvím elektronické pošty (e-mailem).</w:t>
      </w:r>
      <w:r w:rsidR="00CC4D0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19B1AB49" w14:textId="3C3A8D47" w:rsidR="00E0448F" w:rsidRPr="005F4716" w:rsidRDefault="00E0448F" w:rsidP="007B29B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Provádění inženýrské činnosti zhotovitelem zahrnuje veškeré činnosti a práce nutné k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zajištění pravomocného stavebního povolení či jiného potřebného opatření stavebního úřadu, z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ejména zajištění všech po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žadovaných závazných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stanovisek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dotčených orgánů,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zajištění souhlasů a jiných bezrozporných stanovisek účastníků řízení a dále jednání se správními úřady k zahájení a vedení správních řízen, a to včetně nákladů s tím spojených (tzn. poštovné, kolkovné, dopravné, správní poplatky vyměřené a vybírané správními úřady apod.).</w:t>
      </w:r>
    </w:p>
    <w:p w14:paraId="5004C58B" w14:textId="77777777" w:rsidR="007111FE" w:rsidRPr="005F4716" w:rsidRDefault="00CC4D0C" w:rsidP="007111FE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Autorský dozor při realizaci stavby bude vykonáván zhotovitelem průběžně po celou dobu zhotovování stavby až do jejího dokončení, tj. do předání a převzetí stavby objednatelem. Prováděním autorského dozoru při realizaci stavby se rozumí:</w:t>
      </w:r>
    </w:p>
    <w:p w14:paraId="621B3DE9" w14:textId="77777777" w:rsidR="007111FE" w:rsidRPr="005F4716" w:rsidRDefault="00CC4D0C" w:rsidP="007111FE">
      <w:pPr>
        <w:numPr>
          <w:ilvl w:val="0"/>
          <w:numId w:val="4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kontrola provádění díla v souladu s</w:t>
      </w:r>
      <w:r w:rsidR="007111F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projektovou dokumentací</w:t>
      </w:r>
      <w:r w:rsidR="007111F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ověřenou stavebním úřadem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7111F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podmínkami smlouvy, doplňky a změnami projektové dokumentace, které budou schváleny objednatelem a dodatečně ověřeny stavebním úřadem, pokud je takového schválení třeba;</w:t>
      </w:r>
    </w:p>
    <w:p w14:paraId="4A22FA5F" w14:textId="77777777" w:rsidR="007111FE" w:rsidRPr="005F4716" w:rsidRDefault="00CC4D0C" w:rsidP="007111FE">
      <w:pPr>
        <w:numPr>
          <w:ilvl w:val="0"/>
          <w:numId w:val="4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účast na veřejnoprávním řízení a jednání s dotčenými orgány, kontrola při vytyčování stavby, poskytování vysvětlení k projektové dokumentaci na stavbě, povolování změn a odchylek od schváleného projektu, kontrola technologie navržených částí stavby, účast na kontrolních dnech, dozor nad průběhem zkoušek prováděných na stavbě, zaznamenávání zjištění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požadavků do stavebního deníku, doplňování detailů a dalších specifikací, které je třeba předem dohodnout</w:t>
      </w:r>
    </w:p>
    <w:p w14:paraId="3AEBE97A" w14:textId="77777777" w:rsidR="00CC4D0C" w:rsidRPr="005F4716" w:rsidRDefault="007111FE" w:rsidP="007111FE">
      <w:pPr>
        <w:numPr>
          <w:ilvl w:val="0"/>
          <w:numId w:val="4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žádost objednatele posouzení a odsouhlasení případných návrhů dodavatele stavby na změny schválené projektové dokumentace a na odchylky od ní, které byly vyvolány v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ivem okolností vzniklých v průběhu 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realizace díla</w:t>
      </w:r>
      <w:r w:rsidR="00CC4D0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768B46E" w14:textId="77777777" w:rsidR="004C1132" w:rsidRPr="005F4716" w:rsidRDefault="004C1132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Calibri" w:hAnsi="Arial" w:cs="Arial"/>
          <w:sz w:val="20"/>
          <w:szCs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56DEA1E6" w14:textId="77777777" w:rsidR="004A608E" w:rsidRPr="005F4716" w:rsidRDefault="004A608E" w:rsidP="004A608E">
      <w:pPr>
        <w:autoSpaceDE w:val="0"/>
        <w:autoSpaceDN w:val="0"/>
        <w:adjustRightInd w:val="0"/>
        <w:spacing w:before="60" w:after="0" w:line="276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5F5C866" w14:textId="77777777" w:rsidR="00DA2824" w:rsidRPr="005F4716" w:rsidRDefault="004C1132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Termíny plnění </w:t>
      </w:r>
      <w:r w:rsidR="007E6885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3115D4B6" w14:textId="77777777" w:rsidR="007E6885" w:rsidRPr="005F4716" w:rsidRDefault="00DA2824" w:rsidP="00DA2824">
      <w:pPr>
        <w:numPr>
          <w:ilvl w:val="1"/>
          <w:numId w:val="34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Zhotovitel se zavazuje provést a předat sjednané dílo v těchto termínech:</w:t>
      </w:r>
    </w:p>
    <w:p w14:paraId="23D3ACC6" w14:textId="215F262E" w:rsidR="00A72093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Projektová studie stavebního a technologického řešení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rozsahu </w:t>
      </w:r>
      <w:r w:rsidRP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odst. </w:t>
      </w:r>
      <w:proofErr w:type="gramStart"/>
      <w:r w:rsidRP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2.1.a)</w:t>
      </w:r>
      <w:proofErr w:type="gramEnd"/>
    </w:p>
    <w:p w14:paraId="6868EF91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BB7A8D" w14:textId="67ADE6A0" w:rsidR="00A72093" w:rsidRPr="00A72093" w:rsidRDefault="00A72093" w:rsidP="00A72093">
      <w:pPr>
        <w:pStyle w:val="Odstavecseseznamem"/>
        <w:ind w:left="567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do </w:t>
      </w:r>
      <w:proofErr w:type="gramStart"/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15.9.2017</w:t>
      </w:r>
      <w:proofErr w:type="gramEnd"/>
    </w:p>
    <w:p w14:paraId="54EB732A" w14:textId="77777777" w:rsidR="00A72093" w:rsidRPr="00A72093" w:rsidRDefault="00A72093" w:rsidP="00A72093">
      <w:pPr>
        <w:pStyle w:val="Odstavecseseznamem"/>
        <w:ind w:left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D8E13EC" w14:textId="730524B6" w:rsidR="00DA2824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Zpracování dokumentace v rozsahu dle odst.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2.1.b)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71E08C5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3778C7" w14:textId="490D3C6F" w:rsidR="00A72093" w:rsidRDefault="00A72093" w:rsidP="00A72093">
      <w:pPr>
        <w:pStyle w:val="Odstavecseseznamem"/>
        <w:ind w:left="567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do 30 dnů od písemné výzvy objednatele zhotoviteli</w:t>
      </w:r>
    </w:p>
    <w:p w14:paraId="564356FD" w14:textId="02210D70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základě obdržení kladného rozhodnutí o poskytnutí dotace na realizaci projektu dle této smlouvy </w:t>
      </w:r>
    </w:p>
    <w:p w14:paraId="706D17A0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12B7B2" w14:textId="1BD44863" w:rsidR="00A72093" w:rsidRPr="00A72093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Provádění komplexní inženýrské činnosti </w:t>
      </w:r>
    </w:p>
    <w:p w14:paraId="34624F72" w14:textId="627D0384" w:rsidR="0055459E" w:rsidRPr="00A72093" w:rsidRDefault="00A72093" w:rsidP="00A7209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do získání potřebného pravomocného povolení </w:t>
      </w:r>
      <w:r w:rsidR="00692C1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nebo opatření </w:t>
      </w: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stavebního úřadu</w:t>
      </w:r>
    </w:p>
    <w:p w14:paraId="39E9B689" w14:textId="77777777" w:rsidR="00A72093" w:rsidRPr="005F4716" w:rsidRDefault="00A72093" w:rsidP="006146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94A7ED" w14:textId="77777777" w:rsidR="0055459E" w:rsidRPr="005F4716" w:rsidRDefault="0055459E" w:rsidP="005545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C3135A" w14:textId="77777777" w:rsidR="00A72093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6146EB" w:rsidRPr="005F4716">
        <w:rPr>
          <w:rFonts w:ascii="Arial" w:eastAsia="Times New Roman" w:hAnsi="Arial" w:cs="Arial"/>
          <w:sz w:val="20"/>
          <w:szCs w:val="20"/>
          <w:lang w:eastAsia="cs-CZ"/>
        </w:rPr>
        <w:t>polupráce při výběru dodavatele stavby</w:t>
      </w:r>
    </w:p>
    <w:p w14:paraId="7B8354B0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54EFFA" w14:textId="34BD6821" w:rsidR="00A72093" w:rsidRPr="00A72093" w:rsidRDefault="00A72093" w:rsidP="00A72093">
      <w:pPr>
        <w:pStyle w:val="Odstavecseseznamem"/>
        <w:ind w:left="567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</w:t>
      </w: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 podpisu smlouvy s dodavatelem realizace stavby</w:t>
      </w:r>
    </w:p>
    <w:p w14:paraId="62FD0EF2" w14:textId="0142E416" w:rsidR="00A72093" w:rsidRDefault="0055459E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</w:t>
      </w:r>
      <w:r w:rsidR="00A7209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A72093" w:rsidRPr="005F4716">
        <w:rPr>
          <w:rFonts w:ascii="Arial" w:eastAsia="Times New Roman" w:hAnsi="Arial" w:cs="Arial"/>
          <w:sz w:val="20"/>
          <w:szCs w:val="20"/>
          <w:lang w:eastAsia="cs-CZ"/>
        </w:rPr>
        <w:t>ýkon autorského dozoru při realizaci stavby</w:t>
      </w:r>
    </w:p>
    <w:p w14:paraId="4EFB00B2" w14:textId="1229E204" w:rsidR="006146EB" w:rsidRPr="00A72093" w:rsidRDefault="00A72093" w:rsidP="0055459E">
      <w:pPr>
        <w:spacing w:after="0" w:line="240" w:lineRule="auto"/>
        <w:ind w:left="6372" w:hanging="5805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</w:t>
      </w: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 vydání kolaudačního souhlasu respektive do odstranění případných vad a nedodělků</w:t>
      </w:r>
      <w:r w:rsidR="0055459E" w:rsidRPr="00A7209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58C2A00B" w14:textId="77777777" w:rsidR="000177F8" w:rsidRPr="005F4716" w:rsidRDefault="002D4596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Dílo se považuje za dokončené jeho předáním a převzetím bez vad a nedodělků, o čemž</w:t>
      </w:r>
      <w:r w:rsidRPr="005F4716">
        <w:rPr>
          <w:rFonts w:ascii="Arial" w:eastAsia="Times New Roman" w:hAnsi="Arial" w:cs="Arial"/>
          <w:color w:val="00B05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="004F4317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sepíše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písemný protokol, který podepíší objednatel a zhotovitel. Tento protokol, v</w:t>
      </w:r>
      <w:r w:rsidR="00785B12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 němž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objednatel výslovně prohlásí, že dílo přejímá, je</w:t>
      </w:r>
      <w:r w:rsidR="00CE5B40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rozhodující skutečností pro </w:t>
      </w:r>
      <w:r w:rsidR="00874844" w:rsidRPr="005F4716">
        <w:rPr>
          <w:rFonts w:ascii="Arial" w:eastAsia="Times New Roman" w:hAnsi="Arial" w:cs="Arial"/>
          <w:sz w:val="20"/>
          <w:szCs w:val="20"/>
          <w:lang w:eastAsia="cs-CZ"/>
        </w:rPr>
        <w:t>splnění termínu dokončení díla.</w:t>
      </w:r>
      <w:r w:rsidR="00705253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D82BB7C" w14:textId="77777777" w:rsidR="00FB3420" w:rsidRPr="005F4716" w:rsidRDefault="002D4596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Termín dokončení </w:t>
      </w:r>
      <w:r w:rsidR="00785B12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díla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stanovený v odst. </w:t>
      </w:r>
      <w:r w:rsidR="004A608E" w:rsidRPr="005F4716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.1 tohoto článku smlouvy o dílo může být prodloužen z</w:t>
      </w:r>
      <w:r w:rsidR="000177F8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 důvodu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přerušení nebo zastavení pro</w:t>
      </w:r>
      <w:r w:rsidR="000177F8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jektových prací </w:t>
      </w:r>
      <w:r w:rsidR="008D50C9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a realizace stavby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vyvolané objednatelem. V tomto případě se prodlužují termíny o dobu prodlení objednatele</w:t>
      </w:r>
      <w:r w:rsidR="000177F8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5B5F56B1" w14:textId="77777777" w:rsidR="007B29B5" w:rsidRPr="00A72093" w:rsidRDefault="007B29B5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Zhotovitel bude provádět </w:t>
      </w:r>
      <w:r w:rsidR="009A7A23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autorský dozor při realizaci stavby ode dne předání staveniště </w:t>
      </w:r>
      <w:r w:rsidR="00DA2824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dodavateli stavby </w:t>
      </w:r>
      <w:r w:rsidR="009A7A23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do vydání kolaudačního souhlasu s užíváním stavby, je-li tohoto souhlasu třeba, případně až do doby odstranění vad a nedodělků zjištěných při předání a převzetí dokončené stavby. 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BD07889" w14:textId="71F9291E" w:rsidR="00A72093" w:rsidRPr="005F4716" w:rsidRDefault="00A72093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objednatel neobdrží kladné stanovisko o poskytnutí dotace na realizaci projektu dle této smlouvy, nebude zhotovitel provádět činnosti dle odst.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 xml:space="preserve">2.1. b) </w:t>
      </w:r>
      <w:r w:rsidR="00207867">
        <w:rPr>
          <w:rFonts w:ascii="Arial" w:eastAsia="Times New Roman" w:hAnsi="Arial" w:cs="Arial"/>
          <w:sz w:val="20"/>
          <w:szCs w:val="20"/>
          <w:lang w:eastAsia="cs-CZ"/>
        </w:rPr>
        <w:t>včetně</w:t>
      </w:r>
      <w:proofErr w:type="gramEnd"/>
      <w:r w:rsidR="00207867">
        <w:rPr>
          <w:rFonts w:ascii="Arial" w:eastAsia="Times New Roman" w:hAnsi="Arial" w:cs="Arial"/>
          <w:sz w:val="20"/>
          <w:szCs w:val="20"/>
          <w:lang w:eastAsia="cs-CZ"/>
        </w:rPr>
        <w:t xml:space="preserve"> souvisejících nebo navazujících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 a plnění smlouvy tím končí. </w:t>
      </w:r>
    </w:p>
    <w:p w14:paraId="738DAB8D" w14:textId="77777777" w:rsidR="00FB3420" w:rsidRPr="005F4716" w:rsidRDefault="00FB3420" w:rsidP="00FB3420">
      <w:pPr>
        <w:pStyle w:val="Odstavecseseznamem"/>
        <w:autoSpaceDE w:val="0"/>
        <w:autoSpaceDN w:val="0"/>
        <w:adjustRightInd w:val="0"/>
        <w:spacing w:before="60" w:line="240" w:lineRule="auto"/>
        <w:ind w:left="92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FB259A" w14:textId="77777777" w:rsidR="00C26DE3" w:rsidRPr="005F4716" w:rsidRDefault="00C26DE3" w:rsidP="00C26DE3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69DE55A4" w14:textId="3D9A22E4" w:rsidR="00FA5D62" w:rsidRPr="005F4716" w:rsidRDefault="00E0448F" w:rsidP="00FA5D62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Podkladem pro uzavření této smlouvy o dílo je cenová nabídka zhotovitele ze dne </w:t>
      </w:r>
      <w:proofErr w:type="gramStart"/>
      <w:r w:rsid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29.6.2017</w:t>
      </w:r>
      <w:proofErr w:type="gramEnd"/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která je přílohou této smlouvy</w:t>
      </w:r>
      <w:r w:rsidR="00AA3B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AA3B20" w:rsidRPr="00AA3B20">
        <w:rPr>
          <w:rFonts w:ascii="Arial" w:eastAsia="Times New Roman" w:hAnsi="Arial" w:cs="Arial"/>
          <w:snapToGrid w:val="0"/>
          <w:sz w:val="20"/>
          <w:szCs w:val="20"/>
          <w:highlight w:val="magenta"/>
          <w:lang w:eastAsia="cs-CZ"/>
        </w:rPr>
        <w:t>PŘÍLOHA 3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Zhotovitel prohlašuje, že dílo podle této smlouvy provede v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dohodnuté lhůtě a za dohod</w:t>
      </w:r>
      <w:r w:rsidR="00FA5D6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nutou cenu dle cenové nabídky.</w:t>
      </w:r>
    </w:p>
    <w:p w14:paraId="11886679" w14:textId="77777777" w:rsidR="008D50C9" w:rsidRPr="005F4716" w:rsidRDefault="003E4F67" w:rsidP="00FA5D62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Nabídková cena je uvedena jako nejvýše přípustná a je platná do doby celkového dokončení a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předání díla</w:t>
      </w:r>
      <w:r w:rsidR="008D50C9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 do doby ukončení poskytování souvisejících služeb: </w:t>
      </w:r>
    </w:p>
    <w:p w14:paraId="38CFE708" w14:textId="77777777" w:rsidR="005F4716" w:rsidRPr="005F4716" w:rsidRDefault="005F4716" w:rsidP="005F4716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Style w:val="Mkatabulky"/>
        <w:tblW w:w="9101" w:type="dxa"/>
        <w:jc w:val="center"/>
        <w:tblLook w:val="04A0" w:firstRow="1" w:lastRow="0" w:firstColumn="1" w:lastColumn="0" w:noHBand="0" w:noVBand="1"/>
      </w:tblPr>
      <w:tblGrid>
        <w:gridCol w:w="4248"/>
        <w:gridCol w:w="1706"/>
        <w:gridCol w:w="1588"/>
        <w:gridCol w:w="1559"/>
      </w:tblGrid>
      <w:tr w:rsidR="008D50C9" w:rsidRPr="008124F5" w14:paraId="73FBECC6" w14:textId="77777777" w:rsidTr="00FA5D62">
        <w:trPr>
          <w:trHeight w:val="376"/>
          <w:jc w:val="center"/>
        </w:trPr>
        <w:tc>
          <w:tcPr>
            <w:tcW w:w="910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ADEE4CA" w14:textId="77777777" w:rsidR="008D50C9" w:rsidRPr="005F4716" w:rsidRDefault="008D50C9" w:rsidP="00D459EC">
            <w:pPr>
              <w:pStyle w:val="Textkomente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716">
              <w:rPr>
                <w:rFonts w:ascii="Arial" w:hAnsi="Arial" w:cs="Arial"/>
                <w:b/>
                <w:sz w:val="18"/>
                <w:szCs w:val="18"/>
              </w:rPr>
              <w:t>Cena v Kč</w:t>
            </w:r>
          </w:p>
        </w:tc>
      </w:tr>
      <w:tr w:rsidR="008D50C9" w:rsidRPr="008124F5" w14:paraId="3BA342A3" w14:textId="77777777" w:rsidTr="007E6CA4">
        <w:trPr>
          <w:trHeight w:val="392"/>
          <w:jc w:val="center"/>
        </w:trPr>
        <w:tc>
          <w:tcPr>
            <w:tcW w:w="4248" w:type="dxa"/>
            <w:shd w:val="clear" w:color="auto" w:fill="FFFFFF" w:themeFill="background1"/>
          </w:tcPr>
          <w:p w14:paraId="22B76E81" w14:textId="77777777" w:rsidR="008D50C9" w:rsidRPr="008124F5" w:rsidRDefault="008D50C9" w:rsidP="00D459EC">
            <w:pPr>
              <w:pStyle w:val="Textkomente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2170707" w14:textId="77777777" w:rsidR="008D50C9" w:rsidRPr="005F4716" w:rsidRDefault="008D50C9" w:rsidP="007E6CA4">
            <w:pPr>
              <w:pStyle w:val="Textkoment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6"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8759246" w14:textId="77777777" w:rsidR="008D50C9" w:rsidRPr="005F4716" w:rsidRDefault="008D50C9" w:rsidP="007E6CA4">
            <w:pPr>
              <w:pStyle w:val="Textkoment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6"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7975A6" w14:textId="77777777" w:rsidR="008D50C9" w:rsidRPr="005F4716" w:rsidRDefault="008D50C9" w:rsidP="007E6CA4">
            <w:pPr>
              <w:pStyle w:val="Textkoment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6">
              <w:rPr>
                <w:rFonts w:ascii="Arial" w:hAnsi="Arial" w:cs="Arial"/>
                <w:sz w:val="18"/>
                <w:szCs w:val="18"/>
              </w:rPr>
              <w:t>Cena vč. DPH</w:t>
            </w:r>
          </w:p>
        </w:tc>
      </w:tr>
      <w:tr w:rsidR="008D50C9" w:rsidRPr="008124F5" w14:paraId="54BA4116" w14:textId="77777777" w:rsidTr="0021227B">
        <w:trPr>
          <w:trHeight w:val="321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01403F2F" w14:textId="2C85ED76" w:rsidR="008D50C9" w:rsidRPr="005F4716" w:rsidRDefault="00A72093" w:rsidP="004F43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Zpracování dokumentace dle odst.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2.1. a)</w:t>
            </w:r>
            <w:proofErr w:type="gramEnd"/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8C4AAFE" w14:textId="64C357AA" w:rsidR="008D50C9" w:rsidRPr="007B5732" w:rsidRDefault="007E6CA4" w:rsidP="00FC5940">
            <w:pPr>
              <w:jc w:val="right"/>
              <w:rPr>
                <w:highlight w:val="yellow"/>
              </w:rPr>
            </w:pPr>
            <w:r w:rsidRPr="007E6CA4">
              <w:t>1</w:t>
            </w:r>
            <w:r w:rsidR="00FC5940">
              <w:t>2</w:t>
            </w:r>
            <w:r w:rsidRPr="007E6CA4">
              <w:t>0 000,-</w:t>
            </w:r>
            <w:r>
              <w:t xml:space="preserve"> Kč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BE09F9A" w14:textId="6E3A6145" w:rsidR="008D50C9" w:rsidRPr="007E6CA4" w:rsidRDefault="007E6CA4" w:rsidP="00FC5940">
            <w:pPr>
              <w:jc w:val="right"/>
            </w:pPr>
            <w:r w:rsidRPr="007E6CA4">
              <w:t>2</w:t>
            </w:r>
            <w:r w:rsidR="00FC5940">
              <w:t>5</w:t>
            </w:r>
            <w:r w:rsidRPr="007E6CA4">
              <w:t> </w:t>
            </w:r>
            <w:r w:rsidR="00FC5940">
              <w:t>2</w:t>
            </w:r>
            <w:r w:rsidRPr="007E6CA4">
              <w:t>00,- Kč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57A74F" w14:textId="7B284700" w:rsidR="008D50C9" w:rsidRPr="007E6CA4" w:rsidRDefault="007E6CA4" w:rsidP="00FC5940">
            <w:pPr>
              <w:jc w:val="right"/>
            </w:pPr>
            <w:r w:rsidRPr="007E6CA4">
              <w:t>1</w:t>
            </w:r>
            <w:r w:rsidR="00FC5940">
              <w:t>45</w:t>
            </w:r>
            <w:r w:rsidRPr="007E6CA4">
              <w:t> </w:t>
            </w:r>
            <w:r w:rsidR="00FC5940">
              <w:t>2</w:t>
            </w:r>
            <w:r w:rsidRPr="007E6CA4">
              <w:t>00,- Kč</w:t>
            </w:r>
          </w:p>
        </w:tc>
      </w:tr>
      <w:tr w:rsidR="00DF2CE2" w:rsidRPr="008124F5" w14:paraId="15E5C9F1" w14:textId="77777777" w:rsidTr="0021227B">
        <w:trPr>
          <w:trHeight w:val="412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085FDC76" w14:textId="18A90D59" w:rsidR="00DF2CE2" w:rsidRPr="005F4716" w:rsidRDefault="00A72093" w:rsidP="00A72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Zpracování dokumentace dle odst.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2.1. b) a inženýrské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činnosti dle odst. 2.5 až 2.11. 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0994AD2" w14:textId="21AA1C20" w:rsidR="00DF2CE2" w:rsidRPr="007E6CA4" w:rsidRDefault="00FC5940" w:rsidP="007E6CA4">
            <w:pPr>
              <w:jc w:val="right"/>
            </w:pPr>
            <w:r>
              <w:t>19</w:t>
            </w:r>
            <w:r w:rsidR="007E6CA4" w:rsidRPr="007E6CA4">
              <w:t> 000,- Kč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3D83DB7" w14:textId="70DF5B16" w:rsidR="00DF2CE2" w:rsidRPr="007E6CA4" w:rsidRDefault="00FC5940" w:rsidP="00FC5940">
            <w:pPr>
              <w:jc w:val="right"/>
            </w:pPr>
            <w:r>
              <w:t>3</w:t>
            </w:r>
            <w:r w:rsidR="007E6CA4" w:rsidRPr="007E6CA4">
              <w:t> </w:t>
            </w:r>
            <w:r>
              <w:t>99</w:t>
            </w:r>
            <w:r w:rsidR="007E6CA4" w:rsidRPr="007E6CA4">
              <w:t>0,- Kč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C4971B" w14:textId="42A7758B" w:rsidR="00DF2CE2" w:rsidRPr="007E6CA4" w:rsidRDefault="00FC5940" w:rsidP="00FC5940">
            <w:pPr>
              <w:jc w:val="right"/>
            </w:pPr>
            <w:r>
              <w:t>22</w:t>
            </w:r>
            <w:r w:rsidR="007E6CA4" w:rsidRPr="007E6CA4">
              <w:t> </w:t>
            </w:r>
            <w:r>
              <w:t>99</w:t>
            </w:r>
            <w:r w:rsidR="007E6CA4" w:rsidRPr="007E6CA4">
              <w:t>0,- Kč</w:t>
            </w:r>
          </w:p>
        </w:tc>
      </w:tr>
      <w:tr w:rsidR="00DF2CE2" w:rsidRPr="008124F5" w14:paraId="43E99E0D" w14:textId="77777777" w:rsidTr="0021227B">
        <w:trPr>
          <w:trHeight w:val="309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563F52D2" w14:textId="2F960D83" w:rsidR="00DF2CE2" w:rsidRPr="005F4716" w:rsidRDefault="00A72093" w:rsidP="004F43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FA5D62" w:rsidRPr="005F4716">
              <w:rPr>
                <w:rFonts w:ascii="Arial" w:hAnsi="Arial" w:cs="Arial"/>
                <w:sz w:val="18"/>
                <w:szCs w:val="18"/>
              </w:rPr>
              <w:t xml:space="preserve">ýkon autorského dozoru  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6592724" w14:textId="029B75D3" w:rsidR="00DF2CE2" w:rsidRPr="007E6CA4" w:rsidRDefault="007E6CA4" w:rsidP="007E6CA4">
            <w:pPr>
              <w:jc w:val="right"/>
            </w:pPr>
            <w:r w:rsidRPr="007E6CA4">
              <w:t>5</w:t>
            </w:r>
            <w:r>
              <w:t xml:space="preserve"> </w:t>
            </w:r>
            <w:r w:rsidRPr="007E6CA4">
              <w:t>000,- Kč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53F7CA6" w14:textId="11C9598A" w:rsidR="00DF2CE2" w:rsidRPr="007E6CA4" w:rsidRDefault="007E6CA4" w:rsidP="007E6CA4">
            <w:pPr>
              <w:jc w:val="right"/>
            </w:pPr>
            <w:r>
              <w:t>1 050,- Kč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9DCDB6" w14:textId="389C9142" w:rsidR="00DF2CE2" w:rsidRPr="007E6CA4" w:rsidRDefault="007E6CA4" w:rsidP="007E6CA4">
            <w:pPr>
              <w:jc w:val="right"/>
            </w:pPr>
            <w:r>
              <w:t>6 050,- Kč</w:t>
            </w:r>
          </w:p>
        </w:tc>
      </w:tr>
      <w:tr w:rsidR="00DF2CE2" w:rsidRPr="008124F5" w14:paraId="1DE8AB5A" w14:textId="77777777" w:rsidTr="0021227B">
        <w:trPr>
          <w:trHeight w:val="33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37E1" w14:textId="77777777" w:rsidR="00DF2CE2" w:rsidRPr="005F4716" w:rsidRDefault="00DF2CE2" w:rsidP="00774056">
            <w:pPr>
              <w:pStyle w:val="Textkomente1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4716">
              <w:rPr>
                <w:rFonts w:ascii="Arial" w:hAnsi="Arial" w:cs="Arial"/>
                <w:b/>
                <w:sz w:val="18"/>
                <w:szCs w:val="18"/>
              </w:rPr>
              <w:t xml:space="preserve">CENA CELKEM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A6CD" w14:textId="53368DE3" w:rsidR="00DF2CE2" w:rsidRPr="007E6CA4" w:rsidRDefault="007E6CA4" w:rsidP="00FC594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5940">
              <w:rPr>
                <w:b/>
              </w:rPr>
              <w:t>44</w:t>
            </w:r>
            <w:r>
              <w:rPr>
                <w:b/>
              </w:rPr>
              <w:t> 000,- Kč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0EE40" w14:textId="3D2344EB" w:rsidR="00DF2CE2" w:rsidRPr="007E6CA4" w:rsidRDefault="007E6CA4" w:rsidP="00FC594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C5940">
              <w:rPr>
                <w:b/>
              </w:rPr>
              <w:t>0</w:t>
            </w:r>
            <w:r>
              <w:rPr>
                <w:b/>
              </w:rPr>
              <w:t> </w:t>
            </w:r>
            <w:r w:rsidR="00FC5940">
              <w:rPr>
                <w:b/>
              </w:rPr>
              <w:t>24</w:t>
            </w:r>
            <w:r>
              <w:rPr>
                <w:b/>
              </w:rPr>
              <w:t>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D6AE" w14:textId="610AB8A4" w:rsidR="00DF2CE2" w:rsidRPr="007E6CA4" w:rsidRDefault="007E6CA4" w:rsidP="00FC5940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FC5940">
              <w:rPr>
                <w:b/>
              </w:rPr>
              <w:t>4</w:t>
            </w:r>
            <w:r>
              <w:rPr>
                <w:b/>
              </w:rPr>
              <w:t> </w:t>
            </w:r>
            <w:r w:rsidR="00FC5940">
              <w:rPr>
                <w:b/>
              </w:rPr>
              <w:t>24</w:t>
            </w:r>
            <w:r>
              <w:rPr>
                <w:b/>
              </w:rPr>
              <w:t>0,- Kč</w:t>
            </w:r>
          </w:p>
        </w:tc>
      </w:tr>
    </w:tbl>
    <w:p w14:paraId="020262E2" w14:textId="77777777" w:rsidR="003E4F67" w:rsidRDefault="003E4F67" w:rsidP="00FA5D62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265F8829" w14:textId="199DD7F8" w:rsidR="00F17ABF" w:rsidRPr="007E6CA4" w:rsidRDefault="00451ACF" w:rsidP="007E6CA4">
      <w:pPr>
        <w:numPr>
          <w:ilvl w:val="1"/>
          <w:numId w:val="34"/>
        </w:numPr>
        <w:spacing w:after="24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Změna ceny, ať zvýšení či snížení, je možná jen tehdy, dojde-li, a to pouze z požadavku objednatele, ke změně předmětu díla. Za změnu předmětu díla se v tomto směru považuje taková změna, při které dojde </w:t>
      </w:r>
      <w:proofErr w:type="gramStart"/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ke</w:t>
      </w:r>
      <w:proofErr w:type="gramEnd"/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</w:t>
      </w:r>
      <w:r w:rsidR="00492814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úžení nebo rozšířen</w:t>
      </w:r>
      <w:r w:rsidR="00492814" w:rsidRPr="007E6CA4">
        <w:rPr>
          <w:rFonts w:ascii="Arial" w:eastAsia="Times New Roman" w:hAnsi="Arial" w:cs="Arial"/>
          <w:snapToGrid w:val="0"/>
          <w:lang w:eastAsia="cs-CZ"/>
        </w:rPr>
        <w:t xml:space="preserve">í </w:t>
      </w:r>
      <w:r w:rsidR="00492814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požadovaných stupňů projektové dokumentace nebo rozsahu </w:t>
      </w:r>
      <w:r w:rsidR="00F74CFF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poskytovaných </w:t>
      </w:r>
      <w:r w:rsidR="00492814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služeb.</w:t>
      </w:r>
    </w:p>
    <w:p w14:paraId="20415FF7" w14:textId="77777777" w:rsidR="003E4F67" w:rsidRPr="005F4716" w:rsidRDefault="00451ACF" w:rsidP="003E4F67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  <w:r w:rsidR="003E4F67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070B4992" w14:textId="77777777" w:rsidR="001E73A5" w:rsidRPr="005F4716" w:rsidRDefault="002D4596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Faktura (daňový doklad) bude objednateli </w:t>
      </w:r>
      <w:r w:rsidR="004C113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předána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 listinné podobě v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dvou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výtiscích a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bude obsahovat všechny náležitosti daňového dokladu podle zákona č. 235/2004 Sb., o dani z přidané hodnoty, ve znění pozdějších předpisů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4C113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rovněž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skutečnosti uvedené v</w:t>
      </w:r>
      <w:r w:rsidR="004C113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§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435 občanského zákoníku</w:t>
      </w:r>
      <w:r w:rsidR="000177F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57121A6A" w14:textId="77777777" w:rsidR="001E73A5" w:rsidRPr="005F4716" w:rsidRDefault="001E73A5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</w:t>
      </w:r>
      <w:r w:rsidR="00CE5B40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rávo na zaplacení ceny díla vzniká provedením díla. Je-li dílo přejímáno po částech, vzniká právo na zaplacení ceny za každou část při jejím provedení.</w:t>
      </w:r>
    </w:p>
    <w:p w14:paraId="6C8C2D12" w14:textId="77777777" w:rsidR="001E73A5" w:rsidRPr="005F4716" w:rsidRDefault="002D4596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Nedojde-li mezi oběma stranami k dohodě při odsouhlasení množství nebo druhu provedených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činností a dodaných služeb,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je zhotovitel oprávněn fakturovat pouze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činnosti a služby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u kterých nedošlo k rozporu. Pokud bude faktura zhotovitele obsahovat i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neodsouhlasené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činnosti a služby,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 objednatel oprávněn uhradit pouze tu část faktury, se kterou souhlasí. Na zbývající část faktury nemůže zhotovitel uplatňovat žádné majetkové sankce, vyplývající z peněžitého dluhu objednatele.</w:t>
      </w:r>
    </w:p>
    <w:p w14:paraId="58AA0034" w14:textId="463F803E" w:rsidR="001E73A5" w:rsidRPr="005F4716" w:rsidRDefault="002D4596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je stanovena na </w:t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4C1132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kalendářních dnů ode dne doručení faktury objednateli.</w:t>
      </w:r>
    </w:p>
    <w:p w14:paraId="0CD69DB1" w14:textId="77777777" w:rsidR="00BA0444" w:rsidRPr="005F4716" w:rsidRDefault="002D4596" w:rsidP="00BA0444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val="x-none" w:eastAsia="cs-CZ"/>
        </w:rPr>
      </w:pPr>
      <w:r w:rsidRPr="005F4716"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  <w:lastRenderedPageBreak/>
        <w:t xml:space="preserve">Smluvní </w:t>
      </w:r>
      <w:r w:rsidRPr="005F4716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strany berou na vědomí, že zaplacením se rozumí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odepsání </w:t>
      </w:r>
      <w:r w:rsidRPr="005F4716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>dlužné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 </w:t>
      </w:r>
      <w:r w:rsidRPr="005F4716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částky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z účtu objednatele.</w:t>
      </w:r>
      <w:r w:rsidR="001E73A5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06C37C4" w14:textId="39F756B3" w:rsidR="00BA0444" w:rsidRPr="00F17ABF" w:rsidRDefault="00BA0444" w:rsidP="007E6CA4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Pokud faktura neobsahuje všechny zákonem a smlouvou stanovené náležitosti, je objednatel oprávněn ji do data splatnosti vrátit s tím, že zhotovitel je poté povinen vystavit novou fakturu s</w:t>
      </w:r>
      <w:r w:rsidR="005F471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novým termínem splatnosti. V takovém případě není objednatel v prodlení s úhradou.</w:t>
      </w:r>
    </w:p>
    <w:p w14:paraId="72A410F9" w14:textId="77777777" w:rsidR="001E73A5" w:rsidRPr="005F4716" w:rsidRDefault="001E73A5" w:rsidP="001E73A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Záruka za jakost a vady</w:t>
      </w:r>
    </w:p>
    <w:p w14:paraId="1B2C1832" w14:textId="77777777" w:rsidR="001E73A5" w:rsidRPr="005F4716" w:rsidRDefault="001E73A5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Zhotovitel </w:t>
      </w:r>
      <w:r w:rsidR="00870278"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poskytuje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objednateli záruku za jakost a vady předaného díla. Zhotovitel zejména zaručuje, že dílo bude způsobilé k užití pro účel stanovený v této smlouvě a </w:t>
      </w:r>
      <w:r w:rsidR="00870278"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že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bude odpovídat požadavkům platných právních předpisů a norem.</w:t>
      </w:r>
    </w:p>
    <w:p w14:paraId="05A8F3D5" w14:textId="77777777" w:rsidR="001E73A5" w:rsidRPr="005F4716" w:rsidRDefault="001E73A5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bookmarkStart w:id="1" w:name="_Ref376528927"/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Zhotovitel je povinen vady díla odstranit bezplatně v dohodnuté lhůtě, nejpozději do 30 dnů od doručení reklamace.</w:t>
      </w:r>
      <w:bookmarkEnd w:id="1"/>
    </w:p>
    <w:p w14:paraId="16B653C6" w14:textId="4BF03BD1" w:rsidR="001E73A5" w:rsidRPr="007E6CA4" w:rsidRDefault="001E73A5" w:rsidP="007E6CA4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7E6CA4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Dílo má vady, pokud neodpovídá kvalitou či rozsahem podmínkám stanoveným ve smlouvě a požadavkům právních předpisů a norem platných a účinných v době zhotovení díla, vztahujících se k plnění předmětu smlouvy. </w:t>
      </w:r>
    </w:p>
    <w:p w14:paraId="6BB88761" w14:textId="77777777" w:rsidR="001E73A5" w:rsidRPr="005F4716" w:rsidRDefault="001E73A5" w:rsidP="001E73A5">
      <w:pPr>
        <w:numPr>
          <w:ilvl w:val="0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Licenční ujednání</w:t>
      </w:r>
    </w:p>
    <w:p w14:paraId="212E73C6" w14:textId="77777777" w:rsidR="001E73A5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Vzhledem k tomu, že součástí díla dle této smlouvy je i plnění, které může naplňovat znaky autorského díla ve smyslu zákona č. 121/2000 Sb., o právu autorském, o právech souvisejících s právem autorským a o změně některých zákonů o právu autorském (autorský zákon), ve znění pozdějších předpisů, či předmětu chráněného průmyslovým vlastnictvím (dále jen „předmět ochrany“), je k těmto součástem díla poskytována licence za podmínek sjednaných v tomto článku smlouvy.</w:t>
      </w:r>
    </w:p>
    <w:p w14:paraId="0E1C3D30" w14:textId="77777777" w:rsidR="001E73A5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prohlašuje, že je oprávněn vykonávat svým jménem a na svůj účet majetková práva k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předmětu ochrany a že je oprávněn k jeho užití udělit objednateli licenci.</w:t>
      </w:r>
    </w:p>
    <w:p w14:paraId="6C640E23" w14:textId="77777777" w:rsidR="001E73A5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poskytuje objednateli nevýhradní oprávnění ke všem v úvahu přicházejícím způsobům užití předmětu ochrany a bez jakéhokoli omezení, a to zejména pokud jde o územní, časový nebo množstevní rozsah užití.</w:t>
      </w:r>
    </w:p>
    <w:p w14:paraId="557F3B4A" w14:textId="77777777" w:rsidR="00F74CFF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Odměna za poskytnutí této licence je zahrnuta v ceně 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díla dle čl. 4 této smlouvy.</w:t>
      </w:r>
    </w:p>
    <w:p w14:paraId="18C621A7" w14:textId="373FBD32" w:rsidR="00F74CFF" w:rsidRPr="007E6CA4" w:rsidRDefault="001E73A5" w:rsidP="007E6CA4">
      <w:pPr>
        <w:numPr>
          <w:ilvl w:val="1"/>
          <w:numId w:val="34"/>
        </w:numPr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oprávněn práva tvořící součást licence zcela nebo zčásti jako podlicenci poskytnout třetí osob</w:t>
      </w:r>
      <w:r w:rsidR="00F74CFF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ě</w:t>
      </w:r>
      <w:r w:rsidR="00A72093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např. poskytovateli dotace</w:t>
      </w:r>
      <w:r w:rsidR="00F74CFF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05C0BD" w14:textId="77777777" w:rsidR="00874844" w:rsidRPr="005F4716" w:rsidRDefault="00F74CFF" w:rsidP="006D7AB2">
      <w:pPr>
        <w:numPr>
          <w:ilvl w:val="0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Smluvní pokuty, náhrada škody a odstoupení od smlouvy</w:t>
      </w:r>
      <w:r w:rsidR="00705253"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 w:rsidR="00874844"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</w:p>
    <w:p w14:paraId="6BBFC78F" w14:textId="77777777" w:rsidR="00F74CFF" w:rsidRPr="005F4716" w:rsidRDefault="00F74CFF" w:rsidP="00F74CFF">
      <w:pPr>
        <w:numPr>
          <w:ilvl w:val="1"/>
          <w:numId w:val="34"/>
        </w:numPr>
        <w:spacing w:line="240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hAnsi="Arial" w:cs="Arial"/>
          <w:snapToGrid w:val="0"/>
          <w:sz w:val="20"/>
          <w:szCs w:val="20"/>
          <w:lang w:eastAsia="cs-CZ"/>
        </w:rPr>
        <w:t>Je-li zhotovitel v prodlení s předáním projektové dokumentace či její části v termínu dle čl. 3 této smlouvy, uhradí objednateli smluvní pokutu ve výši 0,2 % z ceny díla či jeho části za každý, byť i</w:t>
      </w:r>
      <w:r w:rsidR="005F4716">
        <w:rPr>
          <w:rFonts w:ascii="Arial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hAnsi="Arial" w:cs="Arial"/>
          <w:snapToGrid w:val="0"/>
          <w:sz w:val="20"/>
          <w:szCs w:val="20"/>
          <w:lang w:eastAsia="cs-CZ"/>
        </w:rPr>
        <w:t>jen započatý den prodlení.</w:t>
      </w:r>
    </w:p>
    <w:p w14:paraId="37579BEE" w14:textId="77777777" w:rsidR="00BA0444" w:rsidRPr="005F4716" w:rsidRDefault="00F74CFF" w:rsidP="00BA0444">
      <w:pPr>
        <w:numPr>
          <w:ilvl w:val="1"/>
          <w:numId w:val="34"/>
        </w:numPr>
        <w:spacing w:line="240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hAnsi="Arial" w:cs="Arial"/>
          <w:snapToGrid w:val="0"/>
          <w:sz w:val="20"/>
          <w:szCs w:val="20"/>
          <w:lang w:eastAsia="cs-CZ"/>
        </w:rPr>
        <w:t>Je-li zhotovitel v prodlení oproti lhůtě plnění u kterékoliv ostatní činnosti sjednané touto smlouvou, uhradí objednateli smluvní pokutu ve výši 2000,- Kč za každý, byť i jen započatý den prodlení.</w:t>
      </w:r>
    </w:p>
    <w:p w14:paraId="3705D15A" w14:textId="77777777" w:rsidR="00BA0444" w:rsidRPr="005F4716" w:rsidRDefault="00F74CFF" w:rsidP="00BA0444">
      <w:pPr>
        <w:numPr>
          <w:ilvl w:val="1"/>
          <w:numId w:val="34"/>
        </w:numPr>
        <w:spacing w:line="240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Je-li zhotovitel v prodlení s odstraněním vad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dle čl. 6 této smlouvy, u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hradí objednateli smluvní pokutu ve výši 0,2 % z ceny 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díla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či jeho části za každý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byť i jen započatý den prodlení.</w:t>
      </w:r>
    </w:p>
    <w:p w14:paraId="753D4601" w14:textId="77777777" w:rsidR="00870278" w:rsidRPr="005F4716" w:rsidRDefault="00870278" w:rsidP="00870278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se dohodly, že objednatel zaplatí zhotoviteli smluvní pokutu za prodlení s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termínem splatnosti faktur ve výši 0,1 % z dlužné částky za každý den prodlení. Tato smluvní pokuta v sobě obsahuje i úrok z prodlení, který nebude (nastane-li prodlení) zvlášť účtován.</w:t>
      </w:r>
    </w:p>
    <w:p w14:paraId="4AB38C2C" w14:textId="77777777" w:rsidR="00BA0444" w:rsidRPr="005F4716" w:rsidRDefault="00BA0444" w:rsidP="00F74CFF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šechny smluvní pokuty jsou splatné do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14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87027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kalendářních 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dnů od</w:t>
      </w:r>
      <w:r w:rsidR="0087027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dne doručení výzvy k úhradě smluvní pokuty druhé straně. 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65155EE8" w14:textId="77777777" w:rsidR="00870278" w:rsidRPr="005F4716" w:rsidRDefault="00870278" w:rsidP="00870278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7FE6CBD6" w14:textId="77777777" w:rsidR="00870278" w:rsidRPr="005F4716" w:rsidRDefault="00870278" w:rsidP="00870278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Povinnost zaplatit smluvní pokutu může vzniknout i opakovaně, její celková výše není omezena.</w:t>
      </w:r>
    </w:p>
    <w:p w14:paraId="5426BD9D" w14:textId="77777777" w:rsidR="00BA0444" w:rsidRPr="005F4716" w:rsidRDefault="00F74CFF" w:rsidP="00BA0444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Žádná ze smluvních stran nemá povinnost nahradit škodu způsobenou porušením svých povinností vyplývajících z této 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mlouvy a není v prodlení, bránila-li jí v jejich splnění některá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>z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překážek vylučujících povinnost k náhradě škody ve smyslu § 2913 odst.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 občanského zákoníku.</w:t>
      </w:r>
    </w:p>
    <w:p w14:paraId="6D450706" w14:textId="742212D2" w:rsidR="00BA0444" w:rsidRPr="005F4716" w:rsidRDefault="00F74CFF" w:rsidP="00BA0444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si vyhrazuje právo na odstoupení od smlouvy v případě, že zhotovitel bude v prodlení s plněním smlouvy z důvodů na straně zhotovitele déle než </w:t>
      </w:r>
      <w:r w:rsidR="00A72093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 </w:t>
      </w:r>
      <w:r w:rsidR="00C06D76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kalendářní </w:t>
      </w:r>
      <w:r w:rsidR="00A72093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dny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 plnění dle odst. </w:t>
      </w:r>
      <w:proofErr w:type="gramStart"/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2.1. a) a 15</w:t>
      </w:r>
      <w:proofErr w:type="gramEnd"/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C06D7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kalendářních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dnů v případě plnění dle odst. 2.1. b)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bude 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činnosti a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služby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poskytovat nekvalitně v rozporu s platnými předpisy nebo touto smlouvou, i když byl na tuto skutečnost objednatelem písemně upozorněn.</w:t>
      </w:r>
    </w:p>
    <w:p w14:paraId="0C2B6CF7" w14:textId="77777777" w:rsidR="00BA0444" w:rsidRPr="005F4716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k jednostrannému odstoupení od této smlouvy v případech, že jedna ze smluvních stran neplní podmínky této smlouvy, byla-li na tuto skutečnost upozorněna a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nesjednala</w:t>
      </w:r>
      <w:r w:rsidR="00785B1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nápravu ani v dostatečné poskytnuté lhůtě.</w:t>
      </w:r>
    </w:p>
    <w:p w14:paraId="78FFF5E7" w14:textId="77777777" w:rsidR="00FB3420" w:rsidRPr="005F4716" w:rsidRDefault="004E0E2A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může odstoupit od smlouvy (z důvodu hrubého neplnění smluvních závazků zhotovitelem) především pokud:</w:t>
      </w:r>
    </w:p>
    <w:p w14:paraId="0E898546" w14:textId="77777777" w:rsidR="00870278" w:rsidRDefault="00870278" w:rsidP="00870278">
      <w:pPr>
        <w:numPr>
          <w:ilvl w:val="0"/>
          <w:numId w:val="42"/>
        </w:numPr>
        <w:spacing w:after="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provádí činnosti nebo poskytuje služby nekvalitně, nebo v rozporu s platnými předpisy nebo touto smlouvou;</w:t>
      </w:r>
    </w:p>
    <w:p w14:paraId="4CCA86B3" w14:textId="77777777" w:rsidR="005F4716" w:rsidRPr="005F4716" w:rsidRDefault="005F4716" w:rsidP="005F4716">
      <w:pPr>
        <w:spacing w:after="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109E6AAE" w14:textId="759CDD7A" w:rsidR="00FB3420" w:rsidRPr="005F4716" w:rsidRDefault="004E0E2A" w:rsidP="00870278">
      <w:pPr>
        <w:numPr>
          <w:ilvl w:val="0"/>
          <w:numId w:val="42"/>
        </w:numPr>
        <w:spacing w:after="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je v podstatném prodlení s prováděním díla, přičemž za podstatné prodlení se považuje doba delší než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 kalendářní dny u plnění dle odst. 2.1.a) a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15 kalendářních dnů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 plnění dle odst. </w:t>
      </w:r>
      <w:proofErr w:type="gramStart"/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oproti</w:t>
      </w:r>
      <w:proofErr w:type="gramEnd"/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časovému harmonogramu p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rov</w:t>
      </w:r>
      <w:r w:rsidR="00E256F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ádění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projekčních prací a </w:t>
      </w:r>
      <w:r w:rsidR="00E256F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výkonu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souvisejících služeb </w:t>
      </w:r>
    </w:p>
    <w:p w14:paraId="286F4D09" w14:textId="77777777" w:rsidR="005F4716" w:rsidRPr="005F4716" w:rsidRDefault="005F4716" w:rsidP="005F4716">
      <w:pPr>
        <w:pStyle w:val="Odstavecseseznamem"/>
        <w:spacing w:after="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50EB121C" w14:textId="77777777" w:rsidR="00FB3420" w:rsidRPr="005F4716" w:rsidRDefault="004E0E2A" w:rsidP="00870278">
      <w:pPr>
        <w:pStyle w:val="Odstavecseseznamem"/>
        <w:numPr>
          <w:ilvl w:val="0"/>
          <w:numId w:val="42"/>
        </w:numPr>
        <w:spacing w:after="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nedbá pokynů objednatele pro provádění díla ani přes písemné upozornění;</w:t>
      </w:r>
    </w:p>
    <w:p w14:paraId="65228CB8" w14:textId="77777777" w:rsidR="005F4716" w:rsidRPr="005F4716" w:rsidRDefault="005F4716" w:rsidP="005F4716">
      <w:pPr>
        <w:pStyle w:val="Odstavecseseznamem"/>
        <w:spacing w:after="12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797D52CB" w14:textId="77777777" w:rsidR="004E0E2A" w:rsidRPr="005F4716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bylo-li rozhodnuto o úpadku zhotovitele v insolvenčním řízení.</w:t>
      </w:r>
    </w:p>
    <w:p w14:paraId="57DE41C9" w14:textId="77777777" w:rsidR="00C65B26" w:rsidRPr="005F4716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může odstoupit od smlouvy (z důvodu hrubého neplnění smluvních závazků objednatelem) především pokud:</w:t>
      </w:r>
    </w:p>
    <w:p w14:paraId="048EA898" w14:textId="77777777" w:rsidR="004E0E2A" w:rsidRPr="005F4716" w:rsidRDefault="004E0E2A" w:rsidP="00C65B26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v prodlení s placením podle této smlouvy delším než 60 dnů, avšak teprve poté, kdy na hrubé neplnění smluvních závazků objednatele předem písemně upozornil a poskytl přiměřenou lhůtu k nápravě.</w:t>
      </w:r>
    </w:p>
    <w:p w14:paraId="6FE68A42" w14:textId="77777777" w:rsidR="00C65B26" w:rsidRPr="005F4716" w:rsidRDefault="004E0E2A" w:rsidP="007B5732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Odstoupením od smlouvy zanikají všechna práva a povinnosti stran ze smlouvy, s výjimkou nároku na náhradu škody vzniklé porušením smlouvy a nároku na sjednané smluvní pokuty.</w:t>
      </w:r>
    </w:p>
    <w:p w14:paraId="7A530B45" w14:textId="77777777" w:rsidR="00870278" w:rsidRPr="005F4716" w:rsidRDefault="00D21142" w:rsidP="007B5732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 si vyhrazuje právo, aby mu zhotovitel na vyzvání předložil rozpracovanou projektovou dokumentaci k posouzení.</w:t>
      </w:r>
      <w:r w:rsidR="0087027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5EE45BA9" w14:textId="77777777" w:rsidR="00870278" w:rsidRPr="005F4716" w:rsidRDefault="00870278" w:rsidP="007B5732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 se zavazuje převzít dokončené dílo, pokud dílo nevykazuje vady a nedodělky. O</w:t>
      </w:r>
      <w:r w:rsid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předání díla bude vyhotoven písemný protokol, v němž obě strany uvedou mimo jiné zjištěné vady a nedodělky, jakož i lhůty pro jejich odstranění. </w:t>
      </w:r>
    </w:p>
    <w:p w14:paraId="799D5D80" w14:textId="717A309B" w:rsidR="00E256F7" w:rsidRPr="005F4716" w:rsidRDefault="002D4596" w:rsidP="007B5732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806E0B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9C679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500.000,- </w:t>
      </w:r>
      <w:r w:rsidR="00806E0B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Kč.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Tuto pojistnou smlouvu bude zhotovitel udržovat v platnosti po celou dobu platnosti této smlouvy o dílo. Ověřenou kopii pojistné smlouvy předá zhotovitel objednateli ke kontrole ne</w:t>
      </w:r>
      <w:r w:rsidR="00E256F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jpozději ke dni zahájení plnění. </w:t>
      </w:r>
    </w:p>
    <w:p w14:paraId="2518E20D" w14:textId="77777777" w:rsidR="00FF3F4A" w:rsidRPr="005F4716" w:rsidRDefault="00E256F7" w:rsidP="007B5732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průběhu zhotovování díla, není zhotovitel oprávněn poskytovat výsledky činnosti jiným osobám. Zhotovitel se zavazuje během plnění smlouvy i po 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p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ředání 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díla 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objednateli, zachovávat mlčenlivost o</w:t>
      </w: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 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všech skutečnostech, o kterých se dozví od objednatele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v 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souvislosti s plněním smlouvy (se zhotovením díla). Povinnost mlčenlivosti se vztahuje i 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na 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zaměstnance zhotovitele a</w:t>
      </w:r>
      <w:r w:rsid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 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na všechny další osoby, které zhotovitel k plnění předmětu smlouvy zmocnil.</w:t>
      </w:r>
    </w:p>
    <w:p w14:paraId="3B23228B" w14:textId="248673E1" w:rsidR="00C65B26" w:rsidRPr="007E6CA4" w:rsidRDefault="009A7A23" w:rsidP="007E6CA4">
      <w:pPr>
        <w:numPr>
          <w:ilvl w:val="1"/>
          <w:numId w:val="34"/>
        </w:numPr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E6CA4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4DF0FB4C" w14:textId="77777777" w:rsidR="00E650F6" w:rsidRPr="005F4716" w:rsidRDefault="000A0F4E" w:rsidP="00E650F6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5F4716">
        <w:rPr>
          <w:rFonts w:ascii="Arial" w:eastAsia="Calibri" w:hAnsi="Arial" w:cs="Arial"/>
          <w:b/>
          <w:sz w:val="20"/>
          <w:szCs w:val="20"/>
        </w:rPr>
        <w:t>Z</w:t>
      </w:r>
      <w:r w:rsidR="00E650F6" w:rsidRPr="005F4716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30E5736B" w14:textId="77777777" w:rsidR="00C65B26" w:rsidRPr="005F4716" w:rsidRDefault="00C65B2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Calibri" w:hAnsi="Arial" w:cs="Arial"/>
          <w:bCs/>
          <w:sz w:val="20"/>
          <w:szCs w:val="20"/>
        </w:rPr>
        <w:t xml:space="preserve">Smlouva nabývá </w:t>
      </w:r>
      <w:r w:rsidR="002D4596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platnosti a účinnosti dnem jejího podpis</w:t>
      </w:r>
      <w:r w:rsidR="00E650F6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u zástupci obou smluvních stran.</w:t>
      </w:r>
    </w:p>
    <w:p w14:paraId="6D899D6B" w14:textId="77777777" w:rsidR="00C65B26" w:rsidRPr="005F4716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hAnsi="Arial" w:cs="Arial"/>
          <w:snapToGrid w:val="0"/>
          <w:color w:val="000000"/>
          <w:sz w:val="20"/>
          <w:szCs w:val="20"/>
        </w:rPr>
        <w:t xml:space="preserve">Práva a povinnosti smluvních stran touto smlouvou výslovně neupravená se řídí příslušnými ustanoveními občanského zákoníku a </w:t>
      </w:r>
      <w:r w:rsidR="00C65B26" w:rsidRPr="005F4716">
        <w:rPr>
          <w:rFonts w:ascii="Arial" w:hAnsi="Arial" w:cs="Arial"/>
          <w:snapToGrid w:val="0"/>
          <w:color w:val="000000"/>
          <w:sz w:val="20"/>
          <w:szCs w:val="20"/>
        </w:rPr>
        <w:t>souvisejícími právními předpisy.</w:t>
      </w:r>
    </w:p>
    <w:p w14:paraId="536911FF" w14:textId="77777777" w:rsidR="00C65B26" w:rsidRPr="005F4716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lastRenderedPageBreak/>
        <w:t>Tato smlouva je vyhotovena ve čtyřech stejnopisech, z nichž každý má platnost originálu a každá ze smluvních stran o</w:t>
      </w:r>
      <w:r w:rsidR="00694A2D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bdrží po dvou výtiscích smlouvy.</w:t>
      </w:r>
    </w:p>
    <w:p w14:paraId="00E454DC" w14:textId="404BFF67" w:rsidR="00C65B26" w:rsidRPr="005F4716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výslovně souhlasí s tím, že tato smlouva, včetně příloh a dodatků, může být bez jakéhokoliv omezení zveřejněna na oficiálních internetových stránkách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objednatele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příslušném profilu zadavatele. Souhlas se zveřejněním se týká i případných osobních údajů uvedených v této smlouvě, kdy je tento odstavec smluvními stranami brán jako souhlas se zpracováním osobních údajů ve smyslu zákona č. 101/2000 Sb., o</w:t>
      </w:r>
      <w:r w:rsidR="00C65B2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ochraně osobních údajů a o změně některých zákonů, ve znění pozdějších předpisů, a tedy město Písek má mimo jiné právo uchovávat a zveřejňovat osobní údaje v této smlouvě obsažené.</w:t>
      </w:r>
    </w:p>
    <w:p w14:paraId="52981AA4" w14:textId="77777777" w:rsidR="00C65B26" w:rsidRPr="005F4716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bere na vědomí, že na tuto smlouvu se vztahují povinnosti uveřejnění dle zákona č.</w:t>
      </w:r>
      <w:r w:rsidR="00F776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</w:t>
      </w:r>
      <w:r w:rsidR="00C65B2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smlouva měněna či ukončována.</w:t>
      </w:r>
    </w:p>
    <w:p w14:paraId="3042F18D" w14:textId="3E91F240" w:rsidR="00C65B26" w:rsidRPr="005F4716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Nedílnou součástí této smlouvy je cenová nabídka zhotovitele</w:t>
      </w:r>
      <w:r w:rsidR="007B5732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. </w:t>
      </w:r>
    </w:p>
    <w:p w14:paraId="133989B7" w14:textId="77777777" w:rsidR="002D4596" w:rsidRPr="005F4716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prohlašují, že si smlouvu přečetl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jejím obsahem a na důkaz toho připojují své podpisy.</w:t>
      </w:r>
    </w:p>
    <w:p w14:paraId="2164DCA4" w14:textId="77777777" w:rsidR="002D4596" w:rsidRPr="005F4716" w:rsidRDefault="002D4596" w:rsidP="004E0E2A">
      <w:pPr>
        <w:spacing w:before="60"/>
        <w:jc w:val="both"/>
        <w:rPr>
          <w:rFonts w:ascii="Arial" w:eastAsia="Calibri" w:hAnsi="Arial" w:cs="Arial"/>
          <w:sz w:val="20"/>
          <w:szCs w:val="20"/>
        </w:rPr>
      </w:pPr>
    </w:p>
    <w:p w14:paraId="35714B08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5658485F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V Písku dne …………………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V ……………………. </w:t>
      </w:r>
      <w:proofErr w:type="gramStart"/>
      <w:r w:rsidRPr="005F4716"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gramEnd"/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 </w:t>
      </w:r>
    </w:p>
    <w:p w14:paraId="13DD55E2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346BC3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16D535" w14:textId="41787A35" w:rsidR="004D1F91" w:rsidRPr="005F4716" w:rsidRDefault="005F4716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1F91" w:rsidRPr="005F4716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39FE2307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929609" w14:textId="77777777" w:rsidR="004D1F91" w:rsidRPr="005F4716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92D6F3" w14:textId="77777777" w:rsidR="004D1F91" w:rsidRPr="005F4716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8E2AA4" w14:textId="03F7FBA7" w:rsidR="002D4596" w:rsidRPr="002D4596" w:rsidRDefault="004D1F91" w:rsidP="00CF0ADD">
      <w:pPr>
        <w:spacing w:after="0" w:line="240" w:lineRule="auto"/>
        <w:rPr>
          <w:rFonts w:ascii="Arial" w:eastAsia="Times New Roman" w:hAnsi="Arial" w:cs="Arial"/>
          <w:snapToGrid w:val="0"/>
          <w:color w:val="00000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                           </w:t>
      </w:r>
      <w:r w:rsid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……..……….………………………</w:t>
      </w:r>
      <w:r w:rsidRPr="004D1F91">
        <w:rPr>
          <w:rFonts w:ascii="Arial" w:eastAsia="Times New Roman" w:hAnsi="Arial" w:cs="Arial"/>
          <w:lang w:eastAsia="cs-CZ"/>
        </w:rPr>
        <w:t xml:space="preserve">                           </w:t>
      </w:r>
    </w:p>
    <w:sectPr w:rsidR="002D4596" w:rsidRPr="002D4596" w:rsidSect="003E4F67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397424B"/>
    <w:multiLevelType w:val="hybridMultilevel"/>
    <w:tmpl w:val="A1C8030C"/>
    <w:lvl w:ilvl="0" w:tplc="B7A01F1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8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9E61B5E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F42685"/>
    <w:multiLevelType w:val="hybridMultilevel"/>
    <w:tmpl w:val="287C82B4"/>
    <w:lvl w:ilvl="0" w:tplc="1A72CAAE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8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4B4203"/>
    <w:multiLevelType w:val="hybridMultilevel"/>
    <w:tmpl w:val="34C6F31A"/>
    <w:lvl w:ilvl="0" w:tplc="164495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3"/>
  </w:num>
  <w:num w:numId="3">
    <w:abstractNumId w:val="17"/>
  </w:num>
  <w:num w:numId="4">
    <w:abstractNumId w:val="4"/>
  </w:num>
  <w:num w:numId="5">
    <w:abstractNumId w:val="21"/>
  </w:num>
  <w:num w:numId="6">
    <w:abstractNumId w:val="19"/>
  </w:num>
  <w:num w:numId="7">
    <w:abstractNumId w:val="27"/>
  </w:num>
  <w:num w:numId="8">
    <w:abstractNumId w:val="32"/>
  </w:num>
  <w:num w:numId="9">
    <w:abstractNumId w:val="44"/>
  </w:num>
  <w:num w:numId="10">
    <w:abstractNumId w:val="3"/>
  </w:num>
  <w:num w:numId="11">
    <w:abstractNumId w:val="9"/>
  </w:num>
  <w:num w:numId="12">
    <w:abstractNumId w:val="7"/>
  </w:num>
  <w:num w:numId="13">
    <w:abstractNumId w:val="15"/>
  </w:num>
  <w:num w:numId="14">
    <w:abstractNumId w:val="6"/>
  </w:num>
  <w:num w:numId="15">
    <w:abstractNumId w:val="35"/>
  </w:num>
  <w:num w:numId="16">
    <w:abstractNumId w:val="20"/>
  </w:num>
  <w:num w:numId="17">
    <w:abstractNumId w:val="2"/>
  </w:num>
  <w:num w:numId="18">
    <w:abstractNumId w:val="8"/>
  </w:num>
  <w:num w:numId="19">
    <w:abstractNumId w:val="38"/>
  </w:num>
  <w:num w:numId="20">
    <w:abstractNumId w:val="45"/>
  </w:num>
  <w:num w:numId="21">
    <w:abstractNumId w:val="5"/>
  </w:num>
  <w:num w:numId="22">
    <w:abstractNumId w:val="37"/>
  </w:num>
  <w:num w:numId="23">
    <w:abstractNumId w:val="0"/>
  </w:num>
  <w:num w:numId="24">
    <w:abstractNumId w:val="43"/>
  </w:num>
  <w:num w:numId="25">
    <w:abstractNumId w:val="13"/>
  </w:num>
  <w:num w:numId="26">
    <w:abstractNumId w:val="18"/>
  </w:num>
  <w:num w:numId="27">
    <w:abstractNumId w:val="30"/>
  </w:num>
  <w:num w:numId="28">
    <w:abstractNumId w:val="14"/>
  </w:num>
  <w:num w:numId="29">
    <w:abstractNumId w:val="1"/>
  </w:num>
  <w:num w:numId="30">
    <w:abstractNumId w:val="16"/>
  </w:num>
  <w:num w:numId="31">
    <w:abstractNumId w:val="26"/>
  </w:num>
  <w:num w:numId="32">
    <w:abstractNumId w:val="22"/>
  </w:num>
  <w:num w:numId="33">
    <w:abstractNumId w:val="40"/>
  </w:num>
  <w:num w:numId="34">
    <w:abstractNumId w:val="42"/>
  </w:num>
  <w:num w:numId="35">
    <w:abstractNumId w:val="31"/>
  </w:num>
  <w:num w:numId="36">
    <w:abstractNumId w:val="39"/>
  </w:num>
  <w:num w:numId="37">
    <w:abstractNumId w:val="34"/>
  </w:num>
  <w:num w:numId="38">
    <w:abstractNumId w:val="25"/>
  </w:num>
  <w:num w:numId="39">
    <w:abstractNumId w:val="10"/>
  </w:num>
  <w:num w:numId="40">
    <w:abstractNumId w:val="41"/>
  </w:num>
  <w:num w:numId="41">
    <w:abstractNumId w:val="36"/>
  </w:num>
  <w:num w:numId="42">
    <w:abstractNumId w:val="28"/>
  </w:num>
  <w:num w:numId="43">
    <w:abstractNumId w:val="11"/>
  </w:num>
  <w:num w:numId="44">
    <w:abstractNumId w:val="46"/>
  </w:num>
  <w:num w:numId="45">
    <w:abstractNumId w:val="29"/>
  </w:num>
  <w:num w:numId="46">
    <w:abstractNumId w:val="1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E"/>
    <w:rsid w:val="000177F8"/>
    <w:rsid w:val="000349D4"/>
    <w:rsid w:val="000A0F4E"/>
    <w:rsid w:val="001262B5"/>
    <w:rsid w:val="001E1A6B"/>
    <w:rsid w:val="001E73A5"/>
    <w:rsid w:val="002034E7"/>
    <w:rsid w:val="00207867"/>
    <w:rsid w:val="0021227B"/>
    <w:rsid w:val="002536CD"/>
    <w:rsid w:val="002A06B9"/>
    <w:rsid w:val="002D4596"/>
    <w:rsid w:val="0033021C"/>
    <w:rsid w:val="00380FCA"/>
    <w:rsid w:val="003949E8"/>
    <w:rsid w:val="003E4F67"/>
    <w:rsid w:val="004036E9"/>
    <w:rsid w:val="00420E48"/>
    <w:rsid w:val="00451ACF"/>
    <w:rsid w:val="00492814"/>
    <w:rsid w:val="004A608E"/>
    <w:rsid w:val="004B162F"/>
    <w:rsid w:val="004C1132"/>
    <w:rsid w:val="004D1F91"/>
    <w:rsid w:val="004E0E2A"/>
    <w:rsid w:val="004F4317"/>
    <w:rsid w:val="0052298F"/>
    <w:rsid w:val="00533468"/>
    <w:rsid w:val="0055459E"/>
    <w:rsid w:val="005F4716"/>
    <w:rsid w:val="00600503"/>
    <w:rsid w:val="006146EB"/>
    <w:rsid w:val="00692C19"/>
    <w:rsid w:val="00694A2D"/>
    <w:rsid w:val="006D7AB2"/>
    <w:rsid w:val="006E52A7"/>
    <w:rsid w:val="00705253"/>
    <w:rsid w:val="007111FE"/>
    <w:rsid w:val="007715C0"/>
    <w:rsid w:val="00774056"/>
    <w:rsid w:val="00785B12"/>
    <w:rsid w:val="007B29B5"/>
    <w:rsid w:val="007B5732"/>
    <w:rsid w:val="007E6885"/>
    <w:rsid w:val="007E6CA4"/>
    <w:rsid w:val="00806E0B"/>
    <w:rsid w:val="00852625"/>
    <w:rsid w:val="00870278"/>
    <w:rsid w:val="00874844"/>
    <w:rsid w:val="008748C7"/>
    <w:rsid w:val="0089211E"/>
    <w:rsid w:val="008B440E"/>
    <w:rsid w:val="008D50C9"/>
    <w:rsid w:val="008F5AF0"/>
    <w:rsid w:val="00903665"/>
    <w:rsid w:val="0094425D"/>
    <w:rsid w:val="009A7A23"/>
    <w:rsid w:val="009C679B"/>
    <w:rsid w:val="00A30729"/>
    <w:rsid w:val="00A72093"/>
    <w:rsid w:val="00AA3B20"/>
    <w:rsid w:val="00B220AF"/>
    <w:rsid w:val="00B3552E"/>
    <w:rsid w:val="00BA0444"/>
    <w:rsid w:val="00C06D76"/>
    <w:rsid w:val="00C26DE3"/>
    <w:rsid w:val="00C27760"/>
    <w:rsid w:val="00C448CA"/>
    <w:rsid w:val="00C65B26"/>
    <w:rsid w:val="00C67C6B"/>
    <w:rsid w:val="00C830BE"/>
    <w:rsid w:val="00CC12CE"/>
    <w:rsid w:val="00CC4D0C"/>
    <w:rsid w:val="00CE5B40"/>
    <w:rsid w:val="00CF0ADD"/>
    <w:rsid w:val="00D010A7"/>
    <w:rsid w:val="00D15B5D"/>
    <w:rsid w:val="00D16D2D"/>
    <w:rsid w:val="00D21142"/>
    <w:rsid w:val="00D547CE"/>
    <w:rsid w:val="00DA2824"/>
    <w:rsid w:val="00DC5ECC"/>
    <w:rsid w:val="00DD3899"/>
    <w:rsid w:val="00DF2CE2"/>
    <w:rsid w:val="00E0448F"/>
    <w:rsid w:val="00E256F7"/>
    <w:rsid w:val="00E650F6"/>
    <w:rsid w:val="00E8679D"/>
    <w:rsid w:val="00EE04A1"/>
    <w:rsid w:val="00F17ABF"/>
    <w:rsid w:val="00F31027"/>
    <w:rsid w:val="00F43FBD"/>
    <w:rsid w:val="00F63F0A"/>
    <w:rsid w:val="00F74CFF"/>
    <w:rsid w:val="00F77626"/>
    <w:rsid w:val="00FA5D62"/>
    <w:rsid w:val="00FB3420"/>
    <w:rsid w:val="00FC5940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BBE"/>
  <w15:docId w15:val="{BB9D73E1-A59C-459C-823E-42D40034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table" w:styleId="Svtlseznamzvraznn3">
    <w:name w:val="Light List Accent 3"/>
    <w:basedOn w:val="Normlntabulka"/>
    <w:uiPriority w:val="61"/>
    <w:rsid w:val="00F43FB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katabulky">
    <w:name w:val="Table Grid"/>
    <w:basedOn w:val="Normlntabulka"/>
    <w:uiPriority w:val="59"/>
    <w:rsid w:val="00F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DA2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komente1">
    <w:name w:val="Text komentáře1"/>
    <w:basedOn w:val="Normln"/>
    <w:rsid w:val="008D50C9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E256F7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0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0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0A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2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3356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Vokurková Jitka</dc:creator>
  <cp:lastModifiedBy>Ivetka</cp:lastModifiedBy>
  <cp:revision>8</cp:revision>
  <cp:lastPrinted>2017-01-13T11:30:00Z</cp:lastPrinted>
  <dcterms:created xsi:type="dcterms:W3CDTF">2017-07-18T10:56:00Z</dcterms:created>
  <dcterms:modified xsi:type="dcterms:W3CDTF">2017-10-11T09:05:00Z</dcterms:modified>
</cp:coreProperties>
</file>