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294" w:line="440" w:lineRule="exact"/>
        <w:ind w:left="40" w:right="0" w:firstLine="0"/>
      </w:pPr>
      <w:bookmarkStart w:id="0" w:name="bookmark0"/>
      <w:r>
        <w:rPr>
          <w:rStyle w:val="CharStyle6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poskytování servisních služeb</w:t>
      </w:r>
      <w:bookmarkEnd w:id="0"/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60" w:right="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uzavřená dle ust. § 1724 násl. Nového Občanského zákoníku mezi níže uvedenými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863" w:line="200" w:lineRule="exact"/>
        <w:ind w:left="260" w:right="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účastníky: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0" w:right="0" w:firstLine="0"/>
      </w:pPr>
      <w:r>
        <w:rPr>
          <w:rStyle w:val="CharStyle12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1. M-JVKs.r.o.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20" w:right="284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Kličková 1350/15, 415 01 Teplice</w:t>
        <w:br/>
        <w:t>tel.: 417 633 463 fax: 417 633 489</w:t>
        <w:br/>
        <w:t>IČ: 46713344</w:t>
        <w:br/>
        <w:t>DIČ: CZ46713344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right"/>
        <w:spacing w:before="0" w:after="248" w:line="278" w:lineRule="exact"/>
        <w:ind w:left="720" w:right="348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bankovní spojení: Unicredit Bank a.s., č. účtu: </w:t>
      </w:r>
      <w:r>
        <w:rPr>
          <w:rStyle w:val="CharStyle13"/>
          <w:u w:val="none"/>
          <w:sz w:val="20"/>
          <w:szCs w:val="20"/>
        </w:rPr>
        <w:t>4</w:t>
        <w:br/>
      </w: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jednající p. Milan Jedlička-jednatel společnosti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25" w:line="269" w:lineRule="exact"/>
        <w:ind w:left="40" w:right="660" w:firstLine="680"/>
      </w:pPr>
      <w:r>
        <w:fldChar w:fldCharType="begin"/>
      </w:r>
      <w:r>
        <w:rPr/>
        <w:instrText> HYPERLINK "http://www.multicar-jvk.cz" </w:instrText>
      </w:r>
      <w:r>
        <w:fldChar w:fldCharType="separate"/>
      </w:r>
      <w:r>
        <w:rPr>
          <w:rStyle w:val="CharStyle10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www.multicar-jvk.cz</w:t>
      </w:r>
      <w:r>
        <w:fldChar w:fldCharType="end"/>
      </w:r>
      <w:r>
        <w:rPr>
          <w:rStyle w:val="CharStyle10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br/>
      </w: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je zapsaná v obchodním rejstříku, vedeném Krajským soudem v Ústí nad</w:t>
        <w:br/>
        <w:t>Labem oddíl C, vložka 2703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495" w:line="288" w:lineRule="exact"/>
        <w:ind w:left="40" w:right="46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jedné</w:t>
        <w:br/>
        <w:t>(dále jen dodavatel)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40" w:right="0" w:firstLine="0"/>
      </w:pPr>
      <w:bookmarkStart w:id="1" w:name="bookmark1"/>
      <w:r>
        <w:rPr>
          <w:rStyle w:val="CharStyle15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2. Hortus správa zeleně, s.r.o.</w:t>
      </w:r>
      <w:bookmarkEnd w:id="1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20" w:right="66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RubeŠka 389/5, 190 00 Praha 9</w:t>
        <w:br/>
        <w:t>Tel.: 603 232 790</w:t>
        <w:br/>
        <w:t>IČ :60486791</w:t>
        <w:br/>
        <w:t>DIČ: CZ60486791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 w:firstLine="0"/>
      </w:pPr>
      <w:bookmarkStart w:id="2" w:name="bookmark2"/>
      <w:r>
        <w:rPr>
          <w:rStyle w:val="CharStyle1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Bankovní </w:t>
      </w:r>
      <w:r>
        <w:rPr>
          <w:rStyle w:val="CharStyle18"/>
          <w:u w:val="none"/>
          <w:sz w:val="20"/>
          <w:szCs w:val="20"/>
        </w:rPr>
        <w:t xml:space="preserve">spojení*NAflJ||MMg» • </w:t>
      </w:r>
      <w:r>
        <w:rPr>
          <w:rStyle w:val="CharStyle17"/>
          <w:lang w:val="cs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KB</w:t>
      </w:r>
      <w:r>
        <w:rPr>
          <w:rStyle w:val="CharStyle1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• č. účtu: :</w:t>
      </w:r>
      <w:bookmarkEnd w:id="2"/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307" w:lineRule="exact"/>
        <w:ind w:left="720" w:right="660" w:firstLine="0"/>
      </w:pPr>
      <w:bookmarkStart w:id="3" w:name="bookmark3"/>
      <w:r>
        <w:rPr>
          <w:rStyle w:val="CharStyle1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Jednající : Petr Lipský a Jan Poupě-jednatelé společnosti</w:t>
        <w:br/>
      </w:r>
      <w:r>
        <w:rPr>
          <w:rStyle w:val="CharStyle19"/>
          <w:u w:val="none"/>
          <w:sz w:val="20"/>
          <w:szCs w:val="20"/>
        </w:rPr>
        <w:t>e-mail: dfcMfllÉKÉMMi</w:t>
      </w:r>
      <w:bookmarkEnd w:id="3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48" w:line="278" w:lineRule="exact"/>
        <w:ind w:left="40" w:right="46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je zapsaná v obchodním rejstříku, vedeném Městským soudem v Praze</w:t>
        <w:br/>
        <w:t>oddíl C, vložka 27110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35" w:line="269" w:lineRule="exact"/>
        <w:ind w:left="40" w:right="46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druhé</w:t>
        <w:br/>
        <w:t>(dále jen odběratel)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0" w:line="200" w:lineRule="exact"/>
        <w:ind w:left="260" w:right="0" w:firstLine="0"/>
      </w:pPr>
      <w:bookmarkStart w:id="4" w:name="bookmark4"/>
      <w:r>
        <w:rPr>
          <w:rStyle w:val="CharStyle21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I.</w:t>
      </w:r>
      <w:bookmarkEnd w:id="4"/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278" w:line="200" w:lineRule="exact"/>
        <w:ind w:left="340" w:right="0" w:firstLine="0"/>
      </w:pPr>
      <w:bookmarkStart w:id="5" w:name="bookmark5"/>
      <w:r>
        <w:rPr>
          <w:rStyle w:val="CharStyle15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Předmět smlouvy a doba trvání</w:t>
      </w:r>
      <w:bookmarkEnd w:id="5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0" w:right="46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této smlouvy je dohoda smluvních stran o zajištění podmínek servisních</w:t>
        <w:br/>
        <w:t>prací na vozidlech odběratele.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95" w:line="269" w:lineRule="exact"/>
        <w:ind w:left="40" w:right="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se vztahuje pouze na vozidla odběratele a to: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40" w:right="0" w:firstLine="0"/>
      </w:pP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1) Značka:</w:t>
      </w:r>
      <w:r>
        <w:rPr>
          <w:rStyle w:val="CharStyle22"/>
          <w:u w:val="none"/>
          <w:sz w:val="20"/>
          <w:szCs w:val="20"/>
        </w:rPr>
        <w:t xml:space="preserve"> Multicar M 26 Profiline</w:t>
      </w:r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,VIN: WMU2M26E49W000361</w:t>
      </w:r>
      <w:r>
        <w:br w:type="page"/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555" w:line="200" w:lineRule="exact"/>
        <w:ind w:left="40" w:right="0" w:firstLine="0"/>
      </w:pPr>
      <w:r>
        <w:rPr>
          <w:rStyle w:val="CharStyle23"/>
          <w:u w:val="none"/>
          <w:sz w:val="20"/>
          <w:szCs w:val="20"/>
        </w:rPr>
        <w:t>Servisní smlouva se uzavírá na dobu neurčitou.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21" w:line="210" w:lineRule="exact"/>
        <w:ind w:left="0" w:right="0" w:firstLine="0"/>
      </w:pPr>
      <w:bookmarkStart w:id="6" w:name="bookmark6"/>
      <w:r>
        <w:rPr>
          <w:rStyle w:val="CharStyle26"/>
          <w:lang w:val="cs"/>
          <w:rFonts w:ascii="Times New Roman" w:eastAsia="Times New Roman" w:hAnsi="Times New Roman" w:cs="Times New Roman"/>
          <w:color w:val="000000"/>
          <w:position w:val="0"/>
        </w:rPr>
        <w:t>II.</w:t>
      </w:r>
      <w:bookmarkEnd w:id="6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53" w:line="200" w:lineRule="exact"/>
        <w:ind w:left="0" w:right="0" w:firstLine="0"/>
      </w:pPr>
      <w:r>
        <w:rPr>
          <w:rStyle w:val="CharStyle27"/>
          <w:u w:val="none"/>
          <w:sz w:val="20"/>
          <w:szCs w:val="20"/>
        </w:rPr>
        <w:t>Cena</w:t>
      </w:r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0" w:after="0"/>
        <w:ind w:left="40" w:right="540" w:firstLine="0"/>
      </w:pPr>
      <w:bookmarkStart w:id="7" w:name="bookmark7"/>
      <w:r>
        <w:rPr>
          <w:rStyle w:val="CharStyle30"/>
          <w:u w:val="none"/>
          <w:sz w:val="20"/>
          <w:szCs w:val="20"/>
        </w:rPr>
        <w:t>Měsíční paušál za servis ke shora uvedenému vozidlu je 5.500,- Kč + příslušná</w:t>
        <w:br/>
        <w:t>sazba DPH. Tato cena je garantovaná do 30. června 2019.</w:t>
      </w:r>
      <w:bookmarkEnd w:id="7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40" w:right="40" w:firstLine="0"/>
      </w:pPr>
      <w:r>
        <w:rPr>
          <w:rStyle w:val="CharStyle23"/>
          <w:u w:val="none"/>
          <w:sz w:val="20"/>
          <w:szCs w:val="20"/>
        </w:rPr>
        <w:t>Rozpis všech plateb se stanovením dne splatnosti je uveden ve splátkovém kalendáři,</w:t>
        <w:br/>
        <w:t>který je nedílnou součástí této smlouvy a který obsahuje náležitosti běžného daňového</w:t>
        <w:br/>
        <w:t>dokladu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303" w:line="278" w:lineRule="exact"/>
        <w:ind w:left="40" w:right="40" w:firstLine="0"/>
      </w:pPr>
      <w:r>
        <w:rPr>
          <w:rStyle w:val="CharStyle23"/>
          <w:u w:val="none"/>
          <w:sz w:val="20"/>
          <w:szCs w:val="20"/>
        </w:rPr>
        <w:t>Pro případ prodlení s úhradou nájemného se sjednává smluvní pokuta ve výši 0.05%</w:t>
        <w:br/>
        <w:t>denně z dlužné částky za každý i započatý den prodlení s úhradou nájemného či jeho</w:t>
        <w:br/>
        <w:t>části.</w:t>
      </w:r>
    </w:p>
    <w:p>
      <w:pPr>
        <w:pStyle w:val="Style2"/>
        <w:numPr>
          <w:ilvl w:val="0"/>
          <w:numId w:val="1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" w:line="200" w:lineRule="exact"/>
        <w:ind w:left="40" w:right="0" w:firstLine="0"/>
      </w:pPr>
      <w:r>
        <w:rPr>
          <w:rStyle w:val="CharStyle23"/>
          <w:u w:val="none"/>
          <w:sz w:val="20"/>
          <w:szCs w:val="20"/>
        </w:rPr>
        <w:t>ceně je zahrnuto:</w:t>
      </w:r>
    </w:p>
    <w:p>
      <w:pPr>
        <w:pStyle w:val="Style2"/>
        <w:numPr>
          <w:ilvl w:val="0"/>
          <w:numId w:val="3"/>
        </w:numPr>
        <w:tabs>
          <w:tab w:leader="none" w:pos="1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0" w:right="0" w:firstLine="0"/>
      </w:pPr>
      <w:r>
        <w:rPr>
          <w:rStyle w:val="CharStyle23"/>
          <w:u w:val="none"/>
          <w:sz w:val="20"/>
          <w:szCs w:val="20"/>
        </w:rPr>
        <w:t>pravidelné servisní a udržovací prohlídky předmětu nájmu</w:t>
      </w:r>
    </w:p>
    <w:p>
      <w:pPr>
        <w:pStyle w:val="Style2"/>
        <w:numPr>
          <w:ilvl w:val="0"/>
          <w:numId w:val="3"/>
        </w:numPr>
        <w:tabs>
          <w:tab w:leader="none" w:pos="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 w:line="269" w:lineRule="exact"/>
        <w:ind w:left="40" w:right="40" w:firstLine="0"/>
      </w:pPr>
      <w:r>
        <w:rPr>
          <w:rStyle w:val="CharStyle23"/>
          <w:u w:val="none"/>
          <w:sz w:val="20"/>
          <w:szCs w:val="20"/>
        </w:rPr>
        <w:t>opravy mimo drobných oprav, kterými se rozumí taková oprava, jejíž náklad včetně</w:t>
        <w:br/>
        <w:t>provedení nepřesáhne částku 1000,- Kč, opravy spojené s nesprávným užíváním</w:t>
        <w:br/>
        <w:t>vozidla a pojistné události, které jsou hrazeny z povinného či havarijního pojištění</w:t>
        <w:br/>
        <w:t>vozidla. Takové opravy budou odběrateli fakturovány zvlášť sám a na vlastní náklady.</w:t>
      </w:r>
    </w:p>
    <w:p>
      <w:pPr>
        <w:pStyle w:val="Style2"/>
        <w:numPr>
          <w:ilvl w:val="1"/>
          <w:numId w:val="3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35" w:line="278" w:lineRule="exact"/>
        <w:ind w:left="40" w:right="40" w:firstLine="0"/>
      </w:pPr>
      <w:r>
        <w:rPr>
          <w:rStyle w:val="CharStyle23"/>
          <w:u w:val="none"/>
          <w:sz w:val="20"/>
          <w:szCs w:val="20"/>
        </w:rPr>
        <w:t>ceně nejsou zahrnuty náklady spojené s běžným provozem předmětu nájmu, zejména</w:t>
        <w:br/>
        <w:t>úhrady veškerých běžných provozních kapalin (mimo kapalin nesloužících</w:t>
        <w:br/>
        <w:t>k doplňování v rámci běžné denní údržby), které hradí odběratel.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21" w:line="210" w:lineRule="exact"/>
        <w:ind w:left="0" w:right="0" w:firstLine="0"/>
      </w:pPr>
      <w:bookmarkStart w:id="8" w:name="bookmark8"/>
      <w:r>
        <w:rPr>
          <w:rStyle w:val="CharStyle26"/>
          <w:lang w:val="cs"/>
          <w:rFonts w:ascii="Times New Roman" w:eastAsia="Times New Roman" w:hAnsi="Times New Roman" w:cs="Times New Roman"/>
          <w:color w:val="000000"/>
          <w:position w:val="0"/>
        </w:rPr>
        <w:t>III.</w:t>
      </w:r>
      <w:bookmarkEnd w:id="8"/>
    </w:p>
    <w:p>
      <w:pPr>
        <w:pStyle w:val="Style28"/>
        <w:widowControl w:val="0"/>
        <w:keepNext/>
        <w:keepLines/>
        <w:shd w:val="clear" w:color="auto" w:fill="auto"/>
        <w:bidi w:val="0"/>
        <w:jc w:val="center"/>
        <w:spacing w:before="0" w:after="214" w:line="200" w:lineRule="exact"/>
        <w:ind w:left="0" w:right="0" w:firstLine="0"/>
      </w:pPr>
      <w:bookmarkStart w:id="9" w:name="bookmark9"/>
      <w:r>
        <w:rPr>
          <w:rStyle w:val="CharStyle30"/>
          <w:u w:val="none"/>
          <w:sz w:val="20"/>
          <w:szCs w:val="20"/>
        </w:rPr>
        <w:t>Práva a povinnosti</w:t>
      </w:r>
      <w:bookmarkEnd w:id="9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225" w:line="259" w:lineRule="exact"/>
        <w:ind w:left="40" w:right="40" w:firstLine="0"/>
      </w:pPr>
      <w:r>
        <w:rPr>
          <w:rStyle w:val="CharStyle23"/>
          <w:u w:val="none"/>
          <w:sz w:val="20"/>
          <w:szCs w:val="20"/>
        </w:rPr>
        <w:t>Účastníci se dohodli, že odběratel je povinen umožnit pronajímateli ve svém sídle či na</w:t>
        <w:br/>
        <w:t>jiném předem dohodnutém místě provádět po celou dobu trvání nájmu vždy lx za 2</w:t>
        <w:br/>
        <w:t>měsíce +/- 10 dní pravidelné kontrolní prohlídky. O provedené prohlídce a zjištěných</w:t>
        <w:br/>
        <w:t>závadách či poškozeních bude sepsán záznam, ve kterém budou stanoveny případné</w:t>
        <w:br/>
        <w:t>omezující podmínky dalšího užívání a termín a specifikace nutných oprav.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40" w:right="40" w:firstLine="0"/>
      </w:pPr>
      <w:r>
        <w:rPr>
          <w:rStyle w:val="CharStyle23"/>
          <w:u w:val="none"/>
          <w:sz w:val="20"/>
          <w:szCs w:val="20"/>
        </w:rPr>
        <w:t>Účastníci se dohodli, že odběratel je povinen umožnit dodavateli po celou dobu trvání</w:t>
        <w:br/>
        <w:t>nájmu vždy lx za 6 měsíců +/- 10 dní pravidelnou komplexní servisní prohlídku</w:t>
        <w:br/>
        <w:t>v rozsahu minimálně 8 hodin. O provedené prohlídce a zjištěných závadách či</w:t>
        <w:br/>
        <w:t>poškozeních bude sepsán záznam, ve kterém budou stanoveny případné omezující</w:t>
        <w:br/>
        <w:t>podmínky dalšího užívání a termín a specifikace dalších nutných oprav.</w:t>
      </w:r>
    </w:p>
    <w:p>
      <w:pPr>
        <w:pStyle w:val="Style28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40" w:right="40" w:firstLine="0"/>
      </w:pPr>
      <w:bookmarkStart w:id="10" w:name="bookmark10"/>
      <w:r>
        <w:rPr>
          <w:rStyle w:val="CharStyle30"/>
          <w:u w:val="none"/>
          <w:sz w:val="20"/>
          <w:szCs w:val="20"/>
        </w:rPr>
        <w:t>Odběratel se zavazuje, že veškeré opravy na shora uvedeném vozidle bude</w:t>
        <w:br/>
        <w:t>provádět pouze dodavatel.</w:t>
      </w:r>
      <w:bookmarkEnd w:id="10"/>
      <w:r>
        <w:br w:type="page"/>
      </w:r>
    </w:p>
    <w:p>
      <w:pPr>
        <w:pStyle w:val="Style31"/>
        <w:widowControl w:val="0"/>
        <w:keepNext/>
        <w:keepLines/>
        <w:shd w:val="clear" w:color="auto" w:fill="auto"/>
        <w:bidi w:val="0"/>
        <w:spacing w:before="0" w:after="342" w:line="200" w:lineRule="exact"/>
        <w:ind w:left="300" w:right="0" w:firstLine="0"/>
      </w:pPr>
      <w:bookmarkStart w:id="11" w:name="bookmark11"/>
      <w:r>
        <w:rPr>
          <w:rStyle w:val="CharStyle33"/>
          <w:u w:val="none"/>
          <w:sz w:val="20"/>
          <w:szCs w:val="20"/>
        </w:rPr>
        <w:t>Ukončení smlouvy</w:t>
      </w:r>
      <w:bookmarkEnd w:id="11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333" w:line="200" w:lineRule="exact"/>
        <w:ind w:left="40" w:right="0" w:firstLine="0"/>
      </w:pPr>
      <w:r>
        <w:rPr>
          <w:rStyle w:val="CharStyle34"/>
          <w:u w:val="none"/>
          <w:sz w:val="20"/>
          <w:szCs w:val="20"/>
        </w:rPr>
        <w:t>Nájemní smlouva končí:</w:t>
      </w:r>
    </w:p>
    <w:p>
      <w:pPr>
        <w:pStyle w:val="Style35"/>
        <w:numPr>
          <w:ilvl w:val="0"/>
          <w:numId w:val="5"/>
        </w:numPr>
        <w:tabs>
          <w:tab w:leader="none" w:pos="1095" w:val="left"/>
        </w:tabs>
        <w:widowControl w:val="0"/>
        <w:keepNext/>
        <w:keepLines/>
        <w:shd w:val="clear" w:color="auto" w:fill="auto"/>
        <w:bidi w:val="0"/>
        <w:spacing w:before="0" w:after="42" w:line="200" w:lineRule="exact"/>
        <w:ind w:left="740" w:right="0" w:firstLine="0"/>
      </w:pPr>
      <w:bookmarkStart w:id="12" w:name="bookmark12"/>
      <w:r>
        <w:rPr>
          <w:rStyle w:val="CharStyle37"/>
          <w:u w:val="none"/>
          <w:sz w:val="20"/>
          <w:szCs w:val="20"/>
        </w:rPr>
        <w:t>písemnou dohodou</w:t>
      </w:r>
      <w:bookmarkEnd w:id="12"/>
    </w:p>
    <w:p>
      <w:pPr>
        <w:pStyle w:val="Style35"/>
        <w:numPr>
          <w:ilvl w:val="0"/>
          <w:numId w:val="5"/>
        </w:numPr>
        <w:tabs>
          <w:tab w:leader="none" w:pos="1086" w:val="left"/>
        </w:tabs>
        <w:widowControl w:val="0"/>
        <w:keepNext/>
        <w:keepLines/>
        <w:shd w:val="clear" w:color="auto" w:fill="auto"/>
        <w:bidi w:val="0"/>
        <w:spacing w:before="0" w:after="272" w:line="200" w:lineRule="exact"/>
        <w:ind w:left="740" w:right="0" w:firstLine="0"/>
      </w:pPr>
      <w:bookmarkStart w:id="13" w:name="bookmark13"/>
      <w:r>
        <w:rPr>
          <w:rStyle w:val="CharStyle37"/>
          <w:u w:val="none"/>
          <w:sz w:val="20"/>
          <w:szCs w:val="20"/>
        </w:rPr>
        <w:t>výpovědí</w:t>
      </w:r>
      <w:bookmarkEnd w:id="13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850" w:line="288" w:lineRule="exact"/>
        <w:ind w:left="40" w:right="340" w:firstLine="0"/>
      </w:pPr>
      <w:r>
        <w:rPr>
          <w:rStyle w:val="CharStyle34"/>
          <w:u w:val="none"/>
          <w:sz w:val="20"/>
          <w:szCs w:val="20"/>
        </w:rPr>
        <w:t>Smlouva se uzavírá na dobu neurčitou. V případě výpovědi se řídí dle daného</w:t>
        <w:br/>
        <w:t>občanského zákoníku.</w:t>
      </w:r>
    </w:p>
    <w:p>
      <w:pPr>
        <w:pStyle w:val="Style31"/>
        <w:widowControl w:val="0"/>
        <w:keepNext/>
        <w:keepLines/>
        <w:shd w:val="clear" w:color="auto" w:fill="auto"/>
        <w:bidi w:val="0"/>
        <w:spacing w:before="0" w:after="23" w:line="200" w:lineRule="exact"/>
        <w:ind w:left="300" w:right="0" w:firstLine="0"/>
      </w:pPr>
      <w:bookmarkStart w:id="14" w:name="bookmark14"/>
      <w:r>
        <w:rPr>
          <w:rStyle w:val="CharStyle33"/>
          <w:u w:val="none"/>
          <w:sz w:val="20"/>
          <w:szCs w:val="20"/>
        </w:rPr>
        <w:t>VI.</w:t>
      </w:r>
      <w:bookmarkEnd w:id="14"/>
    </w:p>
    <w:p>
      <w:pPr>
        <w:pStyle w:val="Style31"/>
        <w:widowControl w:val="0"/>
        <w:keepNext/>
        <w:keepLines/>
        <w:shd w:val="clear" w:color="auto" w:fill="auto"/>
        <w:bidi w:val="0"/>
        <w:spacing w:before="0" w:after="0" w:line="200" w:lineRule="exact"/>
        <w:ind w:left="300" w:right="0" w:firstLine="0"/>
      </w:pPr>
      <w:bookmarkStart w:id="15" w:name="bookmark15"/>
      <w:r>
        <w:rPr>
          <w:rStyle w:val="CharStyle33"/>
          <w:u w:val="none"/>
          <w:sz w:val="20"/>
          <w:szCs w:val="20"/>
        </w:rPr>
        <w:t>Závěrečná ustanovení</w:t>
      </w:r>
      <w:bookmarkEnd w:id="15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180" w:line="278" w:lineRule="exact"/>
        <w:ind w:left="40" w:right="340" w:firstLine="0"/>
      </w:pPr>
      <w:r>
        <w:rPr>
          <w:rStyle w:val="CharStyle34"/>
          <w:u w:val="none"/>
          <w:sz w:val="20"/>
          <w:szCs w:val="20"/>
        </w:rPr>
        <w:t>Smlouvu lze měnit a doplňovat pouze písemnými dodatky, na nichž se účastníci</w:t>
        <w:br/>
        <w:t>dohodnou. Dodatky budou chronologicky číslovány. Vztahy mezi účastníky se řídí</w:t>
        <w:br/>
        <w:t>Obchodním zákoníkem a ostatními obecně závaznými právními předpisy, které s ním</w:t>
        <w:br/>
        <w:t>souvisejí.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843" w:line="278" w:lineRule="exact"/>
        <w:ind w:left="40" w:right="2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6.1pt;margin-top:70.1pt;width:70.7pt;height:10.55pt;z-index:1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100" w:right="0" w:firstLine="0"/>
                  </w:pPr>
                  <w:r>
                    <w:rPr>
                      <w:rStyle w:val="CharStyle4"/>
                      <w:lang w:val="cs"/>
                      <w:u w:val="none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V Praze dne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34"/>
          <w:u w:val="none"/>
          <w:sz w:val="20"/>
          <w:szCs w:val="20"/>
        </w:rPr>
        <w:t>Smlouva se vyhotovuje ve 2 stejnopisech, z nichž každý účastník obdrží po 1 vyhotovení</w:t>
        <w:br/>
        <w:t>Smlouva nabývá platnosti dnem podpisu smlouvy.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0" w:right="0" w:firstLine="0"/>
        <w:sectPr>
          <w:footerReference w:type="even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1904" w:h="16838"/>
          <w:pgMar w:top="1318" w:left="1680" w:right="1440" w:bottom="1836" w:header="0" w:footer="3" w:gutter="0"/>
          <w:rtlGutter w:val="0"/>
          <w:cols w:space="720"/>
          <w:noEndnote/>
          <w:docGrid w:linePitch="360"/>
        </w:sectPr>
      </w:pPr>
      <w:r>
        <w:rPr>
          <w:rStyle w:val="CharStyle34"/>
          <w:u w:val="none"/>
          <w:sz w:val="20"/>
          <w:szCs w:val="20"/>
        </w:rPr>
        <w:t>V Teplicích dne 1.10.2017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4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33" w:line="200" w:lineRule="exact"/>
        <w:ind w:left="20" w:right="0" w:firstLine="0"/>
      </w:pPr>
      <w:r>
        <w:pict>
          <v:shape id="_x0000_s1031" type="#_x0000_t202" style="position:absolute;margin-left:-210.25pt;margin-top:0;width:124.65pt;height:24.5pt;z-index:6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" w:line="190" w:lineRule="exact"/>
                    <w:ind w:left="0" w:right="0" w:firstLine="0"/>
                  </w:pPr>
                  <w:r>
                    <w:rPr>
                      <w:rStyle w:val="CharStyle4"/>
                      <w:lang w:val="cs"/>
                      <w:u w:val="none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M-JVK s.r.o.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"/>
                      <w:lang w:val="cs"/>
                      <w:u w:val="none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Milan Jedlička - jednatel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34"/>
          <w:u w:val="none"/>
          <w:sz w:val="20"/>
          <w:szCs w:val="20"/>
        </w:rPr>
        <w:t>Hortus s.r.o.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893" w:line="200" w:lineRule="exact"/>
        <w:ind w:left="20" w:right="0" w:firstLine="0"/>
      </w:pPr>
      <w:r>
        <w:rPr>
          <w:rStyle w:val="CharStyle34"/>
          <w:u w:val="none"/>
          <w:sz w:val="20"/>
          <w:szCs w:val="20"/>
        </w:rPr>
        <w:t>Petr Lipský - jednatel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" w:right="0" w:firstLine="0"/>
      </w:pPr>
      <w:r>
        <w:rPr>
          <w:rStyle w:val="CharStyle34"/>
          <w:u w:val="none"/>
          <w:sz w:val="20"/>
          <w:szCs w:val="20"/>
        </w:rPr>
        <w:t>Jan Poupě - jednatel</w:t>
      </w:r>
    </w:p>
    <w:sectPr>
      <w:type w:val="continuous"/>
      <w:pgSz w:w="11904" w:h="16838"/>
      <w:pgMar w:top="396" w:left="5895" w:right="3303" w:bottom="393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12.9pt;margin-top:-120.6pt;width:4.8pt;height:8.15pt;z-index:-251658751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4"/>
                      <w:u w:val="none"/>
                    </w:rPr>
                    <w:t>2</w:t>
                  </w:r>
                </w:fldSimple>
              </w:p>
            </w:txbxContent>
          </v:textbox>
          <w10:wrap anchorx="page"/>
        </v:shape>
      </w:pict>
    </w:r>
    <w:r>
      <w:pict>
        <v:shape id="_x0000_s1028" type="#_x0000_t202" style="position:absolute;margin-left:299.3pt;margin-top:-120.6pt;width:10.55pt;height:8.15pt;z-index:-251658750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u w:val="none"/>
                  </w:rPr>
                  <w:t>V.</w:t>
                </w:r>
              </w:p>
            </w:txbxContent>
          </v:textbox>
          <w10:wrap anchorx="page"/>
        </v:shape>
      </w:pict>
    </w:r>
  </w:p>
</w:hdr>
</file>

<file path=word/foot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06.9pt;margin-top:-74.55pt;width:4.8pt;height:8.65pt;z-index:-251658749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lang w:val="cs"/>
                      <w:u w:val="none"/>
                    </w:rPr>
                    <w:t>3</w:t>
                  </w:r>
                </w:fldSimple>
              </w:p>
            </w:txbxContent>
          </v:textbox>
          <w10:wrap anchorx="page"/>
        </v:shape>
      </w:pict>
    </w:r>
  </w:p>
</w:hdr>
</file>

<file path=word/foot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05.95pt;margin-top:-73.6pt;width:2.9pt;height:7.7pt;z-index:-251658748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lang w:val="cs"/>
                    <w:u w:val="none"/>
                  </w:rPr>
                  <w:t>1</w:t>
                </w:r>
              </w:p>
            </w:txbxContent>
          </v:textbox>
          <w10:wrap anchorx="page"/>
        </v:shape>
      </w:pic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lang w:val="c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5"/>
      <w:numFmt w:val="upperRoman"/>
      <w:lvlText w:val="%2"/>
      <w:rPr>
        <w:lang w:val="c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c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spacing w:val="7"/>
    </w:rPr>
  </w:style>
  <w:style w:type="character" w:customStyle="1" w:styleId="CharStyle4">
    <w:name w:val="Body text + Spacing 0 pt Exact"/>
    <w:basedOn w:val="CharStyle10"/>
    <w:rPr>
      <w:sz w:val="19"/>
      <w:szCs w:val="19"/>
      <w:spacing w:val="8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4"/>
      <w:szCs w:val="44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9">
    <w:name w:val="Header or footer + 10.5 pt"/>
    <w:basedOn w:val="CharStyle8"/>
    <w:rPr>
      <w:lang w:val="1024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spacing w:val="10"/>
    </w:rPr>
  </w:style>
  <w:style w:type="character" w:customStyle="1" w:styleId="CharStyle13">
    <w:name w:val="Body text"/>
    <w:basedOn w:val="CharStyle10"/>
    <w:rPr>
      <w:lang w:val="cs"/>
      <w:rFonts w:ascii="Times New Roman" w:eastAsia="Times New Roman" w:hAnsi="Times New Roman" w:cs="Times New Roman"/>
      <w:w w:val="100"/>
      <w:spacing w:val="0"/>
      <w:color w:val="6F1A1C"/>
      <w:position w:val="0"/>
    </w:rPr>
  </w:style>
  <w:style w:type="character" w:customStyle="1" w:styleId="CharStyle15">
    <w:name w:val="Heading #3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spacing w:val="10"/>
    </w:rPr>
  </w:style>
  <w:style w:type="character" w:customStyle="1" w:styleId="CharStyle17">
    <w:name w:val="Heading #3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8">
    <w:name w:val="Heading #3"/>
    <w:basedOn w:val="CharStyle17"/>
    <w:rPr>
      <w:lang w:val="cs"/>
      <w:rFonts w:ascii="Times New Roman" w:eastAsia="Times New Roman" w:hAnsi="Times New Roman" w:cs="Times New Roman"/>
      <w:w w:val="100"/>
      <w:spacing w:val="0"/>
      <w:color w:val="6F1A1C"/>
      <w:position w:val="0"/>
    </w:rPr>
  </w:style>
  <w:style w:type="character" w:customStyle="1" w:styleId="CharStyle19">
    <w:name w:val="Heading #3 + Spacing -1 pt"/>
    <w:basedOn w:val="CharStyle17"/>
    <w:rPr>
      <w:lang w:val="cs"/>
      <w:rFonts w:ascii="Times New Roman" w:eastAsia="Times New Roman" w:hAnsi="Times New Roman" w:cs="Times New Roman"/>
      <w:w w:val="100"/>
      <w:spacing w:val="-20"/>
      <w:color w:val="6F1A1C"/>
      <w:position w:val="0"/>
    </w:rPr>
  </w:style>
  <w:style w:type="character" w:customStyle="1" w:styleId="CharStyle21">
    <w:name w:val="Heading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2">
    <w:name w:val="Body text + Bold,Spacing 0 pt"/>
    <w:basedOn w:val="CharStyle10"/>
    <w:rPr>
      <w:lang w:val="cs"/>
      <w:b/>
      <w:bCs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23">
    <w:name w:val="Body text"/>
    <w:basedOn w:val="CharStyle10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Header or footer + 10.5 pt,Spacing 0 pt"/>
    <w:basedOn w:val="CharStyle8"/>
    <w:rPr>
      <w:lang w:val="cs"/>
      <w:sz w:val="21"/>
      <w:szCs w:val="21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6">
    <w:name w:val="Heading #1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1"/>
      <w:szCs w:val="21"/>
      <w:w w:val="80"/>
      <w:spacing w:val="20"/>
    </w:rPr>
  </w:style>
  <w:style w:type="character" w:customStyle="1" w:styleId="CharStyle27">
    <w:name w:val="Body text (2) + Spacing 0 pt"/>
    <w:basedOn w:val="CharStyle12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Heading #2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0"/>
      <w:szCs w:val="20"/>
      <w:spacing w:val="10"/>
    </w:rPr>
  </w:style>
  <w:style w:type="character" w:customStyle="1" w:styleId="CharStyle30">
    <w:name w:val="Heading #2 (2) + Spacing 0 pt"/>
    <w:basedOn w:val="CharStyle29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2">
    <w:name w:val="Heading #1 (3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spacing w:val="10"/>
    </w:rPr>
  </w:style>
  <w:style w:type="character" w:customStyle="1" w:styleId="CharStyle33">
    <w:name w:val="Heading #1 (3) + Spacing 0 pt"/>
    <w:basedOn w:val="CharStyle32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Body text"/>
    <w:basedOn w:val="CharStyle10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6">
    <w:name w:val="Heading #1 (4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7">
    <w:name w:val="Heading #1 (4)"/>
    <w:basedOn w:val="CharStyle36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"/>
    <w:basedOn w:val="Normal"/>
    <w:link w:val="CharStyle10"/>
    <w:pPr>
      <w:widowControl w:val="0"/>
      <w:shd w:val="clear" w:color="auto" w:fill="FFFFFF"/>
      <w:jc w:val="center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44"/>
      <w:szCs w:val="44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9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spacing w:val="10"/>
    </w:rPr>
  </w:style>
  <w:style w:type="paragraph" w:customStyle="1" w:styleId="Style14">
    <w:name w:val="Heading #3 (2)"/>
    <w:basedOn w:val="Normal"/>
    <w:link w:val="CharStyle15"/>
    <w:pPr>
      <w:widowControl w:val="0"/>
      <w:shd w:val="clear" w:color="auto" w:fill="FFFFFF"/>
      <w:outlineLvl w:val="2"/>
      <w:spacing w:before="480" w:line="269" w:lineRule="exact"/>
    </w:pPr>
    <w:rPr>
      <w:b/>
      <w:bCs/>
      <w:i w:val="0"/>
      <w:iCs w:val="0"/>
      <w:u w:val="none"/>
      <w:strike w:val="0"/>
      <w:smallCaps w:val="0"/>
      <w:sz w:val="20"/>
      <w:szCs w:val="20"/>
      <w:spacing w:val="10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FFFFFF"/>
      <w:outlineLvl w:val="2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jc w:val="center"/>
      <w:outlineLvl w:val="1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5">
    <w:name w:val="Heading #1 (2)"/>
    <w:basedOn w:val="Normal"/>
    <w:link w:val="CharStyle26"/>
    <w:pPr>
      <w:widowControl w:val="0"/>
      <w:shd w:val="clear" w:color="auto" w:fill="FFFFFF"/>
      <w:jc w:val="center"/>
      <w:outlineLvl w:val="0"/>
      <w:spacing w:before="600"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w w:val="80"/>
      <w:spacing w:val="20"/>
    </w:rPr>
  </w:style>
  <w:style w:type="paragraph" w:customStyle="1" w:styleId="Style28">
    <w:name w:val="Heading #2 (2)"/>
    <w:basedOn w:val="Normal"/>
    <w:link w:val="CharStyle29"/>
    <w:pPr>
      <w:widowControl w:val="0"/>
      <w:shd w:val="clear" w:color="auto" w:fill="FFFFFF"/>
      <w:outlineLvl w:val="1"/>
      <w:spacing w:before="360" w:line="288" w:lineRule="exact"/>
    </w:pPr>
    <w:rPr>
      <w:b/>
      <w:bCs/>
      <w:i w:val="0"/>
      <w:iCs w:val="0"/>
      <w:u w:val="none"/>
      <w:strike w:val="0"/>
      <w:smallCaps w:val="0"/>
      <w:sz w:val="20"/>
      <w:szCs w:val="20"/>
      <w:spacing w:val="10"/>
    </w:rPr>
  </w:style>
  <w:style w:type="paragraph" w:customStyle="1" w:styleId="Style31">
    <w:name w:val="Heading #1 (3)"/>
    <w:basedOn w:val="Normal"/>
    <w:link w:val="CharStyle32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spacing w:val="10"/>
    </w:rPr>
  </w:style>
  <w:style w:type="paragraph" w:customStyle="1" w:styleId="Style35">
    <w:name w:val="Heading #1 (4)"/>
    <w:basedOn w:val="Normal"/>
    <w:link w:val="CharStyle36"/>
    <w:pPr>
      <w:widowControl w:val="0"/>
      <w:shd w:val="clear" w:color="auto" w:fill="FFFFFF"/>
      <w:jc w:val="both"/>
      <w:outlineLvl w:val="0"/>
      <w:spacing w:before="36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