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bottomFromText="851" w:vertAnchor="page" w:horzAnchor="page" w:tblpX="710" w:tblpY="710"/>
        <w:tblOverlap w:val="never"/>
        <w:tblW w:w="10773" w:type="dxa"/>
        <w:tblLayout w:type="fixed"/>
        <w:tblCellMar>
          <w:left w:w="0" w:type="dxa"/>
          <w:right w:w="0" w:type="dxa"/>
        </w:tblCellMar>
        <w:tblLook w:val="04A0" w:firstRow="1" w:lastRow="0" w:firstColumn="1" w:lastColumn="0" w:noHBand="0" w:noVBand="1"/>
      </w:tblPr>
      <w:tblGrid>
        <w:gridCol w:w="7654"/>
        <w:gridCol w:w="227"/>
        <w:gridCol w:w="2892"/>
      </w:tblGrid>
      <w:tr w:rsidR="00047621" w:rsidRPr="007C28E8" w14:paraId="4291CC4D" w14:textId="77777777" w:rsidTr="00A61418">
        <w:tc>
          <w:tcPr>
            <w:tcW w:w="7654" w:type="dxa"/>
          </w:tcPr>
          <w:p w14:paraId="3E79930C" w14:textId="038732C5" w:rsidR="00047621" w:rsidRPr="007C28E8" w:rsidRDefault="00047621" w:rsidP="00047621">
            <w:pPr>
              <w:pStyle w:val="CoverTitle"/>
              <w:rPr>
                <w:rFonts w:ascii="Georgia" w:hAnsi="Georgia" w:cstheme="minorHAnsi"/>
                <w:color w:val="173F35"/>
                <w:lang w:val="en-US"/>
              </w:rPr>
            </w:pPr>
            <w:bookmarkStart w:id="0" w:name="_Toc358632762"/>
            <w:bookmarkStart w:id="1" w:name="_Toc361314422"/>
            <w:bookmarkStart w:id="2" w:name="_Toc361660237"/>
            <w:bookmarkStart w:id="3" w:name="_Toc362025699"/>
            <w:bookmarkStart w:id="4" w:name="_Toc362259599"/>
            <w:bookmarkStart w:id="5" w:name="_Toc362342720"/>
            <w:bookmarkStart w:id="6" w:name="_Toc362522423"/>
            <w:bookmarkStart w:id="7" w:name="_Toc367176027"/>
            <w:bookmarkStart w:id="8" w:name="_Toc367190234"/>
            <w:bookmarkStart w:id="9" w:name="_Toc367780739"/>
            <w:bookmarkStart w:id="10" w:name="_Toc368036977"/>
            <w:bookmarkStart w:id="11" w:name="_Toc368479977"/>
            <w:bookmarkStart w:id="12" w:name="_Toc368488918"/>
            <w:bookmarkStart w:id="13" w:name="_Toc368692888"/>
            <w:bookmarkStart w:id="14" w:name="_Toc368693192"/>
            <w:bookmarkStart w:id="15" w:name="_Toc368985245"/>
            <w:bookmarkStart w:id="16" w:name="_Toc369074561"/>
            <w:bookmarkStart w:id="17" w:name="_Toc369074810"/>
            <w:bookmarkStart w:id="18" w:name="_Toc369284288"/>
            <w:bookmarkStart w:id="19" w:name="_Toc369287821"/>
            <w:bookmarkStart w:id="20" w:name="_Toc369288669"/>
            <w:bookmarkStart w:id="21" w:name="_Toc369290012"/>
            <w:bookmarkStart w:id="22" w:name="_Toc369292264"/>
            <w:bookmarkStart w:id="23" w:name="_Toc369615691"/>
            <w:bookmarkStart w:id="24" w:name="_Toc369872912"/>
            <w:bookmarkStart w:id="25" w:name="_Toc369875176"/>
            <w:bookmarkStart w:id="26" w:name="_Toc369876292"/>
            <w:bookmarkStart w:id="27" w:name="_Toc369880055"/>
            <w:bookmarkStart w:id="28" w:name="_Toc370742728"/>
            <w:bookmarkStart w:id="29" w:name="_Toc424814774"/>
            <w:bookmarkStart w:id="30" w:name="_Toc424814942"/>
            <w:bookmarkStart w:id="31" w:name="_Toc424815614"/>
            <w:bookmarkStart w:id="32" w:name="_Toc424815751"/>
            <w:bookmarkStart w:id="33" w:name="_Toc424815854"/>
            <w:bookmarkStart w:id="34" w:name="_Toc494279039"/>
            <w:r w:rsidRPr="007C28E8">
              <w:rPr>
                <w:rFonts w:ascii="Georgia" w:hAnsi="Georgia" w:cstheme="minorHAnsi"/>
                <w:color w:val="3C0F11"/>
                <w:lang w:val="en-US"/>
              </w:rPr>
              <w:t>D</w:t>
            </w:r>
            <w:r w:rsidR="005411FB" w:rsidRPr="007C28E8">
              <w:rPr>
                <w:rFonts w:ascii="Georgia" w:hAnsi="Georgia" w:cstheme="minorHAnsi"/>
                <w:color w:val="3C0F11"/>
                <w:lang w:val="en-US"/>
              </w:rPr>
              <w:t>&amp;O pojistná smlouva (Insurance Policy)</w:t>
            </w:r>
          </w:p>
        </w:tc>
        <w:tc>
          <w:tcPr>
            <w:tcW w:w="227" w:type="dxa"/>
          </w:tcPr>
          <w:p w14:paraId="590B0149" w14:textId="77777777" w:rsidR="00047621" w:rsidRPr="007C28E8" w:rsidRDefault="00047621" w:rsidP="00047621">
            <w:pPr>
              <w:pStyle w:val="Bezmezer"/>
              <w:rPr>
                <w:rFonts w:cstheme="minorHAnsi"/>
                <w:lang w:val="en-US"/>
              </w:rPr>
            </w:pPr>
          </w:p>
        </w:tc>
        <w:tc>
          <w:tcPr>
            <w:tcW w:w="2892" w:type="dxa"/>
            <w:vMerge w:val="restart"/>
          </w:tcPr>
          <w:p w14:paraId="163D23C4" w14:textId="77777777" w:rsidR="00047621" w:rsidRPr="007C28E8" w:rsidRDefault="00047621" w:rsidP="00047621">
            <w:pPr>
              <w:pStyle w:val="Bezmezer"/>
              <w:rPr>
                <w:rFonts w:cstheme="minorHAnsi"/>
                <w:lang w:val="en-US"/>
              </w:rPr>
            </w:pPr>
            <w:r w:rsidRPr="007C28E8">
              <w:rPr>
                <w:rFonts w:cstheme="minorHAnsi"/>
                <w:noProof/>
                <w:lang w:val="en-US"/>
              </w:rPr>
              <mc:AlternateContent>
                <mc:Choice Requires="wps">
                  <w:drawing>
                    <wp:inline distT="0" distB="0" distL="0" distR="0" wp14:anchorId="0BB2F78B" wp14:editId="6BCF48AA">
                      <wp:extent cx="1656000" cy="576000"/>
                      <wp:effectExtent l="0" t="0" r="20955" b="14605"/>
                      <wp:docPr id="4" name="SHP_Logo">
                        <a:extLst xmlns:a="http://schemas.openxmlformats.org/drawingml/2006/main">
                          <a:ext uri="{FF2B5EF4-FFF2-40B4-BE49-F238E27FC236}">
                            <a16:creationId xmlns:a16="http://schemas.microsoft.com/office/drawing/2014/main" id="{99611EF4-BC54-9603-A451-76CE08A798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656000" cy="576000"/>
                              </a:xfrm>
                              <a:custGeom>
                                <a:avLst/>
                                <a:gdLst>
                                  <a:gd name="T0" fmla="*/ 983 w 1266"/>
                                  <a:gd name="T1" fmla="*/ 1 h 437"/>
                                  <a:gd name="T2" fmla="*/ 983 w 1266"/>
                                  <a:gd name="T3" fmla="*/ 250 h 437"/>
                                  <a:gd name="T4" fmla="*/ 879 w 1266"/>
                                  <a:gd name="T5" fmla="*/ 0 h 437"/>
                                  <a:gd name="T6" fmla="*/ 569 w 1266"/>
                                  <a:gd name="T7" fmla="*/ 0 h 437"/>
                                  <a:gd name="T8" fmla="*/ 569 w 1266"/>
                                  <a:gd name="T9" fmla="*/ 279 h 437"/>
                                  <a:gd name="T10" fmla="*/ 492 w 1266"/>
                                  <a:gd name="T11" fmla="*/ 350 h 437"/>
                                  <a:gd name="T12" fmla="*/ 416 w 1266"/>
                                  <a:gd name="T13" fmla="*/ 279 h 437"/>
                                  <a:gd name="T14" fmla="*/ 416 w 1266"/>
                                  <a:gd name="T15" fmla="*/ 0 h 437"/>
                                  <a:gd name="T16" fmla="*/ 0 w 1266"/>
                                  <a:gd name="T17" fmla="*/ 0 h 437"/>
                                  <a:gd name="T18" fmla="*/ 0 w 1266"/>
                                  <a:gd name="T19" fmla="*/ 437 h 437"/>
                                  <a:gd name="T20" fmla="*/ 657 w 1266"/>
                                  <a:gd name="T21" fmla="*/ 437 h 437"/>
                                  <a:gd name="T22" fmla="*/ 696 w 1266"/>
                                  <a:gd name="T23" fmla="*/ 338 h 437"/>
                                  <a:gd name="T24" fmla="*/ 885 w 1266"/>
                                  <a:gd name="T25" fmla="*/ 338 h 437"/>
                                  <a:gd name="T26" fmla="*/ 924 w 1266"/>
                                  <a:gd name="T27" fmla="*/ 437 h 437"/>
                                  <a:gd name="T28" fmla="*/ 1266 w 1266"/>
                                  <a:gd name="T29" fmla="*/ 437 h 437"/>
                                  <a:gd name="T30" fmla="*/ 1266 w 1266"/>
                                  <a:gd name="T31" fmla="*/ 344 h 437"/>
                                  <a:gd name="T32" fmla="*/ 1096 w 1266"/>
                                  <a:gd name="T33" fmla="*/ 344 h 437"/>
                                  <a:gd name="T34" fmla="*/ 1096 w 1266"/>
                                  <a:gd name="T35" fmla="*/ 1 h 437"/>
                                  <a:gd name="T36" fmla="*/ 983 w 1266"/>
                                  <a:gd name="T37" fmla="*/ 1 h 437"/>
                                  <a:gd name="T38" fmla="*/ 298 w 1266"/>
                                  <a:gd name="T39" fmla="*/ 219 h 437"/>
                                  <a:gd name="T40" fmla="*/ 178 w 1266"/>
                                  <a:gd name="T41" fmla="*/ 338 h 437"/>
                                  <a:gd name="T42" fmla="*/ 114 w 1266"/>
                                  <a:gd name="T43" fmla="*/ 338 h 437"/>
                                  <a:gd name="T44" fmla="*/ 114 w 1266"/>
                                  <a:gd name="T45" fmla="*/ 100 h 437"/>
                                  <a:gd name="T46" fmla="*/ 178 w 1266"/>
                                  <a:gd name="T47" fmla="*/ 100 h 437"/>
                                  <a:gd name="T48" fmla="*/ 298 w 1266"/>
                                  <a:gd name="T49" fmla="*/ 219 h 437"/>
                                  <a:gd name="T50" fmla="*/ 850 w 1266"/>
                                  <a:gd name="T51" fmla="*/ 250 h 437"/>
                                  <a:gd name="T52" fmla="*/ 731 w 1266"/>
                                  <a:gd name="T53" fmla="*/ 250 h 437"/>
                                  <a:gd name="T54" fmla="*/ 791 w 1266"/>
                                  <a:gd name="T55" fmla="*/ 100 h 437"/>
                                  <a:gd name="T56" fmla="*/ 850 w 1266"/>
                                  <a:gd name="T57" fmla="*/ 25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266" h="437">
                                    <a:moveTo>
                                      <a:pt x="983" y="1"/>
                                    </a:moveTo>
                                    <a:cubicBezTo>
                                      <a:pt x="983" y="250"/>
                                      <a:pt x="983" y="250"/>
                                      <a:pt x="983" y="250"/>
                                    </a:cubicBezTo>
                                    <a:cubicBezTo>
                                      <a:pt x="879" y="0"/>
                                      <a:pt x="879" y="0"/>
                                      <a:pt x="879" y="0"/>
                                    </a:cubicBezTo>
                                    <a:cubicBezTo>
                                      <a:pt x="569" y="0"/>
                                      <a:pt x="569" y="0"/>
                                      <a:pt x="569" y="0"/>
                                    </a:cubicBezTo>
                                    <a:cubicBezTo>
                                      <a:pt x="569" y="279"/>
                                      <a:pt x="569" y="279"/>
                                      <a:pt x="569" y="279"/>
                                    </a:cubicBezTo>
                                    <a:cubicBezTo>
                                      <a:pt x="569" y="322"/>
                                      <a:pt x="536" y="350"/>
                                      <a:pt x="492" y="350"/>
                                    </a:cubicBezTo>
                                    <a:cubicBezTo>
                                      <a:pt x="448" y="350"/>
                                      <a:pt x="416" y="323"/>
                                      <a:pt x="416" y="279"/>
                                    </a:cubicBezTo>
                                    <a:cubicBezTo>
                                      <a:pt x="416" y="0"/>
                                      <a:pt x="416" y="0"/>
                                      <a:pt x="416" y="0"/>
                                    </a:cubicBezTo>
                                    <a:cubicBezTo>
                                      <a:pt x="0" y="0"/>
                                      <a:pt x="0" y="0"/>
                                      <a:pt x="0" y="0"/>
                                    </a:cubicBezTo>
                                    <a:cubicBezTo>
                                      <a:pt x="0" y="437"/>
                                      <a:pt x="0" y="437"/>
                                      <a:pt x="0" y="437"/>
                                    </a:cubicBezTo>
                                    <a:cubicBezTo>
                                      <a:pt x="657" y="437"/>
                                      <a:pt x="657" y="437"/>
                                      <a:pt x="657" y="437"/>
                                    </a:cubicBezTo>
                                    <a:cubicBezTo>
                                      <a:pt x="696" y="338"/>
                                      <a:pt x="696" y="338"/>
                                      <a:pt x="696" y="338"/>
                                    </a:cubicBezTo>
                                    <a:cubicBezTo>
                                      <a:pt x="885" y="338"/>
                                      <a:pt x="885" y="338"/>
                                      <a:pt x="885" y="338"/>
                                    </a:cubicBezTo>
                                    <a:cubicBezTo>
                                      <a:pt x="924" y="437"/>
                                      <a:pt x="924" y="437"/>
                                      <a:pt x="924" y="437"/>
                                    </a:cubicBezTo>
                                    <a:cubicBezTo>
                                      <a:pt x="1266" y="437"/>
                                      <a:pt x="1266" y="437"/>
                                      <a:pt x="1266" y="437"/>
                                    </a:cubicBezTo>
                                    <a:cubicBezTo>
                                      <a:pt x="1266" y="344"/>
                                      <a:pt x="1266" y="344"/>
                                      <a:pt x="1266" y="344"/>
                                    </a:cubicBezTo>
                                    <a:cubicBezTo>
                                      <a:pt x="1096" y="344"/>
                                      <a:pt x="1096" y="344"/>
                                      <a:pt x="1096" y="344"/>
                                    </a:cubicBezTo>
                                    <a:cubicBezTo>
                                      <a:pt x="1096" y="1"/>
                                      <a:pt x="1096" y="1"/>
                                      <a:pt x="1096" y="1"/>
                                    </a:cubicBezTo>
                                    <a:lnTo>
                                      <a:pt x="983" y="1"/>
                                    </a:lnTo>
                                    <a:close/>
                                    <a:moveTo>
                                      <a:pt x="298" y="219"/>
                                    </a:moveTo>
                                    <a:cubicBezTo>
                                      <a:pt x="298" y="285"/>
                                      <a:pt x="244" y="338"/>
                                      <a:pt x="178" y="338"/>
                                    </a:cubicBezTo>
                                    <a:cubicBezTo>
                                      <a:pt x="114" y="338"/>
                                      <a:pt x="114" y="338"/>
                                      <a:pt x="114" y="338"/>
                                    </a:cubicBezTo>
                                    <a:cubicBezTo>
                                      <a:pt x="114" y="100"/>
                                      <a:pt x="114" y="100"/>
                                      <a:pt x="114" y="100"/>
                                    </a:cubicBezTo>
                                    <a:cubicBezTo>
                                      <a:pt x="178" y="100"/>
                                      <a:pt x="178" y="100"/>
                                      <a:pt x="178" y="100"/>
                                    </a:cubicBezTo>
                                    <a:cubicBezTo>
                                      <a:pt x="244" y="100"/>
                                      <a:pt x="298" y="153"/>
                                      <a:pt x="298" y="219"/>
                                    </a:cubicBezTo>
                                    <a:moveTo>
                                      <a:pt x="850" y="250"/>
                                    </a:moveTo>
                                    <a:cubicBezTo>
                                      <a:pt x="731" y="250"/>
                                      <a:pt x="731" y="250"/>
                                      <a:pt x="731" y="250"/>
                                    </a:cubicBezTo>
                                    <a:cubicBezTo>
                                      <a:pt x="791" y="100"/>
                                      <a:pt x="791" y="100"/>
                                      <a:pt x="791" y="100"/>
                                    </a:cubicBezTo>
                                    <a:lnTo>
                                      <a:pt x="850" y="250"/>
                                    </a:lnTo>
                                    <a:close/>
                                  </a:path>
                                </a:pathLst>
                              </a:custGeom>
                              <a:solidFill>
                                <a:srgbClr val="3C0F11"/>
                              </a:solidFill>
                              <a:ln>
                                <a:solidFill>
                                  <a:srgbClr val="3C0F11"/>
                                </a:solidFill>
                              </a:ln>
                            </wps:spPr>
                            <wps:bodyPr vert="horz" wrap="square" lIns="91440" tIns="45720" rIns="91440" bIns="45720" numCol="1" anchor="t" anchorCtr="0" compatLnSpc="1">
                              <a:prstTxWarp prst="textNoShape">
                                <a:avLst/>
                              </a:prstTxWarp>
                            </wps:bodyPr>
                          </wps:wsp>
                        </a:graphicData>
                      </a:graphic>
                    </wp:inline>
                  </w:drawing>
                </mc:Choice>
                <mc:Fallback>
                  <w:pict>
                    <v:shape w14:anchorId="60E4B003" id="SHP_Logo" o:spid="_x0000_s1026" style="width:130.4pt;height:45.35pt;visibility:visible;mso-wrap-style:square;mso-left-percent:-10001;mso-top-percent:-10001;mso-position-horizontal:absolute;mso-position-horizontal-relative:char;mso-position-vertical:absolute;mso-position-vertical-relative:line;mso-left-percent:-10001;mso-top-percent:-10001;v-text-anchor:top" coordsize="126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" path="m983,1v,249,,249,,249c879,,879,,879,,569,,569,,569,v,279,,279,,279c569,322,536,350,492,350v-44,,-76,-27,-76,-71c416,,416,,416,,,,,,,,,437,,437,,437v657,,657,,657,c696,338,696,338,696,338v189,,189,,189,c924,437,924,437,924,437v342,,342,,342,c1266,344,1266,344,1266,344v-170,,-170,,-170,c1096,1,1096,1,1096,1l983,1xm298,219v,66,-54,119,-120,119c114,338,114,338,114,338v,-238,,-238,,-238c178,100,178,100,178,100v66,,120,53,120,119m850,250v-119,,-119,,-119,c791,100,791,100,791,100r59,150xe" fillcolor="#3c0f11" strokecolor="#3c0f11">
                      <v:path arrowok="t" o:connecttype="custom" o:connectlocs="1285820,1318;1285820,329519;1149782,0;744284,0;744284,367744;643564,461327;544152,367744;544152,0;0,0;0,576000;859393,576000;910408,445510;1157630,445510;1208645,576000;1656000,576000;1656000,453419;1433630,453419;1433630,1318;1285820,1318;389801,288659;232834,445510;149118,445510;149118,131808;232834,131808;389801,288659;1111848,329519;956190,329519;1034673,131808;1111848,329519" o:connectangles="0,0,0,0,0,0,0,0,0,0,0,0,0,0,0,0,0,0,0,0,0,0,0,0,0,0,0,0,0"/>
                      <o:lock v:ext="edit" aspectratio="t"/>
                      <w10:anchorlock/>
                    </v:shape>
                  </w:pict>
                </mc:Fallback>
              </mc:AlternateContent>
            </w:r>
          </w:p>
        </w:tc>
      </w:tr>
      <w:tr w:rsidR="00047621" w:rsidRPr="007C28E8" w14:paraId="663C69AA" w14:textId="77777777" w:rsidTr="00A61418">
        <w:tc>
          <w:tcPr>
            <w:tcW w:w="7654" w:type="dxa"/>
          </w:tcPr>
          <w:p w14:paraId="6E57855B" w14:textId="1AD424C5" w:rsidR="00047621" w:rsidRPr="007C28E8" w:rsidRDefault="005411FB" w:rsidP="00047621">
            <w:pPr>
              <w:pStyle w:val="CoverSubTitle"/>
              <w:rPr>
                <w:rFonts w:cstheme="minorHAnsi"/>
                <w:lang w:val="en-US"/>
              </w:rPr>
            </w:pPr>
            <w:r w:rsidRPr="007C28E8">
              <w:rPr>
                <w:rFonts w:cstheme="minorHAnsi"/>
                <w:lang w:val="en-US"/>
              </w:rPr>
              <w:t>Pojištění odpovědnosti manažerů</w:t>
            </w:r>
            <w:r w:rsidRPr="007C28E8">
              <w:rPr>
                <w:rFonts w:cstheme="minorHAnsi"/>
                <w:lang w:val="en-US"/>
              </w:rPr>
              <w:br/>
              <w:t>(</w:t>
            </w:r>
            <w:r w:rsidR="00047621" w:rsidRPr="007C28E8">
              <w:rPr>
                <w:rFonts w:cstheme="minorHAnsi"/>
                <w:lang w:val="en-US"/>
              </w:rPr>
              <w:t>Directors‘ &amp; Officers‘ Liability Insurance</w:t>
            </w:r>
            <w:r w:rsidRPr="007C28E8">
              <w:rPr>
                <w:rFonts w:cstheme="minorHAnsi"/>
                <w:lang w:val="en-US"/>
              </w:rPr>
              <w:t>)</w:t>
            </w:r>
          </w:p>
        </w:tc>
        <w:tc>
          <w:tcPr>
            <w:tcW w:w="227" w:type="dxa"/>
          </w:tcPr>
          <w:p w14:paraId="2EA3D6AA" w14:textId="77777777" w:rsidR="00047621" w:rsidRPr="007C28E8" w:rsidRDefault="00047621" w:rsidP="00047621">
            <w:pPr>
              <w:pStyle w:val="Bezmezer"/>
              <w:rPr>
                <w:rFonts w:cstheme="minorHAnsi"/>
                <w:lang w:val="en-US"/>
              </w:rPr>
            </w:pPr>
          </w:p>
        </w:tc>
        <w:tc>
          <w:tcPr>
            <w:tcW w:w="2892" w:type="dxa"/>
            <w:vMerge/>
          </w:tcPr>
          <w:p w14:paraId="5E6F1318" w14:textId="77777777" w:rsidR="00047621" w:rsidRPr="007C28E8" w:rsidRDefault="00047621" w:rsidP="00047621">
            <w:pPr>
              <w:pStyle w:val="Bezmezer"/>
              <w:rPr>
                <w:rFonts w:cstheme="minorHAnsi"/>
                <w:lang w:val="en-US"/>
              </w:rPr>
            </w:pPr>
          </w:p>
        </w:tc>
      </w:tr>
    </w:tbl>
    <w:p w14:paraId="722B896B" w14:textId="68FB9EDA" w:rsidR="00960A6D" w:rsidRPr="007C28E8" w:rsidRDefault="00960A6D" w:rsidP="0003074B">
      <w:pPr>
        <w:tabs>
          <w:tab w:val="left" w:pos="-567"/>
        </w:tabs>
        <w:spacing w:line="240" w:lineRule="auto"/>
        <w:ind w:left="-1276"/>
        <w:jc w:val="center"/>
        <w:rPr>
          <w:rFonts w:cs="Arial"/>
          <w:color w:val="000000"/>
          <w:szCs w:val="20"/>
        </w:rPr>
      </w:pPr>
      <w:bookmarkStart w:id="35" w:name="_Hlk1697881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7C28E8">
        <w:rPr>
          <w:rFonts w:cs="Arial"/>
          <w:color w:val="000000"/>
          <w:szCs w:val="20"/>
        </w:rPr>
        <w:t>Tato pojistná smlouva se uzavírá podle zákona č. 89/2012 Sb., občanský zákoník, v platném znění, a spolu s</w:t>
      </w:r>
      <w:r w:rsidR="00166690" w:rsidRPr="007C28E8">
        <w:rPr>
          <w:rFonts w:cs="Arial"/>
          <w:color w:val="000000"/>
          <w:szCs w:val="20"/>
        </w:rPr>
        <w:t> </w:t>
      </w:r>
      <w:r w:rsidRPr="007C28E8">
        <w:rPr>
          <w:rFonts w:cs="Arial"/>
          <w:color w:val="000000"/>
          <w:szCs w:val="20"/>
        </w:rPr>
        <w:t>pojistnými</w:t>
      </w:r>
      <w:r w:rsidR="00166690" w:rsidRPr="007C28E8">
        <w:rPr>
          <w:rFonts w:cs="Arial"/>
          <w:color w:val="000000"/>
          <w:szCs w:val="20"/>
        </w:rPr>
        <w:t>,</w:t>
      </w:r>
      <w:r w:rsidRPr="007C28E8">
        <w:rPr>
          <w:rFonts w:cs="Arial"/>
          <w:color w:val="000000"/>
          <w:szCs w:val="20"/>
        </w:rPr>
        <w:t xml:space="preserve"> podmínkami pojistitele a přílohami, na které se tato pojistná smlouva odvolává, tvoří nedílný celek.</w:t>
      </w:r>
    </w:p>
    <w:p w14:paraId="0B43D57F" w14:textId="77777777" w:rsidR="00960A6D" w:rsidRPr="007C28E8" w:rsidRDefault="00960A6D" w:rsidP="0003074B">
      <w:pPr>
        <w:tabs>
          <w:tab w:val="left" w:pos="-567"/>
        </w:tabs>
        <w:spacing w:after="240" w:line="240" w:lineRule="auto"/>
        <w:ind w:left="-1134"/>
        <w:jc w:val="center"/>
        <w:rPr>
          <w:rFonts w:ascii="Arial Narrow" w:hAnsi="Arial Narrow" w:cs="Arial"/>
          <w:bCs/>
          <w:i/>
          <w:szCs w:val="20"/>
        </w:rPr>
      </w:pPr>
      <w:r w:rsidRPr="007C28E8">
        <w:rPr>
          <w:rFonts w:ascii="Arial Narrow" w:hAnsi="Arial Narrow" w:cs="Arial"/>
          <w:bCs/>
          <w:i/>
          <w:szCs w:val="20"/>
        </w:rPr>
        <w:t xml:space="preserve">(This insurance policy is concluded according to law no. 89/2012 Coll., Civil code, as amended; and forms one document together with the insurance conditions of the Insurer and enclosures to this insurance policy as mentioned herein). </w:t>
      </w:r>
    </w:p>
    <w:tbl>
      <w:tblPr>
        <w:tblStyle w:val="DUALTable"/>
        <w:tblW w:w="5674" w:type="pct"/>
        <w:tblInd w:w="-1139" w:type="dxa"/>
        <w:tblBorders>
          <w:top w:val="none" w:sz="0" w:space="0" w:color="auto"/>
          <w:bottom w:val="none" w:sz="0" w:space="0" w:color="auto"/>
          <w:insideH w:val="none" w:sz="0" w:space="0" w:color="auto"/>
        </w:tblBorders>
        <w:tblLook w:val="0680" w:firstRow="0" w:lastRow="0" w:firstColumn="1" w:lastColumn="0" w:noHBand="1" w:noVBand="1"/>
      </w:tblPr>
      <w:tblGrid>
        <w:gridCol w:w="2909"/>
        <w:gridCol w:w="3185"/>
        <w:gridCol w:w="56"/>
        <w:gridCol w:w="3489"/>
      </w:tblGrid>
      <w:tr w:rsidR="00960A6D" w:rsidRPr="007C28E8" w14:paraId="45451B26" w14:textId="77777777" w:rsidTr="001575C0">
        <w:trPr>
          <w:trHeight w:val="483"/>
        </w:trPr>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446213EC" w14:textId="77777777" w:rsidR="00960A6D" w:rsidRPr="007C28E8" w:rsidRDefault="00960A6D" w:rsidP="001575C0">
            <w:pPr>
              <w:pStyle w:val="TableTextLeft"/>
              <w:ind w:left="0" w:right="281"/>
              <w:jc w:val="left"/>
              <w:rPr>
                <w:rFonts w:cs="Arial"/>
                <w:b w:val="0"/>
                <w:bCs/>
              </w:rPr>
            </w:pPr>
            <w:r w:rsidRPr="007C28E8">
              <w:rPr>
                <w:rFonts w:cs="Arial"/>
                <w:bCs/>
              </w:rPr>
              <w:t>Číslo pojistné smlouvy</w:t>
            </w:r>
          </w:p>
          <w:p w14:paraId="01A313B7" w14:textId="77777777" w:rsidR="00960A6D" w:rsidRPr="007C28E8" w:rsidRDefault="00960A6D" w:rsidP="001575C0">
            <w:pPr>
              <w:pStyle w:val="TableTextLeft"/>
              <w:ind w:left="0" w:right="281"/>
              <w:jc w:val="left"/>
              <w:rPr>
                <w:rFonts w:cs="Arial"/>
                <w:b w:val="0"/>
                <w:bCs/>
                <w:i/>
                <w:iCs/>
              </w:rPr>
            </w:pPr>
            <w:r w:rsidRPr="007C28E8">
              <w:rPr>
                <w:rFonts w:cs="Arial"/>
                <w:b w:val="0"/>
                <w:bCs/>
                <w:i/>
                <w:iCs/>
              </w:rPr>
              <w:t>Insurance policy number</w:t>
            </w:r>
          </w:p>
        </w:tc>
        <w:tc>
          <w:tcPr>
            <w:tcW w:w="3491" w:type="pct"/>
            <w:gridSpan w:val="3"/>
            <w:tcBorders>
              <w:top w:val="single" w:sz="4" w:space="0" w:color="3C0F11"/>
              <w:left w:val="single" w:sz="4" w:space="0" w:color="3C0F11"/>
              <w:bottom w:val="single" w:sz="4" w:space="0" w:color="3C0F11"/>
              <w:right w:val="single" w:sz="4" w:space="0" w:color="3C0F11"/>
            </w:tcBorders>
          </w:tcPr>
          <w:p w14:paraId="6837F1D3" w14:textId="65B68D82" w:rsidR="00960A6D" w:rsidRPr="007C28E8" w:rsidRDefault="00960A6D" w:rsidP="00220999">
            <w:pPr>
              <w:pStyle w:val="sloSmlouvy"/>
              <w:cnfStyle w:val="000000000000" w:firstRow="0" w:lastRow="0" w:firstColumn="0" w:lastColumn="0" w:oddVBand="0" w:evenVBand="0" w:oddHBand="0" w:evenHBand="0" w:firstRowFirstColumn="0" w:firstRowLastColumn="0" w:lastRowFirstColumn="0" w:lastRowLastColumn="0"/>
            </w:pPr>
            <w:r w:rsidRPr="007C28E8">
              <w:t>DD</w:t>
            </w:r>
            <w:r w:rsidR="009B234E" w:rsidRPr="007C28E8">
              <w:t>1004220</w:t>
            </w:r>
          </w:p>
        </w:tc>
      </w:tr>
      <w:tr w:rsidR="00960A6D" w:rsidRPr="007C28E8" w14:paraId="7E07DADF" w14:textId="77777777" w:rsidTr="001575C0">
        <w:trPr>
          <w:trHeight w:val="483"/>
        </w:trPr>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072F4A8A" w14:textId="77777777" w:rsidR="00960A6D" w:rsidRPr="007C28E8" w:rsidRDefault="00960A6D" w:rsidP="001575C0">
            <w:pPr>
              <w:pStyle w:val="TableTextLeft"/>
              <w:ind w:left="0" w:right="281"/>
              <w:jc w:val="left"/>
              <w:rPr>
                <w:rFonts w:cs="Arial"/>
                <w:b w:val="0"/>
                <w:bCs/>
              </w:rPr>
            </w:pPr>
            <w:r w:rsidRPr="007C28E8">
              <w:rPr>
                <w:rFonts w:cs="Arial"/>
                <w:bCs/>
              </w:rPr>
              <w:t>Pojistník</w:t>
            </w:r>
          </w:p>
          <w:p w14:paraId="3C4B396B" w14:textId="77777777" w:rsidR="00960A6D" w:rsidRPr="007C28E8" w:rsidRDefault="00960A6D" w:rsidP="001575C0">
            <w:pPr>
              <w:pStyle w:val="TableTextLeft"/>
              <w:ind w:left="0" w:right="281"/>
              <w:jc w:val="left"/>
              <w:rPr>
                <w:rFonts w:cs="Arial"/>
                <w:b w:val="0"/>
                <w:bCs/>
                <w:i/>
                <w:iCs/>
              </w:rPr>
            </w:pPr>
            <w:r w:rsidRPr="007C28E8">
              <w:rPr>
                <w:rFonts w:cs="Arial"/>
                <w:b w:val="0"/>
                <w:bCs/>
                <w:i/>
                <w:iCs/>
              </w:rPr>
              <w:t>Policyholder</w:t>
            </w:r>
          </w:p>
        </w:tc>
        <w:tc>
          <w:tcPr>
            <w:tcW w:w="3491" w:type="pct"/>
            <w:gridSpan w:val="3"/>
            <w:tcBorders>
              <w:top w:val="single" w:sz="4" w:space="0" w:color="3C0F11"/>
              <w:left w:val="single" w:sz="4" w:space="0" w:color="3C0F11"/>
              <w:bottom w:val="single" w:sz="4" w:space="0" w:color="3C0F11"/>
              <w:right w:val="single" w:sz="4" w:space="0" w:color="3C0F11"/>
            </w:tcBorders>
          </w:tcPr>
          <w:p w14:paraId="2095DB4C" w14:textId="77777777" w:rsidR="009B234E" w:rsidRPr="007C28E8" w:rsidRDefault="009B234E" w:rsidP="009B234E">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Západočeská univerzita v Plzni</w:t>
            </w:r>
          </w:p>
          <w:p w14:paraId="300AB1B3" w14:textId="77777777" w:rsidR="009B234E" w:rsidRPr="007C28E8" w:rsidRDefault="009B234E" w:rsidP="009B234E">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Univerzitní 2732/8, 301 00 Plzeň</w:t>
            </w:r>
          </w:p>
          <w:p w14:paraId="1980D213" w14:textId="3C0BAF7B" w:rsidR="00960A6D" w:rsidRPr="007C28E8" w:rsidRDefault="00960A6D" w:rsidP="009B234E">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IČ </w:t>
            </w:r>
            <w:r w:rsidRPr="007C28E8">
              <w:rPr>
                <w:rFonts w:cs="Arial"/>
                <w:i/>
                <w:iCs/>
              </w:rPr>
              <w:t>(ID)</w:t>
            </w:r>
            <w:r w:rsidRPr="007C28E8">
              <w:rPr>
                <w:rFonts w:cs="Arial"/>
              </w:rPr>
              <w:t xml:space="preserve">: </w:t>
            </w:r>
            <w:r w:rsidR="009B234E" w:rsidRPr="007C28E8">
              <w:rPr>
                <w:rFonts w:cs="Arial"/>
              </w:rPr>
              <w:t>497 77 513</w:t>
            </w:r>
          </w:p>
        </w:tc>
      </w:tr>
      <w:tr w:rsidR="00960A6D" w:rsidRPr="007C28E8" w14:paraId="218AF7AD"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0E649127" w14:textId="77777777" w:rsidR="00960A6D" w:rsidRPr="007C28E8" w:rsidRDefault="00960A6D" w:rsidP="001575C0">
            <w:pPr>
              <w:pStyle w:val="TableTextLeft"/>
              <w:ind w:left="0" w:right="281"/>
              <w:jc w:val="left"/>
              <w:rPr>
                <w:rFonts w:cs="Arial"/>
                <w:b w:val="0"/>
                <w:bCs/>
              </w:rPr>
            </w:pPr>
            <w:r w:rsidRPr="007C28E8">
              <w:rPr>
                <w:rFonts w:cs="Arial"/>
                <w:bCs/>
              </w:rPr>
              <w:t>Další pojištění</w:t>
            </w:r>
          </w:p>
          <w:p w14:paraId="43214DA0" w14:textId="77777777" w:rsidR="00960A6D" w:rsidRPr="007C28E8" w:rsidRDefault="00960A6D" w:rsidP="001575C0">
            <w:pPr>
              <w:pStyle w:val="TableTextLeft"/>
              <w:ind w:left="0" w:right="281"/>
              <w:jc w:val="left"/>
              <w:rPr>
                <w:rFonts w:cs="Arial"/>
                <w:b w:val="0"/>
                <w:bCs/>
                <w:i/>
                <w:iCs/>
              </w:rPr>
            </w:pPr>
            <w:r w:rsidRPr="007C28E8">
              <w:rPr>
                <w:rFonts w:cs="Arial"/>
                <w:b w:val="0"/>
                <w:bCs/>
                <w:i/>
                <w:iCs/>
              </w:rPr>
              <w:t>Additional Insured</w:t>
            </w:r>
          </w:p>
        </w:tc>
        <w:tc>
          <w:tcPr>
            <w:tcW w:w="3491" w:type="pct"/>
            <w:gridSpan w:val="3"/>
            <w:tcBorders>
              <w:top w:val="single" w:sz="4" w:space="0" w:color="3C0F11"/>
              <w:left w:val="single" w:sz="4" w:space="0" w:color="3C0F11"/>
              <w:bottom w:val="single" w:sz="4" w:space="0" w:color="3C0F11"/>
              <w:right w:val="single" w:sz="4" w:space="0" w:color="3C0F11"/>
            </w:tcBorders>
          </w:tcPr>
          <w:p w14:paraId="2ADAA8D0" w14:textId="29D7F267" w:rsidR="00960A6D" w:rsidRPr="007C28E8" w:rsidRDefault="00BE7F72"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rPr>
              <w:t>-</w:t>
            </w:r>
          </w:p>
        </w:tc>
      </w:tr>
      <w:tr w:rsidR="00960A6D" w:rsidRPr="007C28E8" w14:paraId="65453BC0"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6B4C5F98" w14:textId="77777777" w:rsidR="00960A6D" w:rsidRPr="007C28E8" w:rsidRDefault="00960A6D" w:rsidP="001575C0">
            <w:pPr>
              <w:pStyle w:val="TableTextLeft"/>
              <w:ind w:left="0" w:right="281"/>
              <w:jc w:val="left"/>
              <w:rPr>
                <w:rFonts w:cs="Arial"/>
                <w:b w:val="0"/>
                <w:bCs/>
              </w:rPr>
            </w:pPr>
            <w:r w:rsidRPr="007C28E8">
              <w:rPr>
                <w:rFonts w:cs="Arial"/>
                <w:bCs/>
              </w:rPr>
              <w:t>Pojistitel(é)</w:t>
            </w:r>
          </w:p>
          <w:p w14:paraId="6BFC2973" w14:textId="77777777" w:rsidR="00960A6D" w:rsidRPr="007C28E8" w:rsidRDefault="00960A6D" w:rsidP="001575C0">
            <w:pPr>
              <w:pStyle w:val="TableTextLeft"/>
              <w:ind w:left="0" w:right="281"/>
              <w:jc w:val="left"/>
              <w:rPr>
                <w:rFonts w:cs="Arial"/>
                <w:b w:val="0"/>
                <w:bCs/>
                <w:i/>
                <w:iCs/>
              </w:rPr>
            </w:pPr>
            <w:r w:rsidRPr="007C28E8">
              <w:rPr>
                <w:rFonts w:cs="Arial"/>
                <w:b w:val="0"/>
                <w:bCs/>
                <w:i/>
                <w:iCs/>
              </w:rPr>
              <w:t>Insurer(s)</w:t>
            </w:r>
          </w:p>
        </w:tc>
        <w:tc>
          <w:tcPr>
            <w:tcW w:w="3491" w:type="pct"/>
            <w:gridSpan w:val="3"/>
            <w:tcBorders>
              <w:top w:val="single" w:sz="4" w:space="0" w:color="3C0F11"/>
              <w:left w:val="single" w:sz="4" w:space="0" w:color="3C0F11"/>
              <w:bottom w:val="single" w:sz="4" w:space="0" w:color="3C0F11"/>
              <w:right w:val="single" w:sz="4" w:space="0" w:color="3C0F11"/>
            </w:tcBorders>
          </w:tcPr>
          <w:p w14:paraId="43CF1BE2" w14:textId="7EAB27A2" w:rsidR="00960A6D" w:rsidRPr="007C28E8" w:rsidRDefault="00280E88"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VHV Allgemeine Versicherung AG, podíl 100 %</w:t>
            </w:r>
            <w:r w:rsidR="00166690" w:rsidRPr="007C28E8">
              <w:rPr>
                <w:rFonts w:cs="Arial"/>
              </w:rPr>
              <w:t>,</w:t>
            </w:r>
            <w:r w:rsidRPr="007C28E8">
              <w:rPr>
                <w:rFonts w:cs="Arial"/>
              </w:rPr>
              <w:t xml:space="preserve"> zastoupena prostřednictvím                   </w:t>
            </w:r>
            <w:r w:rsidR="00960A6D" w:rsidRPr="007C28E8">
              <w:rPr>
                <w:rFonts w:cs="Arial"/>
              </w:rPr>
              <w:t>DUAL Deutschland GmbH</w:t>
            </w:r>
          </w:p>
          <w:p w14:paraId="1D2D132C" w14:textId="53402E67" w:rsidR="00960A6D" w:rsidRPr="007C28E8" w:rsidRDefault="00280E88"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highlight w:val="yellow"/>
              </w:rPr>
            </w:pPr>
            <w:r w:rsidRPr="007C28E8">
              <w:rPr>
                <w:rFonts w:cs="Arial"/>
                <w:i/>
                <w:iCs/>
              </w:rPr>
              <w:t>VHV Allgemeine Versicherung AG</w:t>
            </w:r>
            <w:r w:rsidR="00463D60" w:rsidRPr="007C28E8">
              <w:rPr>
                <w:rFonts w:cs="Arial"/>
                <w:i/>
                <w:iCs/>
              </w:rPr>
              <w:t>, at a proportion of 100 %,</w:t>
            </w:r>
            <w:r w:rsidRPr="007C28E8">
              <w:rPr>
                <w:rFonts w:cs="Arial"/>
                <w:i/>
                <w:iCs/>
              </w:rPr>
              <w:t xml:space="preserve"> </w:t>
            </w:r>
            <w:r w:rsidR="00463D60" w:rsidRPr="007C28E8">
              <w:rPr>
                <w:rFonts w:cs="Arial"/>
                <w:i/>
                <w:iCs/>
              </w:rPr>
              <w:t xml:space="preserve">represented by </w:t>
            </w:r>
            <w:r w:rsidR="00960A6D" w:rsidRPr="007C28E8">
              <w:rPr>
                <w:rFonts w:cs="Arial"/>
                <w:i/>
                <w:iCs/>
              </w:rPr>
              <w:t>DUAL Deutschland GmbH</w:t>
            </w:r>
          </w:p>
        </w:tc>
      </w:tr>
      <w:tr w:rsidR="00960A6D" w:rsidRPr="007C28E8" w14:paraId="25EFE913"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2C121A81" w14:textId="77777777" w:rsidR="00960A6D" w:rsidRPr="007C28E8" w:rsidRDefault="00960A6D" w:rsidP="001575C0">
            <w:pPr>
              <w:pStyle w:val="TableTextLeft"/>
              <w:ind w:left="0" w:right="281"/>
              <w:jc w:val="left"/>
              <w:rPr>
                <w:rFonts w:cs="Arial"/>
                <w:b w:val="0"/>
                <w:bCs/>
              </w:rPr>
            </w:pPr>
            <w:r w:rsidRPr="007C28E8">
              <w:rPr>
                <w:rFonts w:cs="Arial"/>
                <w:bCs/>
              </w:rPr>
              <w:t>Zplnomocněný makléř</w:t>
            </w:r>
          </w:p>
          <w:p w14:paraId="4D8F93F7" w14:textId="77777777" w:rsidR="00960A6D" w:rsidRPr="007C28E8" w:rsidRDefault="00960A6D" w:rsidP="001575C0">
            <w:pPr>
              <w:pStyle w:val="TableTextLeft"/>
              <w:ind w:left="0" w:right="281"/>
              <w:jc w:val="left"/>
              <w:rPr>
                <w:rFonts w:cs="Arial"/>
                <w:bCs/>
              </w:rPr>
            </w:pPr>
            <w:r w:rsidRPr="007C28E8">
              <w:rPr>
                <w:rFonts w:cs="Arial"/>
                <w:b w:val="0"/>
                <w:i/>
                <w:iCs/>
              </w:rPr>
              <w:t>Appointed Broker</w:t>
            </w:r>
          </w:p>
        </w:tc>
        <w:tc>
          <w:tcPr>
            <w:tcW w:w="3491" w:type="pct"/>
            <w:gridSpan w:val="3"/>
            <w:tcBorders>
              <w:top w:val="single" w:sz="4" w:space="0" w:color="3C0F11"/>
              <w:left w:val="single" w:sz="4" w:space="0" w:color="3C0F11"/>
              <w:bottom w:val="single" w:sz="4" w:space="0" w:color="3C0F11"/>
              <w:right w:val="single" w:sz="4" w:space="0" w:color="3C0F11"/>
            </w:tcBorders>
          </w:tcPr>
          <w:p w14:paraId="701A89FF" w14:textId="77777777" w:rsidR="009B234E" w:rsidRPr="007C28E8" w:rsidRDefault="009B234E" w:rsidP="009B234E">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OK GROUP a.s.</w:t>
            </w:r>
          </w:p>
          <w:p w14:paraId="74C84CC9" w14:textId="452CEB34" w:rsidR="00960A6D" w:rsidRPr="007C28E8" w:rsidRDefault="009B234E" w:rsidP="009B234E">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Mánesova 3014/16, 612 00 Brno – Královo Pole</w:t>
            </w:r>
          </w:p>
          <w:p w14:paraId="4336BCA5" w14:textId="484A0285"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IČ </w:t>
            </w:r>
            <w:r w:rsidRPr="007C28E8">
              <w:rPr>
                <w:rFonts w:cs="Arial"/>
                <w:i/>
                <w:iCs/>
              </w:rPr>
              <w:t>(ID)</w:t>
            </w:r>
            <w:r w:rsidRPr="007C28E8">
              <w:rPr>
                <w:rFonts w:cs="Arial"/>
              </w:rPr>
              <w:t>:</w:t>
            </w:r>
            <w:r w:rsidR="009B234E" w:rsidRPr="007C28E8">
              <w:rPr>
                <w:rFonts w:cs="Arial"/>
              </w:rPr>
              <w:t xml:space="preserve"> 255 61 804</w:t>
            </w:r>
          </w:p>
        </w:tc>
      </w:tr>
      <w:tr w:rsidR="00960A6D" w:rsidRPr="007C28E8" w14:paraId="0686B353"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7FCD3D4A" w14:textId="77777777" w:rsidR="00960A6D" w:rsidRPr="007C28E8" w:rsidRDefault="00960A6D" w:rsidP="001575C0">
            <w:pPr>
              <w:pStyle w:val="TableTextLeft"/>
              <w:ind w:left="0" w:right="281"/>
              <w:jc w:val="left"/>
              <w:rPr>
                <w:rFonts w:cs="Arial"/>
                <w:b w:val="0"/>
                <w:bCs/>
              </w:rPr>
            </w:pPr>
            <w:r w:rsidRPr="007C28E8">
              <w:rPr>
                <w:rFonts w:cs="Arial"/>
                <w:bCs/>
              </w:rPr>
              <w:t>Druh pojištění</w:t>
            </w:r>
          </w:p>
          <w:p w14:paraId="7FB53358" w14:textId="77777777" w:rsidR="00960A6D" w:rsidRPr="007C28E8" w:rsidRDefault="00960A6D" w:rsidP="001575C0">
            <w:pPr>
              <w:pStyle w:val="TableTextLeft"/>
              <w:ind w:left="0" w:right="281"/>
              <w:jc w:val="left"/>
              <w:rPr>
                <w:rFonts w:cs="Arial"/>
                <w:b w:val="0"/>
                <w:bCs/>
                <w:i/>
                <w:iCs/>
              </w:rPr>
            </w:pPr>
            <w:r w:rsidRPr="007C28E8">
              <w:rPr>
                <w:rFonts w:cs="Arial"/>
                <w:b w:val="0"/>
                <w:bCs/>
                <w:i/>
                <w:iCs/>
              </w:rPr>
              <w:t>Cover Type</w:t>
            </w:r>
          </w:p>
        </w:tc>
        <w:tc>
          <w:tcPr>
            <w:tcW w:w="3491" w:type="pct"/>
            <w:gridSpan w:val="3"/>
            <w:tcBorders>
              <w:top w:val="single" w:sz="4" w:space="0" w:color="3C0F11"/>
              <w:left w:val="single" w:sz="4" w:space="0" w:color="3C0F11"/>
              <w:bottom w:val="single" w:sz="4" w:space="0" w:color="3C0F11"/>
              <w:right w:val="single" w:sz="4" w:space="0" w:color="3C0F11"/>
            </w:tcBorders>
          </w:tcPr>
          <w:p w14:paraId="657FB3B9" w14:textId="77777777" w:rsidR="00960A6D" w:rsidRPr="007C28E8" w:rsidRDefault="00960A6D" w:rsidP="001B4C80">
            <w:pPr>
              <w:pStyle w:val="TableTextLeft"/>
              <w:spacing w:after="120"/>
              <w:ind w:left="0" w:right="284"/>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Pojištění odpovědnosti manažerů (D&amp;O), vč. rozšiřujícího ujednání Odpovědnost společnosti v souvislosti s cennými papíry (čl. 2.18)</w:t>
            </w:r>
          </w:p>
          <w:p w14:paraId="6F1EAAAD"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Directors' and Officers' liability insurance (D&amp;O), incl. Company Securities Liability Extension (art. 2.18)</w:t>
            </w:r>
          </w:p>
        </w:tc>
      </w:tr>
      <w:tr w:rsidR="00960A6D" w:rsidRPr="007C28E8" w14:paraId="13C1497E"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789A3005" w14:textId="77777777" w:rsidR="00960A6D" w:rsidRPr="007C28E8" w:rsidRDefault="00960A6D" w:rsidP="001575C0">
            <w:pPr>
              <w:pStyle w:val="TableTextLeft"/>
              <w:ind w:left="0" w:right="281"/>
              <w:jc w:val="left"/>
              <w:rPr>
                <w:rFonts w:cs="Arial"/>
                <w:b w:val="0"/>
                <w:bCs/>
              </w:rPr>
            </w:pPr>
            <w:r w:rsidRPr="007C28E8">
              <w:rPr>
                <w:rFonts w:cs="Arial"/>
                <w:bCs/>
              </w:rPr>
              <w:t>Pojistné období</w:t>
            </w:r>
          </w:p>
          <w:p w14:paraId="4E312AD9" w14:textId="77777777" w:rsidR="00960A6D" w:rsidRPr="007C28E8" w:rsidRDefault="00960A6D" w:rsidP="001575C0">
            <w:pPr>
              <w:pStyle w:val="TableTextLeft"/>
              <w:ind w:left="0" w:right="281"/>
              <w:jc w:val="left"/>
              <w:rPr>
                <w:rFonts w:cs="Arial"/>
                <w:b w:val="0"/>
                <w:bCs/>
                <w:i/>
                <w:iCs/>
              </w:rPr>
            </w:pPr>
            <w:r w:rsidRPr="007C28E8">
              <w:rPr>
                <w:rFonts w:cs="Arial"/>
                <w:b w:val="0"/>
                <w:bCs/>
                <w:i/>
                <w:iCs/>
              </w:rPr>
              <w:t>Policy Period</w:t>
            </w:r>
          </w:p>
        </w:tc>
        <w:tc>
          <w:tcPr>
            <w:tcW w:w="3491" w:type="pct"/>
            <w:gridSpan w:val="3"/>
            <w:tcBorders>
              <w:top w:val="single" w:sz="4" w:space="0" w:color="3C0F11"/>
              <w:left w:val="single" w:sz="4" w:space="0" w:color="3C0F11"/>
              <w:bottom w:val="single" w:sz="4" w:space="0" w:color="3C0F11"/>
              <w:right w:val="single" w:sz="4" w:space="0" w:color="3C0F11"/>
            </w:tcBorders>
          </w:tcPr>
          <w:p w14:paraId="4F45AA90" w14:textId="02424CF0" w:rsidR="00960A6D" w:rsidRPr="007C28E8" w:rsidRDefault="00960A6D" w:rsidP="001575C0">
            <w:pPr>
              <w:pStyle w:val="TableTextLeft"/>
              <w:ind w:left="0"/>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Počátek pojištění   </w:t>
            </w:r>
            <w:r w:rsidR="009B234E" w:rsidRPr="007C28E8">
              <w:rPr>
                <w:rFonts w:cs="Arial"/>
              </w:rPr>
              <w:t>01.09.202</w:t>
            </w:r>
            <w:r w:rsidR="00A25B7A" w:rsidRPr="007C28E8">
              <w:rPr>
                <w:rFonts w:cs="Arial"/>
              </w:rPr>
              <w:t>6</w:t>
            </w:r>
            <w:r w:rsidRPr="007C28E8">
              <w:rPr>
                <w:rFonts w:cs="Arial"/>
              </w:rPr>
              <w:t xml:space="preserve"> 00:00   Konec pojištění   </w:t>
            </w:r>
            <w:r w:rsidR="009B234E" w:rsidRPr="007C28E8">
              <w:rPr>
                <w:rFonts w:cs="Arial"/>
              </w:rPr>
              <w:t>31.08.202</w:t>
            </w:r>
            <w:r w:rsidR="00A25B7A" w:rsidRPr="007C28E8">
              <w:rPr>
                <w:rFonts w:cs="Arial"/>
              </w:rPr>
              <w:t>7</w:t>
            </w:r>
            <w:r w:rsidRPr="007C28E8">
              <w:rPr>
                <w:rFonts w:cs="Arial"/>
              </w:rPr>
              <w:t xml:space="preserve"> 24:00</w:t>
            </w:r>
          </w:p>
          <w:p w14:paraId="3EAD271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Inception date                                       Expiry date </w:t>
            </w:r>
          </w:p>
        </w:tc>
      </w:tr>
      <w:tr w:rsidR="00960A6D" w:rsidRPr="007C28E8" w14:paraId="5240BBD4" w14:textId="77777777" w:rsidTr="001575C0">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3C0F11"/>
              <w:bottom w:val="single" w:sz="4" w:space="0" w:color="3C0F11"/>
            </w:tcBorders>
          </w:tcPr>
          <w:p w14:paraId="792D19B9" w14:textId="77777777" w:rsidR="00960A6D" w:rsidRPr="007C28E8" w:rsidRDefault="00960A6D" w:rsidP="001575C0">
            <w:pPr>
              <w:pStyle w:val="TableTextLeft"/>
              <w:ind w:right="281"/>
              <w:jc w:val="left"/>
              <w:rPr>
                <w:rFonts w:cs="Arial"/>
                <w:color w:val="3C0F11" w:themeColor="accent1"/>
              </w:rPr>
            </w:pPr>
          </w:p>
        </w:tc>
      </w:tr>
      <w:tr w:rsidR="00960A6D" w:rsidRPr="007C28E8" w14:paraId="3EFC06FE"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187283F8" w14:textId="77777777" w:rsidR="00960A6D" w:rsidRPr="007C28E8" w:rsidRDefault="00960A6D" w:rsidP="001575C0">
            <w:pPr>
              <w:pStyle w:val="TableTextLeft"/>
              <w:ind w:left="0" w:right="281"/>
              <w:jc w:val="left"/>
              <w:rPr>
                <w:rFonts w:cs="Arial"/>
                <w:b w:val="0"/>
                <w:bCs/>
              </w:rPr>
            </w:pPr>
            <w:r w:rsidRPr="007C28E8">
              <w:rPr>
                <w:rFonts w:cs="Arial"/>
                <w:bCs/>
              </w:rPr>
              <w:t>Limit pojistného plnění</w:t>
            </w:r>
          </w:p>
          <w:p w14:paraId="7C3D6D4C" w14:textId="77777777" w:rsidR="00960A6D" w:rsidRPr="007C28E8" w:rsidRDefault="00960A6D" w:rsidP="001575C0">
            <w:pPr>
              <w:pStyle w:val="TableTextLeft"/>
              <w:ind w:left="0" w:right="281"/>
              <w:jc w:val="left"/>
              <w:rPr>
                <w:rFonts w:cs="Arial"/>
                <w:b w:val="0"/>
                <w:bCs/>
                <w:i/>
                <w:iCs/>
              </w:rPr>
            </w:pPr>
            <w:r w:rsidRPr="007C28E8">
              <w:rPr>
                <w:rFonts w:cs="Arial"/>
                <w:b w:val="0"/>
                <w:bCs/>
                <w:i/>
                <w:iCs/>
              </w:rPr>
              <w:t>Limit of Liability</w:t>
            </w:r>
          </w:p>
        </w:tc>
        <w:tc>
          <w:tcPr>
            <w:tcW w:w="1681" w:type="pct"/>
            <w:gridSpan w:val="2"/>
            <w:tcBorders>
              <w:top w:val="single" w:sz="4" w:space="0" w:color="3C0F11"/>
              <w:left w:val="single" w:sz="4" w:space="0" w:color="3C0F11"/>
              <w:bottom w:val="single" w:sz="4" w:space="0" w:color="3C0F11"/>
              <w:right w:val="single" w:sz="4" w:space="0" w:color="3C0F11"/>
            </w:tcBorders>
          </w:tcPr>
          <w:p w14:paraId="5B970341" w14:textId="64CABF43" w:rsidR="00960A6D" w:rsidRPr="007C28E8" w:rsidRDefault="00BE7F72"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50</w:t>
            </w:r>
            <w:r w:rsidR="00960A6D" w:rsidRPr="007C28E8">
              <w:rPr>
                <w:rFonts w:cs="Arial"/>
              </w:rPr>
              <w:t>.000.000</w:t>
            </w:r>
            <w:r w:rsidRPr="007C28E8">
              <w:rPr>
                <w:rFonts w:cs="Arial"/>
              </w:rPr>
              <w:t xml:space="preserve"> Kč</w:t>
            </w:r>
          </w:p>
        </w:tc>
        <w:tc>
          <w:tcPr>
            <w:tcW w:w="1810" w:type="pct"/>
            <w:tcBorders>
              <w:top w:val="single" w:sz="4" w:space="0" w:color="3C0F11"/>
              <w:left w:val="single" w:sz="4" w:space="0" w:color="3C0F11"/>
              <w:bottom w:val="single" w:sz="4" w:space="0" w:color="3C0F11"/>
              <w:right w:val="single" w:sz="4" w:space="0" w:color="3C0F11"/>
            </w:tcBorders>
          </w:tcPr>
          <w:p w14:paraId="4B64BE30"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Na jednu a všechny pojistné události </w:t>
            </w:r>
          </w:p>
          <w:p w14:paraId="72E10EA7"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Any one claim and in the aggregate</w:t>
            </w:r>
          </w:p>
        </w:tc>
      </w:tr>
      <w:tr w:rsidR="00960A6D" w:rsidRPr="007C28E8" w14:paraId="427D1FD4" w14:textId="77777777" w:rsidTr="001575C0">
        <w:trPr>
          <w:trHeight w:val="940"/>
        </w:trPr>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65A50E85" w14:textId="77777777" w:rsidR="00960A6D" w:rsidRPr="007C28E8" w:rsidRDefault="00960A6D" w:rsidP="001575C0">
            <w:pPr>
              <w:pStyle w:val="TableTextLeft"/>
              <w:ind w:left="0" w:right="281"/>
              <w:jc w:val="left"/>
              <w:rPr>
                <w:rFonts w:cs="Arial"/>
                <w:b w:val="0"/>
                <w:bCs/>
              </w:rPr>
            </w:pPr>
            <w:r w:rsidRPr="007C28E8">
              <w:rPr>
                <w:rFonts w:cs="Arial"/>
                <w:bCs/>
              </w:rPr>
              <w:t>Roční pojistné</w:t>
            </w:r>
          </w:p>
          <w:p w14:paraId="082AF2C4" w14:textId="77777777" w:rsidR="00960A6D" w:rsidRPr="007C28E8" w:rsidRDefault="00960A6D" w:rsidP="001575C0">
            <w:pPr>
              <w:pStyle w:val="TableTextLeft"/>
              <w:ind w:left="0" w:right="281"/>
              <w:jc w:val="left"/>
              <w:rPr>
                <w:rFonts w:cs="Arial"/>
                <w:b w:val="0"/>
                <w:bCs/>
                <w:i/>
                <w:iCs/>
              </w:rPr>
            </w:pPr>
            <w:r w:rsidRPr="007C28E8">
              <w:rPr>
                <w:rFonts w:cs="Arial"/>
                <w:b w:val="0"/>
                <w:bCs/>
                <w:i/>
                <w:iCs/>
              </w:rPr>
              <w:t xml:space="preserve">Annual premium </w:t>
            </w:r>
          </w:p>
        </w:tc>
        <w:tc>
          <w:tcPr>
            <w:tcW w:w="1681" w:type="pct"/>
            <w:gridSpan w:val="2"/>
            <w:tcBorders>
              <w:top w:val="single" w:sz="4" w:space="0" w:color="3C0F11"/>
              <w:left w:val="single" w:sz="4" w:space="0" w:color="3C0F11"/>
              <w:bottom w:val="single" w:sz="4" w:space="0" w:color="3C0F11"/>
              <w:right w:val="single" w:sz="4" w:space="0" w:color="3C0F11"/>
            </w:tcBorders>
          </w:tcPr>
          <w:p w14:paraId="72AFF2A3" w14:textId="773A20D9" w:rsidR="00960A6D" w:rsidRPr="007C28E8" w:rsidRDefault="005C07B5"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szCs w:val="20"/>
              </w:rPr>
            </w:pPr>
            <w:r w:rsidRPr="007C28E8">
              <w:rPr>
                <w:rFonts w:cs="Arial"/>
                <w:szCs w:val="20"/>
              </w:rPr>
              <w:t>79.600 Kč</w:t>
            </w:r>
          </w:p>
        </w:tc>
        <w:tc>
          <w:tcPr>
            <w:tcW w:w="1810" w:type="pct"/>
            <w:tcBorders>
              <w:top w:val="single" w:sz="4" w:space="0" w:color="3C0F11"/>
              <w:left w:val="single" w:sz="4" w:space="0" w:color="3C0F11"/>
              <w:bottom w:val="single" w:sz="4" w:space="0" w:color="3C0F11"/>
              <w:right w:val="single" w:sz="4" w:space="0" w:color="3C0F11"/>
            </w:tcBorders>
          </w:tcPr>
          <w:p w14:paraId="62FC423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Včetně provize, bez dalších poplatků a pojistných daní</w:t>
            </w:r>
          </w:p>
          <w:p w14:paraId="0284FA25"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Inclusive brokerage, exclusive other fees, and insurance tax</w:t>
            </w:r>
          </w:p>
        </w:tc>
      </w:tr>
      <w:tr w:rsidR="00960A6D" w:rsidRPr="007C28E8" w14:paraId="085127D8"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553ADF4F" w14:textId="77777777" w:rsidR="00960A6D" w:rsidRPr="007C28E8" w:rsidRDefault="00960A6D" w:rsidP="001575C0">
            <w:pPr>
              <w:pStyle w:val="TableTextLeft"/>
              <w:ind w:left="0" w:right="281"/>
              <w:jc w:val="left"/>
              <w:rPr>
                <w:rFonts w:cs="Arial"/>
                <w:b w:val="0"/>
                <w:bCs/>
              </w:rPr>
            </w:pPr>
            <w:r w:rsidRPr="007C28E8">
              <w:rPr>
                <w:rFonts w:cs="Arial"/>
                <w:bCs/>
              </w:rPr>
              <w:t>Dodatečné pojistné za Dodatečnou lhůtu pro oznámení pojistných událostí (čl. 2.11)</w:t>
            </w:r>
          </w:p>
          <w:p w14:paraId="4E95BBA1" w14:textId="77777777" w:rsidR="00960A6D" w:rsidRPr="007C28E8" w:rsidRDefault="00960A6D" w:rsidP="001575C0">
            <w:pPr>
              <w:pStyle w:val="TableTextLeft"/>
              <w:ind w:left="0" w:right="281"/>
              <w:jc w:val="left"/>
              <w:rPr>
                <w:rFonts w:cs="Arial"/>
                <w:b w:val="0"/>
                <w:bCs/>
                <w:i/>
                <w:iCs/>
              </w:rPr>
            </w:pPr>
            <w:r w:rsidRPr="007C28E8">
              <w:rPr>
                <w:rFonts w:cs="Arial"/>
                <w:b w:val="0"/>
                <w:bCs/>
                <w:i/>
                <w:iCs/>
              </w:rPr>
              <w:t>Additional premium for Extended reporting period (art. 2.11)</w:t>
            </w:r>
          </w:p>
        </w:tc>
        <w:tc>
          <w:tcPr>
            <w:tcW w:w="3491" w:type="pct"/>
            <w:gridSpan w:val="3"/>
            <w:tcBorders>
              <w:top w:val="single" w:sz="4" w:space="0" w:color="3C0F11"/>
              <w:left w:val="single" w:sz="4" w:space="0" w:color="3C0F11"/>
              <w:bottom w:val="single" w:sz="4" w:space="0" w:color="3C0F11"/>
              <w:right w:val="single" w:sz="4" w:space="0" w:color="3C0F11"/>
            </w:tcBorders>
          </w:tcPr>
          <w:p w14:paraId="614BF8D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12 měsíců – bez dodatečného pojistného</w:t>
            </w:r>
          </w:p>
          <w:p w14:paraId="3A96126B"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24 měsíců – 60 % ročního pojistného, </w:t>
            </w:r>
          </w:p>
          <w:p w14:paraId="2A4D6332"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36 měsíců – 80 % ročního pojistného</w:t>
            </w:r>
          </w:p>
          <w:p w14:paraId="75E3443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48 měsíců – 100 % ročního pojistného</w:t>
            </w:r>
          </w:p>
          <w:p w14:paraId="792C6D6F" w14:textId="77777777" w:rsidR="00BE7F72" w:rsidRPr="007C28E8" w:rsidRDefault="00BE7F72"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p>
          <w:p w14:paraId="25C4C18E" w14:textId="4B78ED1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12 months – no additional premium</w:t>
            </w:r>
          </w:p>
          <w:p w14:paraId="0842312B"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24 months – 60 % of annual premium</w:t>
            </w:r>
          </w:p>
          <w:p w14:paraId="6E64E428"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36 months – 80 % of annual premium</w:t>
            </w:r>
          </w:p>
          <w:p w14:paraId="2F91D2CF"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48 months – 100 % of annual premium</w:t>
            </w:r>
          </w:p>
        </w:tc>
      </w:tr>
      <w:tr w:rsidR="00960A6D" w:rsidRPr="007C28E8" w14:paraId="1BADF727" w14:textId="77777777" w:rsidTr="001575C0">
        <w:tc>
          <w:tcPr>
            <w:cnfStyle w:val="001000000000" w:firstRow="0" w:lastRow="0" w:firstColumn="1" w:lastColumn="0" w:oddVBand="0" w:evenVBand="0" w:oddHBand="0" w:evenHBand="0" w:firstRowFirstColumn="0" w:firstRowLastColumn="0" w:lastRowFirstColumn="0" w:lastRowLastColumn="0"/>
            <w:tcW w:w="1509" w:type="pct"/>
            <w:vMerge w:val="restart"/>
            <w:tcBorders>
              <w:top w:val="single" w:sz="4" w:space="0" w:color="3C0F11"/>
              <w:left w:val="single" w:sz="4" w:space="0" w:color="3C0F11"/>
              <w:bottom w:val="single" w:sz="4" w:space="0" w:color="3C0F11"/>
              <w:right w:val="single" w:sz="4" w:space="0" w:color="3C0F11"/>
            </w:tcBorders>
            <w:shd w:val="clear" w:color="auto" w:fill="FDD9D7"/>
          </w:tcPr>
          <w:p w14:paraId="2C723860" w14:textId="77777777" w:rsidR="00960A6D" w:rsidRPr="007C28E8" w:rsidRDefault="00960A6D" w:rsidP="001575C0">
            <w:pPr>
              <w:pStyle w:val="TableTextLeft"/>
              <w:ind w:left="0" w:right="281"/>
              <w:jc w:val="left"/>
              <w:rPr>
                <w:rFonts w:cs="Arial"/>
                <w:b w:val="0"/>
                <w:bCs/>
              </w:rPr>
            </w:pPr>
            <w:r w:rsidRPr="007C28E8">
              <w:rPr>
                <w:rFonts w:cs="Arial"/>
                <w:bCs/>
              </w:rPr>
              <w:lastRenderedPageBreak/>
              <w:t>Spoluúčasti</w:t>
            </w:r>
          </w:p>
          <w:p w14:paraId="34E9897A" w14:textId="77777777" w:rsidR="00960A6D" w:rsidRPr="007C28E8" w:rsidRDefault="00960A6D" w:rsidP="001575C0">
            <w:pPr>
              <w:pStyle w:val="TableTextLeft"/>
              <w:ind w:left="0" w:right="281"/>
              <w:jc w:val="left"/>
              <w:rPr>
                <w:rFonts w:cs="Arial"/>
                <w:b w:val="0"/>
                <w:bCs/>
                <w:i/>
                <w:iCs/>
              </w:rPr>
            </w:pPr>
            <w:r w:rsidRPr="007C28E8">
              <w:rPr>
                <w:rFonts w:cs="Arial"/>
                <w:b w:val="0"/>
                <w:bCs/>
                <w:i/>
                <w:iCs/>
              </w:rPr>
              <w:t>Deductibles</w:t>
            </w:r>
          </w:p>
          <w:p w14:paraId="7E4BD58C" w14:textId="77777777" w:rsidR="00960A6D" w:rsidRPr="007C28E8" w:rsidRDefault="00960A6D" w:rsidP="001575C0">
            <w:pPr>
              <w:pStyle w:val="TableTextLeft"/>
              <w:ind w:right="281"/>
              <w:jc w:val="left"/>
              <w:rPr>
                <w:rFonts w:cs="Arial"/>
                <w:b w:val="0"/>
                <w:bCs/>
              </w:rPr>
            </w:pPr>
          </w:p>
        </w:tc>
        <w:tc>
          <w:tcPr>
            <w:tcW w:w="1652" w:type="pct"/>
            <w:tcBorders>
              <w:top w:val="single" w:sz="4" w:space="0" w:color="3C0F11"/>
              <w:left w:val="single" w:sz="4" w:space="0" w:color="3C0F11"/>
              <w:bottom w:val="single" w:sz="4" w:space="0" w:color="3C0F11"/>
              <w:right w:val="single" w:sz="4" w:space="0" w:color="3C0F11"/>
            </w:tcBorders>
          </w:tcPr>
          <w:p w14:paraId="3E4C5FF5"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Pro pojištěné osoby (čl. 1.1)</w:t>
            </w:r>
          </w:p>
          <w:p w14:paraId="130A1CD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Directors’ and Officers’ (art. 1.1) (Side A)</w:t>
            </w:r>
          </w:p>
        </w:tc>
        <w:tc>
          <w:tcPr>
            <w:tcW w:w="1839" w:type="pct"/>
            <w:gridSpan w:val="2"/>
            <w:tcBorders>
              <w:top w:val="single" w:sz="4" w:space="0" w:color="3C0F11"/>
              <w:left w:val="single" w:sz="4" w:space="0" w:color="3C0F11"/>
              <w:bottom w:val="single" w:sz="4" w:space="0" w:color="3C0F11"/>
              <w:right w:val="single" w:sz="4" w:space="0" w:color="3C0F11"/>
            </w:tcBorders>
          </w:tcPr>
          <w:p w14:paraId="060107A0"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Bez spoluúčasti</w:t>
            </w:r>
          </w:p>
          <w:p w14:paraId="708E3C58"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nil </w:t>
            </w:r>
          </w:p>
        </w:tc>
      </w:tr>
      <w:tr w:rsidR="00960A6D" w:rsidRPr="007C28E8" w14:paraId="5A2EDDE7" w14:textId="77777777" w:rsidTr="001575C0">
        <w:tc>
          <w:tcPr>
            <w:cnfStyle w:val="001000000000" w:firstRow="0" w:lastRow="0" w:firstColumn="1" w:lastColumn="0" w:oddVBand="0" w:evenVBand="0" w:oddHBand="0" w:evenHBand="0" w:firstRowFirstColumn="0" w:firstRowLastColumn="0" w:lastRowFirstColumn="0" w:lastRowLastColumn="0"/>
            <w:tcW w:w="1509" w:type="pct"/>
            <w:vMerge/>
            <w:tcBorders>
              <w:top w:val="single" w:sz="4" w:space="0" w:color="3C0F11"/>
              <w:left w:val="single" w:sz="4" w:space="0" w:color="3C0F11"/>
              <w:bottom w:val="single" w:sz="4" w:space="0" w:color="3C0F11"/>
              <w:right w:val="single" w:sz="4" w:space="0" w:color="3C0F11"/>
            </w:tcBorders>
            <w:shd w:val="clear" w:color="auto" w:fill="FDD9D7"/>
          </w:tcPr>
          <w:p w14:paraId="7BEF5E51" w14:textId="77777777" w:rsidR="00960A6D" w:rsidRPr="007C28E8" w:rsidRDefault="00960A6D" w:rsidP="001575C0">
            <w:pPr>
              <w:pStyle w:val="TableTextLeft"/>
              <w:ind w:right="281"/>
              <w:jc w:val="left"/>
              <w:rPr>
                <w:rFonts w:cs="Arial"/>
                <w:b w:val="0"/>
                <w:bCs/>
              </w:rPr>
            </w:pPr>
          </w:p>
        </w:tc>
        <w:tc>
          <w:tcPr>
            <w:tcW w:w="1652" w:type="pct"/>
            <w:tcBorders>
              <w:top w:val="single" w:sz="4" w:space="0" w:color="3C0F11"/>
              <w:left w:val="single" w:sz="4" w:space="0" w:color="3C0F11"/>
              <w:bottom w:val="single" w:sz="4" w:space="0" w:color="3C0F11"/>
              <w:right w:val="single" w:sz="4" w:space="0" w:color="3C0F11"/>
            </w:tcBorders>
          </w:tcPr>
          <w:p w14:paraId="290250BF"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Pro společnost (čl. 1.3)</w:t>
            </w:r>
          </w:p>
          <w:p w14:paraId="58E08B06" w14:textId="4B34CF61"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 xml:space="preserve">Company reimbursement </w:t>
            </w:r>
            <w:r w:rsidR="00B85AA8" w:rsidRPr="007C28E8">
              <w:rPr>
                <w:rFonts w:cs="Arial"/>
                <w:i/>
                <w:iCs/>
              </w:rPr>
              <w:t xml:space="preserve">       </w:t>
            </w:r>
            <w:r w:rsidRPr="007C28E8">
              <w:rPr>
                <w:rFonts w:cs="Arial"/>
                <w:i/>
                <w:iCs/>
              </w:rPr>
              <w:t>(art. 1.3) (Side B)</w:t>
            </w:r>
          </w:p>
        </w:tc>
        <w:tc>
          <w:tcPr>
            <w:tcW w:w="1839" w:type="pct"/>
            <w:gridSpan w:val="2"/>
            <w:tcBorders>
              <w:top w:val="single" w:sz="4" w:space="0" w:color="3C0F11"/>
              <w:left w:val="single" w:sz="4" w:space="0" w:color="3C0F11"/>
              <w:bottom w:val="single" w:sz="4" w:space="0" w:color="3C0F11"/>
              <w:right w:val="single" w:sz="4" w:space="0" w:color="3C0F11"/>
            </w:tcBorders>
          </w:tcPr>
          <w:p w14:paraId="394244A4"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Bez spoluúčasti, ale pro USA/Kanada USD 50.000 / nárok</w:t>
            </w:r>
          </w:p>
          <w:p w14:paraId="3E500ACA"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nil, but for USA/Canada </w:t>
            </w:r>
          </w:p>
          <w:p w14:paraId="1FBABE9A"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USD 50.000 per claim</w:t>
            </w:r>
          </w:p>
        </w:tc>
      </w:tr>
      <w:tr w:rsidR="00960A6D" w:rsidRPr="007C28E8" w14:paraId="103DF9C7" w14:textId="77777777" w:rsidTr="001575C0">
        <w:tc>
          <w:tcPr>
            <w:cnfStyle w:val="001000000000" w:firstRow="0" w:lastRow="0" w:firstColumn="1" w:lastColumn="0" w:oddVBand="0" w:evenVBand="0" w:oddHBand="0" w:evenHBand="0" w:firstRowFirstColumn="0" w:firstRowLastColumn="0" w:lastRowFirstColumn="0" w:lastRowLastColumn="0"/>
            <w:tcW w:w="1509" w:type="pct"/>
            <w:vMerge/>
            <w:tcBorders>
              <w:top w:val="single" w:sz="4" w:space="0" w:color="3C0F11"/>
              <w:left w:val="single" w:sz="4" w:space="0" w:color="3C0F11"/>
              <w:bottom w:val="single" w:sz="4" w:space="0" w:color="3C0F11"/>
              <w:right w:val="single" w:sz="4" w:space="0" w:color="3C0F11"/>
            </w:tcBorders>
            <w:shd w:val="clear" w:color="auto" w:fill="FDD9D7"/>
          </w:tcPr>
          <w:p w14:paraId="5303DD74" w14:textId="77777777" w:rsidR="00960A6D" w:rsidRPr="007C28E8" w:rsidRDefault="00960A6D" w:rsidP="001575C0">
            <w:pPr>
              <w:pStyle w:val="TableTextLeft"/>
              <w:ind w:right="281"/>
              <w:jc w:val="left"/>
              <w:rPr>
                <w:rFonts w:cs="Arial"/>
                <w:b w:val="0"/>
                <w:bCs/>
              </w:rPr>
            </w:pPr>
          </w:p>
        </w:tc>
        <w:tc>
          <w:tcPr>
            <w:tcW w:w="1652" w:type="pct"/>
            <w:tcBorders>
              <w:top w:val="single" w:sz="4" w:space="0" w:color="3C0F11"/>
              <w:left w:val="single" w:sz="4" w:space="0" w:color="3C0F11"/>
              <w:bottom w:val="single" w:sz="4" w:space="0" w:color="3C0F11"/>
              <w:right w:val="single" w:sz="4" w:space="0" w:color="3C0F11"/>
            </w:tcBorders>
          </w:tcPr>
          <w:p w14:paraId="5653929E" w14:textId="52AA9B39"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Pro nároky v souvislosti </w:t>
            </w:r>
            <w:r w:rsidR="005E2DCF" w:rsidRPr="007C28E8">
              <w:rPr>
                <w:rFonts w:cs="Arial"/>
              </w:rPr>
              <w:t xml:space="preserve">               </w:t>
            </w:r>
            <w:r w:rsidRPr="007C28E8">
              <w:rPr>
                <w:rFonts w:cs="Arial"/>
              </w:rPr>
              <w:t>s cennými papíry (čl. 2.18)</w:t>
            </w:r>
          </w:p>
          <w:p w14:paraId="5F2C8B51" w14:textId="0EAEFAA1"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Security claims for company </w:t>
            </w:r>
            <w:r w:rsidR="00B85AA8" w:rsidRPr="007C28E8">
              <w:rPr>
                <w:rFonts w:cs="Arial"/>
                <w:i/>
                <w:iCs/>
              </w:rPr>
              <w:t xml:space="preserve">    </w:t>
            </w:r>
            <w:r w:rsidRPr="007C28E8">
              <w:rPr>
                <w:rFonts w:cs="Arial"/>
                <w:i/>
                <w:iCs/>
              </w:rPr>
              <w:t>(art. 2.18) (Side C)</w:t>
            </w:r>
          </w:p>
        </w:tc>
        <w:tc>
          <w:tcPr>
            <w:tcW w:w="1839" w:type="pct"/>
            <w:gridSpan w:val="2"/>
            <w:tcBorders>
              <w:top w:val="single" w:sz="4" w:space="0" w:color="3C0F11"/>
              <w:left w:val="single" w:sz="4" w:space="0" w:color="3C0F11"/>
              <w:bottom w:val="single" w:sz="4" w:space="0" w:color="3C0F11"/>
              <w:right w:val="single" w:sz="4" w:space="0" w:color="3C0F11"/>
            </w:tcBorders>
          </w:tcPr>
          <w:p w14:paraId="4AE98D0C" w14:textId="25FD2007" w:rsidR="00960A6D" w:rsidRPr="007C28E8" w:rsidRDefault="001B4C80"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1.200.000 Kč</w:t>
            </w:r>
            <w:r w:rsidR="00960A6D" w:rsidRPr="007C28E8">
              <w:rPr>
                <w:rFonts w:cs="Arial"/>
              </w:rPr>
              <w:t xml:space="preserve"> / nárok, ale pro USA/Kanada USD </w:t>
            </w:r>
            <w:r w:rsidR="002D0F16" w:rsidRPr="007C28E8">
              <w:rPr>
                <w:rFonts w:cs="Arial"/>
              </w:rPr>
              <w:t>100</w:t>
            </w:r>
            <w:r w:rsidR="00960A6D" w:rsidRPr="007C28E8">
              <w:rPr>
                <w:rFonts w:cs="Arial"/>
              </w:rPr>
              <w:t>.000 / nárok</w:t>
            </w:r>
          </w:p>
          <w:p w14:paraId="7CD4F167" w14:textId="3E978FBE"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 xml:space="preserve">CZK </w:t>
            </w:r>
            <w:r w:rsidR="001B4C80" w:rsidRPr="007C28E8">
              <w:rPr>
                <w:rFonts w:cs="Arial"/>
                <w:i/>
                <w:iCs/>
              </w:rPr>
              <w:t>1.2</w:t>
            </w:r>
            <w:r w:rsidRPr="007C28E8">
              <w:rPr>
                <w:rFonts w:cs="Arial"/>
                <w:i/>
                <w:iCs/>
              </w:rPr>
              <w:t xml:space="preserve">00.000 per claim, but for USA/Canada USD </w:t>
            </w:r>
            <w:r w:rsidR="002D0F16" w:rsidRPr="007C28E8">
              <w:rPr>
                <w:rFonts w:cs="Arial"/>
                <w:i/>
                <w:iCs/>
              </w:rPr>
              <w:t>10</w:t>
            </w:r>
            <w:r w:rsidRPr="007C28E8">
              <w:rPr>
                <w:rFonts w:cs="Arial"/>
                <w:i/>
                <w:iCs/>
              </w:rPr>
              <w:t>0.000 per claim</w:t>
            </w:r>
          </w:p>
        </w:tc>
      </w:tr>
      <w:tr w:rsidR="00960A6D" w:rsidRPr="007C28E8" w14:paraId="113170BE" w14:textId="77777777" w:rsidTr="001575C0">
        <w:trPr>
          <w:trHeight w:val="26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3C0F11"/>
              <w:bottom w:val="single" w:sz="4" w:space="0" w:color="3C0F11"/>
            </w:tcBorders>
          </w:tcPr>
          <w:p w14:paraId="34A3F66D" w14:textId="77777777" w:rsidR="00960A6D" w:rsidRPr="007C28E8" w:rsidRDefault="00960A6D" w:rsidP="001575C0">
            <w:pPr>
              <w:pStyle w:val="TableTextLeft"/>
              <w:ind w:right="281"/>
              <w:jc w:val="left"/>
              <w:rPr>
                <w:rFonts w:cs="Arial"/>
                <w:color w:val="3C0F11" w:themeColor="accent1"/>
                <w:szCs w:val="20"/>
              </w:rPr>
            </w:pPr>
          </w:p>
        </w:tc>
      </w:tr>
      <w:tr w:rsidR="00960A6D" w:rsidRPr="007C28E8" w14:paraId="6D3C0C86"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0BEE4E4" w14:textId="77777777" w:rsidR="00960A6D" w:rsidRPr="007C28E8" w:rsidRDefault="00960A6D" w:rsidP="001575C0">
            <w:pPr>
              <w:pStyle w:val="TableTextLeft"/>
              <w:ind w:left="0" w:right="281"/>
              <w:jc w:val="left"/>
              <w:rPr>
                <w:rFonts w:cs="Arial"/>
                <w:b w:val="0"/>
                <w:bCs/>
              </w:rPr>
            </w:pPr>
            <w:r w:rsidRPr="007C28E8">
              <w:rPr>
                <w:rFonts w:cs="Arial"/>
                <w:bCs/>
              </w:rPr>
              <w:t>Retroaktivní datum</w:t>
            </w:r>
          </w:p>
          <w:p w14:paraId="265FDDB0" w14:textId="77777777" w:rsidR="00960A6D" w:rsidRPr="007C28E8" w:rsidRDefault="00960A6D" w:rsidP="001575C0">
            <w:pPr>
              <w:pStyle w:val="TableTextLeft"/>
              <w:ind w:left="0" w:right="281"/>
              <w:jc w:val="left"/>
              <w:rPr>
                <w:rFonts w:cs="Arial"/>
                <w:b w:val="0"/>
                <w:bCs/>
                <w:i/>
                <w:iCs/>
              </w:rPr>
            </w:pPr>
            <w:r w:rsidRPr="007C28E8">
              <w:rPr>
                <w:rFonts w:cs="Arial"/>
                <w:b w:val="0"/>
                <w:bCs/>
                <w:i/>
                <w:iCs/>
              </w:rPr>
              <w:t>Retroactive Date</w:t>
            </w:r>
          </w:p>
        </w:tc>
        <w:tc>
          <w:tcPr>
            <w:tcW w:w="3491" w:type="pct"/>
            <w:gridSpan w:val="3"/>
            <w:tcBorders>
              <w:top w:val="single" w:sz="4" w:space="0" w:color="3C0F11"/>
              <w:left w:val="single" w:sz="4" w:space="0" w:color="3C0F11"/>
              <w:bottom w:val="single" w:sz="4" w:space="0" w:color="3C0F11"/>
              <w:right w:val="single" w:sz="4" w:space="0" w:color="3C0F11"/>
            </w:tcBorders>
          </w:tcPr>
          <w:p w14:paraId="46C88121"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Datum založení pojistníka</w:t>
            </w:r>
          </w:p>
          <w:p w14:paraId="150EA0D0"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Date of incorporation of the policyholder</w:t>
            </w:r>
          </w:p>
        </w:tc>
      </w:tr>
      <w:tr w:rsidR="00960A6D" w:rsidRPr="007C28E8" w14:paraId="5E7E14D3"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3B95D07" w14:textId="77777777" w:rsidR="00960A6D" w:rsidRPr="007C28E8" w:rsidRDefault="00960A6D" w:rsidP="001575C0">
            <w:pPr>
              <w:pStyle w:val="TableTextLeft"/>
              <w:ind w:left="0" w:right="281"/>
              <w:jc w:val="left"/>
              <w:rPr>
                <w:rFonts w:cs="Arial"/>
                <w:b w:val="0"/>
                <w:bCs/>
              </w:rPr>
            </w:pPr>
            <w:r w:rsidRPr="007C28E8">
              <w:rPr>
                <w:rFonts w:cs="Arial"/>
                <w:bCs/>
              </w:rPr>
              <w:t>Datum kontinuity</w:t>
            </w:r>
          </w:p>
          <w:p w14:paraId="6932A231" w14:textId="625DCC03" w:rsidR="00960A6D" w:rsidRPr="007C28E8" w:rsidRDefault="00960A6D" w:rsidP="001575C0">
            <w:pPr>
              <w:pStyle w:val="TableTextLeft"/>
              <w:ind w:left="0" w:right="281"/>
              <w:jc w:val="left"/>
              <w:rPr>
                <w:rFonts w:cs="Arial"/>
                <w:b w:val="0"/>
                <w:bCs/>
                <w:i/>
                <w:iCs/>
              </w:rPr>
            </w:pPr>
            <w:r w:rsidRPr="007C28E8">
              <w:rPr>
                <w:rFonts w:cs="Arial"/>
                <w:b w:val="0"/>
                <w:bCs/>
                <w:i/>
                <w:iCs/>
              </w:rPr>
              <w:t xml:space="preserve">Continuity date / </w:t>
            </w:r>
            <w:r w:rsidR="005E2DCF" w:rsidRPr="007C28E8">
              <w:rPr>
                <w:rFonts w:cs="Arial"/>
                <w:b w:val="0"/>
                <w:bCs/>
                <w:i/>
                <w:iCs/>
              </w:rPr>
              <w:t xml:space="preserve">                 </w:t>
            </w:r>
            <w:r w:rsidRPr="007C28E8">
              <w:rPr>
                <w:rFonts w:cs="Arial"/>
                <w:b w:val="0"/>
                <w:bCs/>
                <w:i/>
                <w:iCs/>
              </w:rPr>
              <w:t>Prior &amp; pending date</w:t>
            </w:r>
          </w:p>
        </w:tc>
        <w:tc>
          <w:tcPr>
            <w:tcW w:w="3491" w:type="pct"/>
            <w:gridSpan w:val="3"/>
            <w:tcBorders>
              <w:top w:val="single" w:sz="4" w:space="0" w:color="3C0F11"/>
              <w:left w:val="single" w:sz="4" w:space="0" w:color="3C0F11"/>
              <w:bottom w:val="single" w:sz="4" w:space="0" w:color="3C0F11"/>
              <w:right w:val="single" w:sz="4" w:space="0" w:color="3C0F11"/>
            </w:tcBorders>
          </w:tcPr>
          <w:p w14:paraId="4DD0CE10" w14:textId="35C89023" w:rsidR="00960A6D" w:rsidRPr="007C28E8" w:rsidRDefault="002D0F16"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rPr>
              <w:t>01.09.2023</w:t>
            </w:r>
          </w:p>
        </w:tc>
      </w:tr>
      <w:tr w:rsidR="00960A6D" w:rsidRPr="007C28E8" w14:paraId="4A624B33" w14:textId="77777777" w:rsidTr="001575C0">
        <w:trPr>
          <w:trHeight w:val="26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3C0F11"/>
              <w:bottom w:val="single" w:sz="4" w:space="0" w:color="3C0F11"/>
            </w:tcBorders>
          </w:tcPr>
          <w:p w14:paraId="25F1DAC4" w14:textId="77777777" w:rsidR="00960A6D" w:rsidRPr="007C28E8" w:rsidRDefault="00960A6D" w:rsidP="001575C0">
            <w:pPr>
              <w:pStyle w:val="TableTextLeft"/>
              <w:ind w:right="281"/>
              <w:jc w:val="left"/>
              <w:rPr>
                <w:rFonts w:cs="Arial"/>
                <w:szCs w:val="20"/>
              </w:rPr>
            </w:pPr>
          </w:p>
        </w:tc>
      </w:tr>
      <w:tr w:rsidR="00960A6D" w:rsidRPr="007C28E8" w14:paraId="5B1219C5"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7EBADA2" w14:textId="1D9F68B0" w:rsidR="00960A6D" w:rsidRPr="007C28E8" w:rsidRDefault="00960A6D" w:rsidP="001575C0">
            <w:pPr>
              <w:pStyle w:val="TableTextLeft"/>
              <w:ind w:left="0" w:right="281"/>
              <w:jc w:val="left"/>
              <w:rPr>
                <w:rFonts w:cs="Arial"/>
                <w:b w:val="0"/>
                <w:bCs/>
              </w:rPr>
            </w:pPr>
            <w:r w:rsidRPr="007C28E8">
              <w:rPr>
                <w:rFonts w:cs="Arial"/>
                <w:bCs/>
              </w:rPr>
              <w:t xml:space="preserve">Dodatečný limit pojistného plnění pro členy orgánů </w:t>
            </w:r>
            <w:r w:rsidR="00450D28" w:rsidRPr="007C28E8">
              <w:rPr>
                <w:rFonts w:cs="Arial"/>
                <w:bCs/>
              </w:rPr>
              <w:br/>
            </w:r>
            <w:r w:rsidRPr="007C28E8">
              <w:rPr>
                <w:rFonts w:cs="Arial"/>
                <w:bCs/>
              </w:rPr>
              <w:t xml:space="preserve">(čl. 2.2) </w:t>
            </w:r>
          </w:p>
          <w:p w14:paraId="6770EBFA" w14:textId="77777777" w:rsidR="00960A6D" w:rsidRPr="007C28E8" w:rsidRDefault="00960A6D" w:rsidP="001575C0">
            <w:pPr>
              <w:pStyle w:val="TableTextLeft"/>
              <w:ind w:left="0" w:right="281"/>
              <w:jc w:val="left"/>
              <w:rPr>
                <w:rFonts w:cs="Arial"/>
                <w:b w:val="0"/>
                <w:bCs/>
                <w:i/>
                <w:iCs/>
              </w:rPr>
            </w:pPr>
            <w:r w:rsidRPr="007C28E8">
              <w:rPr>
                <w:rFonts w:cs="Arial"/>
                <w:b w:val="0"/>
                <w:bCs/>
                <w:i/>
                <w:iCs/>
              </w:rPr>
              <w:t>Additional Side A Limit for Directors (art. 2.2)</w:t>
            </w:r>
          </w:p>
        </w:tc>
        <w:tc>
          <w:tcPr>
            <w:tcW w:w="3491" w:type="pct"/>
            <w:gridSpan w:val="3"/>
            <w:tcBorders>
              <w:top w:val="single" w:sz="4" w:space="0" w:color="3C0F11"/>
              <w:left w:val="single" w:sz="4" w:space="0" w:color="3C0F11"/>
              <w:bottom w:val="single" w:sz="4" w:space="0" w:color="3C0F11"/>
              <w:right w:val="single" w:sz="4" w:space="0" w:color="3C0F11"/>
            </w:tcBorders>
          </w:tcPr>
          <w:p w14:paraId="7219C4A3" w14:textId="188E7F0A" w:rsidR="00960A6D" w:rsidRPr="007C28E8" w:rsidRDefault="001B4C80"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7.2</w:t>
            </w:r>
            <w:r w:rsidR="00960A6D" w:rsidRPr="007C28E8">
              <w:rPr>
                <w:rFonts w:cs="Arial"/>
              </w:rPr>
              <w:t xml:space="preserve">00.000 </w:t>
            </w:r>
            <w:r w:rsidRPr="007C28E8">
              <w:rPr>
                <w:rFonts w:cs="Arial"/>
              </w:rPr>
              <w:t xml:space="preserve">Kč </w:t>
            </w:r>
            <w:r w:rsidR="00960A6D" w:rsidRPr="007C28E8">
              <w:rPr>
                <w:rFonts w:cs="Arial"/>
              </w:rPr>
              <w:t xml:space="preserve">na každého člena orgánu, </w:t>
            </w:r>
          </w:p>
          <w:p w14:paraId="619993DA" w14:textId="10B3D4BD" w:rsidR="00960A6D" w:rsidRPr="007C28E8" w:rsidRDefault="001B4C80"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12.0</w:t>
            </w:r>
            <w:r w:rsidR="00960A6D" w:rsidRPr="007C28E8">
              <w:rPr>
                <w:rFonts w:cs="Arial"/>
              </w:rPr>
              <w:t xml:space="preserve">00.000 </w:t>
            </w:r>
            <w:r w:rsidRPr="007C28E8">
              <w:rPr>
                <w:rFonts w:cs="Arial"/>
              </w:rPr>
              <w:t xml:space="preserve">Kč </w:t>
            </w:r>
            <w:r w:rsidR="00960A6D" w:rsidRPr="007C28E8">
              <w:rPr>
                <w:rFonts w:cs="Arial"/>
              </w:rPr>
              <w:t xml:space="preserve">pro všechny členy orgánu v ročním agregátu </w:t>
            </w:r>
          </w:p>
          <w:p w14:paraId="4640604B" w14:textId="77777777" w:rsidR="005C07B5" w:rsidRPr="007C28E8" w:rsidRDefault="005C07B5"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p>
          <w:p w14:paraId="5BCA0F19" w14:textId="2DAFA45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CZK </w:t>
            </w:r>
            <w:r w:rsidR="001B4C80" w:rsidRPr="007C28E8">
              <w:rPr>
                <w:rFonts w:cs="Arial"/>
                <w:i/>
                <w:iCs/>
              </w:rPr>
              <w:t>7.2</w:t>
            </w:r>
            <w:r w:rsidRPr="007C28E8">
              <w:rPr>
                <w:rFonts w:cs="Arial"/>
                <w:i/>
                <w:iCs/>
              </w:rPr>
              <w:t xml:space="preserve">00.000 for each director </w:t>
            </w:r>
          </w:p>
          <w:p w14:paraId="71B22A6A" w14:textId="0AE4E61D"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color w:val="3C0F11" w:themeColor="accent1"/>
              </w:rPr>
            </w:pPr>
            <w:r w:rsidRPr="007C28E8">
              <w:rPr>
                <w:rFonts w:cs="Arial"/>
                <w:i/>
                <w:iCs/>
              </w:rPr>
              <w:t xml:space="preserve">CZK </w:t>
            </w:r>
            <w:r w:rsidR="001B4C80" w:rsidRPr="007C28E8">
              <w:rPr>
                <w:rFonts w:cs="Arial"/>
                <w:i/>
                <w:iCs/>
              </w:rPr>
              <w:t>12.0</w:t>
            </w:r>
            <w:r w:rsidRPr="007C28E8">
              <w:rPr>
                <w:rFonts w:cs="Arial"/>
                <w:i/>
                <w:iCs/>
              </w:rPr>
              <w:t>00.000 for all directors in the annual aggregate</w:t>
            </w:r>
          </w:p>
        </w:tc>
      </w:tr>
      <w:tr w:rsidR="00960A6D" w:rsidRPr="007C28E8" w14:paraId="49D2399B" w14:textId="77777777" w:rsidTr="001575C0">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3C0F11"/>
              <w:bottom w:val="single" w:sz="4" w:space="0" w:color="3C0F11"/>
            </w:tcBorders>
          </w:tcPr>
          <w:p w14:paraId="60737EBE" w14:textId="77777777" w:rsidR="00960A6D" w:rsidRPr="007C28E8" w:rsidRDefault="00960A6D" w:rsidP="001575C0">
            <w:pPr>
              <w:pStyle w:val="TableTextLeft"/>
              <w:ind w:right="281"/>
              <w:jc w:val="left"/>
              <w:rPr>
                <w:rFonts w:cs="Arial"/>
                <w:color w:val="3C0F11" w:themeColor="accent1"/>
                <w:szCs w:val="20"/>
              </w:rPr>
            </w:pPr>
          </w:p>
        </w:tc>
      </w:tr>
      <w:tr w:rsidR="00960A6D" w:rsidRPr="007C28E8" w14:paraId="36C80967"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20F8CF72" w14:textId="77777777" w:rsidR="00960A6D" w:rsidRPr="007C28E8" w:rsidRDefault="00960A6D" w:rsidP="001575C0">
            <w:pPr>
              <w:pStyle w:val="TableTextLeft"/>
              <w:ind w:left="0" w:right="281"/>
              <w:jc w:val="left"/>
              <w:rPr>
                <w:rFonts w:cs="Arial"/>
                <w:b w:val="0"/>
                <w:bCs/>
              </w:rPr>
            </w:pPr>
            <w:r w:rsidRPr="007C28E8">
              <w:rPr>
                <w:rFonts w:cs="Arial"/>
                <w:bCs/>
              </w:rPr>
              <w:t>Akviziční limit (čl. 2.13)</w:t>
            </w:r>
          </w:p>
          <w:p w14:paraId="66204886" w14:textId="1A46798F" w:rsidR="00960A6D" w:rsidRPr="007C28E8" w:rsidRDefault="00960A6D" w:rsidP="000E4B04">
            <w:pPr>
              <w:pStyle w:val="TableTextLeft"/>
              <w:ind w:left="0" w:right="77"/>
              <w:jc w:val="left"/>
              <w:rPr>
                <w:rFonts w:cs="Arial"/>
                <w:b w:val="0"/>
                <w:bCs/>
                <w:i/>
                <w:iCs/>
              </w:rPr>
            </w:pPr>
            <w:r w:rsidRPr="007C28E8">
              <w:rPr>
                <w:rFonts w:cs="Arial"/>
                <w:b w:val="0"/>
                <w:bCs/>
                <w:i/>
                <w:iCs/>
              </w:rPr>
              <w:t>Acquisition Limit (art. 2.13)</w:t>
            </w:r>
          </w:p>
        </w:tc>
        <w:tc>
          <w:tcPr>
            <w:tcW w:w="3491" w:type="pct"/>
            <w:gridSpan w:val="3"/>
            <w:tcBorders>
              <w:top w:val="single" w:sz="4" w:space="0" w:color="3C0F11"/>
              <w:left w:val="single" w:sz="4" w:space="0" w:color="3C0F11"/>
              <w:bottom w:val="single" w:sz="4" w:space="0" w:color="3C0F11"/>
              <w:right w:val="single" w:sz="4" w:space="0" w:color="3C0F11"/>
            </w:tcBorders>
          </w:tcPr>
          <w:p w14:paraId="7F8B2A5F"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25% celkových hrubých konsolidovaných aktiv pojistníka </w:t>
            </w:r>
          </w:p>
          <w:p w14:paraId="18E57BB8"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25 % of total gross consolidated assets of policyholder </w:t>
            </w:r>
          </w:p>
        </w:tc>
      </w:tr>
      <w:tr w:rsidR="00960A6D" w:rsidRPr="007C28E8" w14:paraId="40E90B89"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31D79CD" w14:textId="77777777" w:rsidR="00960A6D" w:rsidRPr="007C28E8" w:rsidRDefault="00960A6D" w:rsidP="00450D28">
            <w:pPr>
              <w:pStyle w:val="TableTextLeft"/>
              <w:ind w:left="0" w:right="111"/>
              <w:jc w:val="left"/>
              <w:rPr>
                <w:rFonts w:cs="Arial"/>
                <w:b w:val="0"/>
                <w:bCs/>
              </w:rPr>
            </w:pPr>
            <w:r w:rsidRPr="007C28E8">
              <w:rPr>
                <w:rFonts w:cs="Arial"/>
                <w:bCs/>
              </w:rPr>
              <w:t xml:space="preserve">Práh nabídky cenných papírů </w:t>
            </w:r>
          </w:p>
          <w:p w14:paraId="0CD68EF5" w14:textId="7936D16D" w:rsidR="00960A6D" w:rsidRPr="007C28E8" w:rsidRDefault="00960A6D" w:rsidP="001575C0">
            <w:pPr>
              <w:pStyle w:val="TableTextLeft"/>
              <w:ind w:left="0" w:right="281"/>
              <w:jc w:val="left"/>
              <w:rPr>
                <w:rFonts w:cs="Arial"/>
                <w:b w:val="0"/>
                <w:bCs/>
                <w:i/>
                <w:iCs/>
              </w:rPr>
            </w:pPr>
            <w:r w:rsidRPr="007C28E8">
              <w:rPr>
                <w:rFonts w:cs="Arial"/>
                <w:b w:val="0"/>
                <w:bCs/>
                <w:i/>
                <w:iCs/>
              </w:rPr>
              <w:t>Offering of securit</w:t>
            </w:r>
            <w:r w:rsidR="00285A1A" w:rsidRPr="007C28E8">
              <w:rPr>
                <w:rFonts w:cs="Arial"/>
                <w:b w:val="0"/>
                <w:bCs/>
                <w:i/>
                <w:iCs/>
              </w:rPr>
              <w:t>ies</w:t>
            </w:r>
            <w:r w:rsidRPr="007C28E8">
              <w:rPr>
                <w:rFonts w:cs="Arial"/>
                <w:b w:val="0"/>
                <w:bCs/>
                <w:i/>
                <w:iCs/>
              </w:rPr>
              <w:t xml:space="preserve"> threshold </w:t>
            </w:r>
          </w:p>
        </w:tc>
        <w:tc>
          <w:tcPr>
            <w:tcW w:w="3491" w:type="pct"/>
            <w:gridSpan w:val="3"/>
            <w:tcBorders>
              <w:top w:val="single" w:sz="4" w:space="0" w:color="3C0F11"/>
              <w:left w:val="single" w:sz="4" w:space="0" w:color="3C0F11"/>
              <w:bottom w:val="single" w:sz="4" w:space="0" w:color="3C0F11"/>
              <w:right w:val="single" w:sz="4" w:space="0" w:color="3C0F11"/>
            </w:tcBorders>
          </w:tcPr>
          <w:p w14:paraId="1E370C8C"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N/A</w:t>
            </w:r>
          </w:p>
        </w:tc>
      </w:tr>
      <w:tr w:rsidR="00960A6D" w:rsidRPr="007C28E8" w14:paraId="21FFC6A6" w14:textId="77777777" w:rsidTr="001575C0">
        <w:trPr>
          <w:trHeight w:val="26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3C0F11"/>
              <w:bottom w:val="single" w:sz="4" w:space="0" w:color="3C0F11"/>
            </w:tcBorders>
          </w:tcPr>
          <w:p w14:paraId="476C54D8" w14:textId="77777777" w:rsidR="00960A6D" w:rsidRPr="007C28E8" w:rsidRDefault="00960A6D" w:rsidP="001575C0">
            <w:pPr>
              <w:pStyle w:val="TableTextLeft"/>
              <w:ind w:right="281"/>
              <w:jc w:val="left"/>
              <w:rPr>
                <w:rFonts w:cs="Arial"/>
                <w:szCs w:val="20"/>
              </w:rPr>
            </w:pPr>
          </w:p>
        </w:tc>
      </w:tr>
      <w:tr w:rsidR="00960A6D" w:rsidRPr="007C28E8" w14:paraId="277FC946" w14:textId="77777777" w:rsidTr="001575C0">
        <w:trPr>
          <w:trHeight w:val="705"/>
        </w:trPr>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6C74A286" w14:textId="77777777" w:rsidR="00960A6D" w:rsidRPr="007C28E8" w:rsidRDefault="00960A6D" w:rsidP="001575C0">
            <w:pPr>
              <w:pStyle w:val="TableTextLeft"/>
              <w:ind w:left="0" w:right="77"/>
              <w:jc w:val="left"/>
              <w:rPr>
                <w:rFonts w:cs="Arial"/>
                <w:b w:val="0"/>
                <w:bCs/>
              </w:rPr>
            </w:pPr>
            <w:r w:rsidRPr="007C28E8">
              <w:rPr>
                <w:rFonts w:cs="Arial"/>
                <w:bCs/>
              </w:rPr>
              <w:t>Územní platnost pojištění</w:t>
            </w:r>
          </w:p>
          <w:p w14:paraId="518BCED0" w14:textId="77777777" w:rsidR="00960A6D" w:rsidRPr="007C28E8" w:rsidRDefault="00960A6D" w:rsidP="001575C0">
            <w:pPr>
              <w:pStyle w:val="TableTextLeft"/>
              <w:ind w:left="0" w:right="281"/>
              <w:jc w:val="left"/>
              <w:rPr>
                <w:rFonts w:cs="Arial"/>
                <w:b w:val="0"/>
                <w:bCs/>
                <w:i/>
                <w:iCs/>
              </w:rPr>
            </w:pPr>
            <w:r w:rsidRPr="007C28E8">
              <w:rPr>
                <w:rFonts w:cs="Arial"/>
                <w:b w:val="0"/>
                <w:bCs/>
                <w:i/>
                <w:iCs/>
              </w:rPr>
              <w:t>Territorial coverage</w:t>
            </w:r>
          </w:p>
        </w:tc>
        <w:tc>
          <w:tcPr>
            <w:tcW w:w="3491" w:type="pct"/>
            <w:gridSpan w:val="3"/>
            <w:tcBorders>
              <w:top w:val="single" w:sz="4" w:space="0" w:color="3C0F11"/>
              <w:left w:val="single" w:sz="4" w:space="0" w:color="3C0F11"/>
              <w:bottom w:val="single" w:sz="4" w:space="0" w:color="3C0F11"/>
              <w:right w:val="single" w:sz="4" w:space="0" w:color="3C0F11"/>
            </w:tcBorders>
          </w:tcPr>
          <w:p w14:paraId="7B89DD32" w14:textId="120F6186"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Celý svět, včetně USA/</w:t>
            </w:r>
            <w:r w:rsidR="005E2DCF" w:rsidRPr="007C28E8">
              <w:rPr>
                <w:rFonts w:cs="Arial"/>
              </w:rPr>
              <w:t>K</w:t>
            </w:r>
            <w:r w:rsidRPr="007C28E8">
              <w:rPr>
                <w:rFonts w:cs="Arial"/>
              </w:rPr>
              <w:t>anada</w:t>
            </w:r>
          </w:p>
          <w:p w14:paraId="72F7CCFC"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Worldwide, including USA/Canada</w:t>
            </w:r>
          </w:p>
        </w:tc>
      </w:tr>
      <w:tr w:rsidR="00960A6D" w:rsidRPr="007C28E8" w14:paraId="36E65D20"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6C59414B" w14:textId="77777777" w:rsidR="00960A6D" w:rsidRPr="007C28E8" w:rsidRDefault="00960A6D" w:rsidP="001575C0">
            <w:pPr>
              <w:pStyle w:val="TableTextLeft"/>
              <w:ind w:left="0" w:right="281"/>
              <w:jc w:val="left"/>
              <w:rPr>
                <w:rFonts w:cs="Arial"/>
                <w:b w:val="0"/>
                <w:bCs/>
              </w:rPr>
            </w:pPr>
            <w:r w:rsidRPr="007C28E8">
              <w:rPr>
                <w:rFonts w:cs="Arial"/>
                <w:bCs/>
              </w:rPr>
              <w:t>Právo a jurisdikce</w:t>
            </w:r>
          </w:p>
          <w:p w14:paraId="372AC34C" w14:textId="77777777" w:rsidR="00960A6D" w:rsidRPr="007C28E8" w:rsidRDefault="00960A6D" w:rsidP="001575C0">
            <w:pPr>
              <w:pStyle w:val="TableTextLeft"/>
              <w:ind w:left="0" w:right="281"/>
              <w:jc w:val="left"/>
              <w:rPr>
                <w:rFonts w:cs="Arial"/>
                <w:b w:val="0"/>
                <w:bCs/>
                <w:i/>
                <w:iCs/>
              </w:rPr>
            </w:pPr>
            <w:r w:rsidRPr="007C28E8">
              <w:rPr>
                <w:rFonts w:cs="Arial"/>
                <w:b w:val="0"/>
                <w:bCs/>
                <w:i/>
                <w:iCs/>
              </w:rPr>
              <w:t>Law &amp; Jurisdiction</w:t>
            </w:r>
          </w:p>
        </w:tc>
        <w:tc>
          <w:tcPr>
            <w:tcW w:w="3491" w:type="pct"/>
            <w:gridSpan w:val="3"/>
            <w:tcBorders>
              <w:top w:val="single" w:sz="4" w:space="0" w:color="3C0F11"/>
              <w:left w:val="single" w:sz="4" w:space="0" w:color="3C0F11"/>
              <w:bottom w:val="single" w:sz="4" w:space="0" w:color="3C0F11"/>
              <w:right w:val="single" w:sz="4" w:space="0" w:color="3C0F11"/>
            </w:tcBorders>
          </w:tcPr>
          <w:p w14:paraId="7E93078F" w14:textId="77777777" w:rsidR="00960A6D" w:rsidRPr="007C28E8" w:rsidRDefault="00960A6D" w:rsidP="005B35EE">
            <w:pPr>
              <w:pStyle w:val="TableTextLeft"/>
              <w:ind w:left="0" w:right="281"/>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Tato pojistná smlouvy se bude řídit a vykládat v souladu s českým právem. Každá strana souhlasí s tím, že české soudy budou mít výlučnou jurisdikci k urovnání jakéhokoli sporu, který může vzniknout z této pojistné smlouvy nebo v souvislosti s ní.</w:t>
            </w:r>
          </w:p>
          <w:p w14:paraId="6995E7B1" w14:textId="77777777" w:rsidR="00960A6D" w:rsidRPr="007C28E8" w:rsidRDefault="00960A6D" w:rsidP="005B35EE">
            <w:pPr>
              <w:pStyle w:val="TableTextLeft"/>
              <w:ind w:left="0" w:right="281"/>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This Policy shall be governed and construed in accordance with Czech law. Each party agrees that the Czech courts shall have exclusive jurisdiction to settle any dispute which may arise out of or in connection with this Policy.  </w:t>
            </w:r>
          </w:p>
        </w:tc>
      </w:tr>
      <w:tr w:rsidR="00960A6D" w:rsidRPr="007C28E8" w14:paraId="099803F9" w14:textId="77777777" w:rsidTr="001575C0">
        <w:trPr>
          <w:trHeight w:val="265"/>
        </w:trPr>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bottom w:val="single" w:sz="4" w:space="0" w:color="3C0F11"/>
            </w:tcBorders>
          </w:tcPr>
          <w:p w14:paraId="3E8F56B6" w14:textId="77777777" w:rsidR="00960A6D" w:rsidRPr="007C28E8" w:rsidRDefault="00960A6D" w:rsidP="001575C0">
            <w:pPr>
              <w:pStyle w:val="TableTextLeft"/>
              <w:ind w:right="281"/>
              <w:jc w:val="left"/>
              <w:rPr>
                <w:rFonts w:cs="Arial"/>
                <w:szCs w:val="20"/>
              </w:rPr>
            </w:pPr>
          </w:p>
        </w:tc>
        <w:tc>
          <w:tcPr>
            <w:tcW w:w="3491" w:type="pct"/>
            <w:gridSpan w:val="3"/>
            <w:tcBorders>
              <w:top w:val="single" w:sz="4" w:space="0" w:color="3C0F11"/>
              <w:bottom w:val="single" w:sz="4" w:space="0" w:color="3C0F11"/>
            </w:tcBorders>
          </w:tcPr>
          <w:p w14:paraId="1BFE65E7" w14:textId="77777777" w:rsidR="00960A6D" w:rsidRPr="007C28E8" w:rsidRDefault="00960A6D" w:rsidP="001575C0">
            <w:pPr>
              <w:pStyle w:val="TableTextLeft"/>
              <w:ind w:right="281"/>
              <w:jc w:val="left"/>
              <w:cnfStyle w:val="000000000000" w:firstRow="0" w:lastRow="0" w:firstColumn="0" w:lastColumn="0" w:oddVBand="0" w:evenVBand="0" w:oddHBand="0" w:evenHBand="0" w:firstRowFirstColumn="0" w:firstRowLastColumn="0" w:lastRowFirstColumn="0" w:lastRowLastColumn="0"/>
              <w:rPr>
                <w:rFonts w:cs="Arial"/>
                <w:szCs w:val="20"/>
              </w:rPr>
            </w:pPr>
          </w:p>
        </w:tc>
      </w:tr>
      <w:tr w:rsidR="00960A6D" w:rsidRPr="007C28E8" w14:paraId="20B690E8"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27DD0BA6" w14:textId="77777777" w:rsidR="00960A6D" w:rsidRPr="007C28E8" w:rsidRDefault="00960A6D" w:rsidP="001575C0">
            <w:pPr>
              <w:pStyle w:val="TableTextLeft"/>
              <w:ind w:left="0" w:right="281"/>
              <w:jc w:val="left"/>
              <w:rPr>
                <w:rFonts w:cs="Arial"/>
                <w:b w:val="0"/>
                <w:bCs/>
              </w:rPr>
            </w:pPr>
            <w:r w:rsidRPr="007C28E8">
              <w:rPr>
                <w:rFonts w:cs="Arial"/>
                <w:bCs/>
              </w:rPr>
              <w:t>Pojistné podmínky</w:t>
            </w:r>
          </w:p>
          <w:p w14:paraId="6614AEE0" w14:textId="77777777" w:rsidR="00960A6D" w:rsidRPr="007C28E8" w:rsidRDefault="00960A6D" w:rsidP="001575C0">
            <w:pPr>
              <w:pStyle w:val="TableTextLeft"/>
              <w:ind w:left="0" w:right="-65"/>
              <w:jc w:val="left"/>
              <w:rPr>
                <w:rFonts w:cs="Arial"/>
                <w:b w:val="0"/>
                <w:bCs/>
              </w:rPr>
            </w:pPr>
            <w:r w:rsidRPr="007C28E8">
              <w:rPr>
                <w:rFonts w:cs="Arial"/>
                <w:b w:val="0"/>
                <w:bCs/>
                <w:i/>
                <w:iCs/>
              </w:rPr>
              <w:t>General Insurance conditions</w:t>
            </w:r>
          </w:p>
        </w:tc>
        <w:tc>
          <w:tcPr>
            <w:tcW w:w="3491" w:type="pct"/>
            <w:gridSpan w:val="3"/>
            <w:tcBorders>
              <w:top w:val="single" w:sz="4" w:space="0" w:color="3C0F11"/>
              <w:left w:val="single" w:sz="4" w:space="0" w:color="3C0F11"/>
              <w:bottom w:val="single" w:sz="4" w:space="0" w:color="3C0F11"/>
              <w:right w:val="single" w:sz="4" w:space="0" w:color="3C0F11"/>
            </w:tcBorders>
          </w:tcPr>
          <w:p w14:paraId="4285C3D5" w14:textId="1A8AD5F9"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DUAL AVBDO CZ 202</w:t>
            </w:r>
            <w:r w:rsidR="008A0FE9" w:rsidRPr="007C28E8">
              <w:rPr>
                <w:rFonts w:cs="Arial"/>
              </w:rPr>
              <w:t>5</w:t>
            </w:r>
            <w:r w:rsidRPr="007C28E8">
              <w:rPr>
                <w:rFonts w:cs="Arial"/>
              </w:rPr>
              <w:t xml:space="preserve">, v. </w:t>
            </w:r>
            <w:r w:rsidR="008A0FE9" w:rsidRPr="007C28E8">
              <w:rPr>
                <w:rFonts w:cs="Arial"/>
              </w:rPr>
              <w:t>05</w:t>
            </w:r>
            <w:r w:rsidRPr="007C28E8">
              <w:rPr>
                <w:rFonts w:cs="Arial"/>
              </w:rPr>
              <w:t>/202</w:t>
            </w:r>
            <w:r w:rsidR="008A0FE9" w:rsidRPr="007C28E8">
              <w:rPr>
                <w:rFonts w:cs="Arial"/>
              </w:rPr>
              <w:t>5</w:t>
            </w:r>
            <w:r w:rsidRPr="007C28E8">
              <w:rPr>
                <w:rFonts w:cs="Arial"/>
              </w:rPr>
              <w:t xml:space="preserve"> </w:t>
            </w:r>
          </w:p>
        </w:tc>
      </w:tr>
      <w:tr w:rsidR="00960A6D" w:rsidRPr="007C28E8" w14:paraId="5AB6DC48"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16E1D58C" w14:textId="77777777" w:rsidR="00960A6D" w:rsidRPr="007C28E8" w:rsidRDefault="00960A6D" w:rsidP="001575C0">
            <w:pPr>
              <w:pStyle w:val="TableTextLeft"/>
              <w:ind w:left="0" w:right="281"/>
              <w:jc w:val="left"/>
              <w:rPr>
                <w:rFonts w:cs="Arial"/>
                <w:b w:val="0"/>
                <w:bCs/>
              </w:rPr>
            </w:pPr>
            <w:r w:rsidRPr="007C28E8">
              <w:rPr>
                <w:rFonts w:cs="Arial"/>
                <w:bCs/>
              </w:rPr>
              <w:t xml:space="preserve">Náklady na šetření a zásah státního orgánu </w:t>
            </w:r>
            <w:r w:rsidRPr="007C28E8">
              <w:rPr>
                <w:rFonts w:cs="Arial"/>
                <w:bCs/>
              </w:rPr>
              <w:br/>
              <w:t>(čl. 1.2)</w:t>
            </w:r>
          </w:p>
          <w:p w14:paraId="13EEBA14" w14:textId="0C019387" w:rsidR="00960A6D" w:rsidRPr="007C28E8" w:rsidRDefault="00960A6D" w:rsidP="000E4B04">
            <w:pPr>
              <w:pStyle w:val="TableTextLeft"/>
              <w:ind w:left="720" w:right="281" w:hanging="720"/>
              <w:jc w:val="left"/>
              <w:rPr>
                <w:rFonts w:cs="Arial"/>
                <w:i/>
                <w:iCs/>
              </w:rPr>
            </w:pPr>
            <w:r w:rsidRPr="007C28E8">
              <w:rPr>
                <w:rFonts w:cs="Arial"/>
                <w:b w:val="0"/>
                <w:bCs/>
                <w:i/>
                <w:iCs/>
              </w:rPr>
              <w:t>Raid &amp; Inquiry Costs (art. 1.2)</w:t>
            </w:r>
          </w:p>
        </w:tc>
        <w:tc>
          <w:tcPr>
            <w:tcW w:w="3491" w:type="pct"/>
            <w:gridSpan w:val="3"/>
            <w:tcBorders>
              <w:top w:val="single" w:sz="4" w:space="0" w:color="3C0F11"/>
              <w:left w:val="single" w:sz="4" w:space="0" w:color="3C0F11"/>
              <w:bottom w:val="single" w:sz="4" w:space="0" w:color="3C0F11"/>
              <w:right w:val="single" w:sz="4" w:space="0" w:color="3C0F11"/>
            </w:tcBorders>
          </w:tcPr>
          <w:p w14:paraId="486557C6"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72E51DD8"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Up to the Full LIMIT OF LIABILITY in the aggregate</w:t>
            </w:r>
          </w:p>
        </w:tc>
      </w:tr>
      <w:tr w:rsidR="00960A6D" w:rsidRPr="007C28E8" w14:paraId="57A3DCD4"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42D96E4" w14:textId="77777777" w:rsidR="00960A6D" w:rsidRPr="007C28E8" w:rsidRDefault="00960A6D" w:rsidP="001575C0">
            <w:pPr>
              <w:pStyle w:val="TableTextLeft"/>
              <w:ind w:left="0" w:right="281"/>
              <w:jc w:val="left"/>
              <w:rPr>
                <w:rFonts w:cs="Arial"/>
                <w:b w:val="0"/>
                <w:bCs/>
              </w:rPr>
            </w:pPr>
            <w:r w:rsidRPr="007C28E8">
              <w:rPr>
                <w:rFonts w:cs="Arial"/>
                <w:bCs/>
              </w:rPr>
              <w:t>Náklady na ochranu majetku a osobní svobody (osobní náklady) (čl. 2.3)</w:t>
            </w:r>
          </w:p>
          <w:p w14:paraId="54026F69" w14:textId="77777777" w:rsidR="00960A6D" w:rsidRPr="007C28E8" w:rsidRDefault="00960A6D" w:rsidP="001575C0">
            <w:pPr>
              <w:pStyle w:val="TableTextLeft"/>
              <w:ind w:left="0" w:right="281"/>
              <w:jc w:val="left"/>
              <w:rPr>
                <w:rFonts w:cs="Arial"/>
                <w:b w:val="0"/>
                <w:bCs/>
                <w:i/>
                <w:iCs/>
              </w:rPr>
            </w:pPr>
            <w:r w:rsidRPr="007C28E8">
              <w:rPr>
                <w:rFonts w:cs="Arial"/>
                <w:b w:val="0"/>
                <w:bCs/>
                <w:i/>
                <w:iCs/>
              </w:rPr>
              <w:t>Assets and Liberty Protection (personal expenses) (art. 2.3)</w:t>
            </w:r>
          </w:p>
        </w:tc>
        <w:tc>
          <w:tcPr>
            <w:tcW w:w="3491" w:type="pct"/>
            <w:gridSpan w:val="3"/>
            <w:tcBorders>
              <w:top w:val="single" w:sz="4" w:space="0" w:color="3C0F11"/>
              <w:left w:val="single" w:sz="4" w:space="0" w:color="3C0F11"/>
              <w:bottom w:val="single" w:sz="4" w:space="0" w:color="3C0F11"/>
              <w:right w:val="single" w:sz="4" w:space="0" w:color="3C0F11"/>
            </w:tcBorders>
          </w:tcPr>
          <w:p w14:paraId="7C78ED07" w14:textId="5EA53BCC"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20</w:t>
            </w:r>
            <w:r w:rsidR="00906972" w:rsidRPr="007C28E8">
              <w:rPr>
                <w:rFonts w:cs="Arial"/>
              </w:rPr>
              <w:t xml:space="preserve"> </w:t>
            </w:r>
            <w:r w:rsidRPr="007C28E8">
              <w:rPr>
                <w:rFonts w:cs="Arial"/>
              </w:rPr>
              <w:t>% LIMITU POJISTNÉHO PLNĚNÍ, ale maximálně 2</w:t>
            </w:r>
            <w:r w:rsidR="000E4B04" w:rsidRPr="007C28E8">
              <w:rPr>
                <w:rFonts w:cs="Arial"/>
              </w:rPr>
              <w:t>5</w:t>
            </w:r>
            <w:r w:rsidRPr="007C28E8">
              <w:rPr>
                <w:rFonts w:cs="Arial"/>
              </w:rPr>
              <w:t xml:space="preserve">.000.000 </w:t>
            </w:r>
            <w:r w:rsidR="005C07B5" w:rsidRPr="007C28E8">
              <w:rPr>
                <w:rFonts w:cs="Arial"/>
              </w:rPr>
              <w:t xml:space="preserve">Kč </w:t>
            </w:r>
            <w:r w:rsidRPr="007C28E8">
              <w:rPr>
                <w:rFonts w:cs="Arial"/>
              </w:rPr>
              <w:t>na všechny pojistné události</w:t>
            </w:r>
          </w:p>
          <w:p w14:paraId="462A163C" w14:textId="518A5570"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20</w:t>
            </w:r>
            <w:r w:rsidR="00906972" w:rsidRPr="007C28E8">
              <w:rPr>
                <w:rFonts w:cs="Arial"/>
                <w:i/>
                <w:iCs/>
              </w:rPr>
              <w:t xml:space="preserve"> </w:t>
            </w:r>
            <w:r w:rsidRPr="007C28E8">
              <w:rPr>
                <w:rFonts w:cs="Arial"/>
                <w:i/>
                <w:iCs/>
              </w:rPr>
              <w:t>% of the LIMIT OF LIABILITY, but maximum CZK 2</w:t>
            </w:r>
            <w:r w:rsidR="000E4B04" w:rsidRPr="007C28E8">
              <w:rPr>
                <w:rFonts w:cs="Arial"/>
                <w:i/>
                <w:iCs/>
              </w:rPr>
              <w:t>5</w:t>
            </w:r>
            <w:r w:rsidRPr="007C28E8">
              <w:rPr>
                <w:rFonts w:cs="Arial"/>
                <w:i/>
                <w:iCs/>
              </w:rPr>
              <w:t>.000.000 in the aggregate</w:t>
            </w:r>
          </w:p>
        </w:tc>
      </w:tr>
      <w:tr w:rsidR="00960A6D" w:rsidRPr="007C28E8" w14:paraId="0F0F87EE"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445B9379" w14:textId="77777777" w:rsidR="00960A6D" w:rsidRPr="007C28E8" w:rsidRDefault="00960A6D" w:rsidP="001575C0">
            <w:pPr>
              <w:pStyle w:val="TableTextLeft"/>
              <w:ind w:left="0" w:right="281"/>
              <w:jc w:val="left"/>
              <w:rPr>
                <w:rFonts w:cs="Arial"/>
                <w:b w:val="0"/>
                <w:bCs/>
              </w:rPr>
            </w:pPr>
            <w:r w:rsidRPr="007C28E8">
              <w:rPr>
                <w:rFonts w:cs="Arial"/>
                <w:bCs/>
              </w:rPr>
              <w:lastRenderedPageBreak/>
              <w:t>Náklady na kauci (čl. 2.4)</w:t>
            </w:r>
          </w:p>
          <w:p w14:paraId="0835565D" w14:textId="77777777" w:rsidR="00960A6D" w:rsidRPr="007C28E8" w:rsidRDefault="00960A6D" w:rsidP="001575C0">
            <w:pPr>
              <w:pStyle w:val="TableTextLeft"/>
              <w:ind w:left="0" w:right="281"/>
              <w:jc w:val="left"/>
              <w:rPr>
                <w:rFonts w:cs="Arial"/>
                <w:b w:val="0"/>
                <w:bCs/>
                <w:i/>
                <w:iCs/>
              </w:rPr>
            </w:pPr>
            <w:r w:rsidRPr="007C28E8">
              <w:rPr>
                <w:rFonts w:cs="Arial"/>
                <w:b w:val="0"/>
                <w:bCs/>
                <w:i/>
                <w:iCs/>
              </w:rPr>
              <w:t xml:space="preserve">Bail Bond &amp; Civil Bond Expenses (art. 2.4)  </w:t>
            </w:r>
          </w:p>
        </w:tc>
        <w:tc>
          <w:tcPr>
            <w:tcW w:w="3491" w:type="pct"/>
            <w:gridSpan w:val="3"/>
            <w:tcBorders>
              <w:top w:val="single" w:sz="4" w:space="0" w:color="3C0F11"/>
              <w:left w:val="single" w:sz="4" w:space="0" w:color="3C0F11"/>
              <w:bottom w:val="single" w:sz="4" w:space="0" w:color="3C0F11"/>
              <w:right w:val="single" w:sz="4" w:space="0" w:color="3C0F11"/>
            </w:tcBorders>
          </w:tcPr>
          <w:p w14:paraId="013ED341"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623B1132"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Up to the Full LIMIT OF LIABILITY in the aggregate</w:t>
            </w:r>
          </w:p>
        </w:tc>
      </w:tr>
      <w:tr w:rsidR="00960A6D" w:rsidRPr="007C28E8" w14:paraId="59C9BBBD"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61DE6F74" w14:textId="77777777" w:rsidR="00960A6D" w:rsidRPr="00C17E61" w:rsidRDefault="00960A6D" w:rsidP="001575C0">
            <w:pPr>
              <w:pStyle w:val="TableTextLeft"/>
              <w:ind w:left="0" w:right="281"/>
              <w:jc w:val="left"/>
              <w:rPr>
                <w:rFonts w:cs="Arial"/>
                <w:b w:val="0"/>
                <w:bCs/>
                <w:lang w:val="fr-FR"/>
              </w:rPr>
            </w:pPr>
            <w:r w:rsidRPr="00C17E61">
              <w:rPr>
                <w:rFonts w:cs="Arial"/>
                <w:bCs/>
                <w:lang w:val="fr-FR"/>
              </w:rPr>
              <w:t>Náklady na psychologickou pomoc (čl. 2.7)</w:t>
            </w:r>
          </w:p>
          <w:p w14:paraId="2D66A59C" w14:textId="77777777" w:rsidR="00960A6D" w:rsidRPr="007C28E8" w:rsidRDefault="00960A6D" w:rsidP="001575C0">
            <w:pPr>
              <w:pStyle w:val="TableTextLeft"/>
              <w:ind w:left="0" w:right="281"/>
              <w:jc w:val="left"/>
              <w:rPr>
                <w:rFonts w:cs="Arial"/>
                <w:b w:val="0"/>
                <w:bCs/>
                <w:i/>
                <w:iCs/>
              </w:rPr>
            </w:pPr>
            <w:r w:rsidRPr="007C28E8">
              <w:rPr>
                <w:rFonts w:cs="Arial"/>
                <w:b w:val="0"/>
                <w:bCs/>
                <w:i/>
                <w:iCs/>
              </w:rPr>
              <w:t>Counselling Service Expenses (art. 2.7)</w:t>
            </w:r>
          </w:p>
        </w:tc>
        <w:tc>
          <w:tcPr>
            <w:tcW w:w="3491" w:type="pct"/>
            <w:gridSpan w:val="3"/>
            <w:tcBorders>
              <w:top w:val="single" w:sz="4" w:space="0" w:color="3C0F11"/>
              <w:left w:val="single" w:sz="4" w:space="0" w:color="3C0F11"/>
              <w:bottom w:val="single" w:sz="4" w:space="0" w:color="3C0F11"/>
              <w:right w:val="single" w:sz="4" w:space="0" w:color="3C0F11"/>
            </w:tcBorders>
          </w:tcPr>
          <w:p w14:paraId="55EC1DCC" w14:textId="349218CE"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150.000 </w:t>
            </w:r>
            <w:r w:rsidR="005C07B5" w:rsidRPr="007C28E8">
              <w:rPr>
                <w:rFonts w:cs="Arial"/>
              </w:rPr>
              <w:t xml:space="preserve">Kč </w:t>
            </w:r>
            <w:r w:rsidRPr="007C28E8">
              <w:rPr>
                <w:rFonts w:cs="Arial"/>
              </w:rPr>
              <w:t xml:space="preserve">na pojištěnou osobu a událost, ale maximálně 500.000 </w:t>
            </w:r>
            <w:r w:rsidR="005C07B5" w:rsidRPr="007C28E8">
              <w:rPr>
                <w:rFonts w:cs="Arial"/>
              </w:rPr>
              <w:t xml:space="preserve">Kč </w:t>
            </w:r>
            <w:r w:rsidRPr="007C28E8">
              <w:rPr>
                <w:rFonts w:cs="Arial"/>
              </w:rPr>
              <w:t>na všechny pojistné události</w:t>
            </w:r>
          </w:p>
          <w:p w14:paraId="5E4009ED" w14:textId="6660A38B"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CZK 150.000 per insured person and per insured event, but maximum </w:t>
            </w:r>
            <w:r w:rsidR="00906972" w:rsidRPr="007C28E8">
              <w:rPr>
                <w:rFonts w:cs="Arial"/>
                <w:i/>
                <w:iCs/>
              </w:rPr>
              <w:t xml:space="preserve">      </w:t>
            </w:r>
            <w:r w:rsidRPr="007C28E8">
              <w:rPr>
                <w:rFonts w:cs="Arial"/>
                <w:i/>
                <w:iCs/>
              </w:rPr>
              <w:t xml:space="preserve">CZK 500.000 in the aggregate  </w:t>
            </w:r>
          </w:p>
        </w:tc>
      </w:tr>
      <w:tr w:rsidR="00960A6D" w:rsidRPr="007C28E8" w14:paraId="5C088F5F"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2B34180E" w14:textId="77777777" w:rsidR="00960A6D" w:rsidRPr="007C28E8" w:rsidRDefault="00960A6D" w:rsidP="001575C0">
            <w:pPr>
              <w:pStyle w:val="TableTextLeft"/>
              <w:ind w:left="0" w:right="281"/>
              <w:jc w:val="left"/>
              <w:rPr>
                <w:rFonts w:cs="Arial"/>
                <w:b w:val="0"/>
                <w:bCs/>
              </w:rPr>
            </w:pPr>
            <w:r w:rsidRPr="007C28E8">
              <w:rPr>
                <w:rFonts w:cs="Arial"/>
                <w:bCs/>
              </w:rPr>
              <w:t>Náklady na zmírnění újmy (čl. 2.9)</w:t>
            </w:r>
          </w:p>
          <w:p w14:paraId="088B9520" w14:textId="77777777" w:rsidR="00960A6D" w:rsidRPr="007C28E8" w:rsidRDefault="00960A6D" w:rsidP="001575C0">
            <w:pPr>
              <w:pStyle w:val="TableTextLeft"/>
              <w:ind w:left="0" w:right="281"/>
              <w:jc w:val="left"/>
              <w:rPr>
                <w:rFonts w:cs="Arial"/>
                <w:b w:val="0"/>
                <w:bCs/>
                <w:i/>
                <w:iCs/>
              </w:rPr>
            </w:pPr>
            <w:r w:rsidRPr="007C28E8">
              <w:rPr>
                <w:rFonts w:cs="Arial"/>
                <w:b w:val="0"/>
                <w:bCs/>
                <w:i/>
                <w:iCs/>
              </w:rPr>
              <w:t>Damage Limitation Extension (art. 2.9)</w:t>
            </w:r>
          </w:p>
        </w:tc>
        <w:tc>
          <w:tcPr>
            <w:tcW w:w="3491" w:type="pct"/>
            <w:gridSpan w:val="3"/>
            <w:tcBorders>
              <w:top w:val="single" w:sz="4" w:space="0" w:color="3C0F11"/>
              <w:left w:val="single" w:sz="4" w:space="0" w:color="3C0F11"/>
              <w:bottom w:val="single" w:sz="4" w:space="0" w:color="3C0F11"/>
              <w:right w:val="single" w:sz="4" w:space="0" w:color="3C0F11"/>
            </w:tcBorders>
          </w:tcPr>
          <w:p w14:paraId="6DE49D67" w14:textId="6CF998B9"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20</w:t>
            </w:r>
            <w:r w:rsidR="00906972" w:rsidRPr="007C28E8">
              <w:rPr>
                <w:rFonts w:cs="Arial"/>
              </w:rPr>
              <w:t xml:space="preserve"> </w:t>
            </w:r>
            <w:r w:rsidRPr="007C28E8">
              <w:rPr>
                <w:rFonts w:cs="Arial"/>
              </w:rPr>
              <w:t>% LIMITU POJISTNÉHO PLNĚNÍ na všechny pojistné události</w:t>
            </w:r>
          </w:p>
          <w:p w14:paraId="76775BC5" w14:textId="2614B04F"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20</w:t>
            </w:r>
            <w:r w:rsidR="00906972" w:rsidRPr="007C28E8">
              <w:rPr>
                <w:rFonts w:cs="Arial"/>
                <w:i/>
                <w:iCs/>
              </w:rPr>
              <w:t xml:space="preserve"> </w:t>
            </w:r>
            <w:r w:rsidRPr="007C28E8">
              <w:rPr>
                <w:rFonts w:cs="Arial"/>
                <w:i/>
                <w:iCs/>
              </w:rPr>
              <w:t>% of the LIMIT OF LIABILITY in the aggregate</w:t>
            </w:r>
          </w:p>
        </w:tc>
      </w:tr>
      <w:tr w:rsidR="00960A6D" w:rsidRPr="007C28E8" w14:paraId="2B52617E"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4F7124A0" w14:textId="77777777" w:rsidR="00960A6D" w:rsidRPr="007C28E8" w:rsidRDefault="00960A6D" w:rsidP="001575C0">
            <w:pPr>
              <w:pStyle w:val="TableTextLeft"/>
              <w:ind w:left="0" w:right="281"/>
              <w:jc w:val="left"/>
              <w:rPr>
                <w:rFonts w:cs="Arial"/>
                <w:b w:val="0"/>
                <w:bCs/>
              </w:rPr>
            </w:pPr>
            <w:r w:rsidRPr="007C28E8">
              <w:rPr>
                <w:rFonts w:cs="Arial"/>
                <w:bCs/>
              </w:rPr>
              <w:t>Náklady v mimořádných situacích (čl. 2.10)</w:t>
            </w:r>
          </w:p>
          <w:p w14:paraId="4296E44B" w14:textId="77777777" w:rsidR="00960A6D" w:rsidRPr="007C28E8" w:rsidRDefault="00960A6D" w:rsidP="001575C0">
            <w:pPr>
              <w:pStyle w:val="TableTextLeft"/>
              <w:ind w:left="0"/>
              <w:jc w:val="left"/>
              <w:rPr>
                <w:rFonts w:cs="Arial"/>
                <w:b w:val="0"/>
                <w:bCs/>
                <w:i/>
                <w:iCs/>
              </w:rPr>
            </w:pPr>
            <w:r w:rsidRPr="007C28E8">
              <w:rPr>
                <w:rFonts w:cs="Arial"/>
                <w:b w:val="0"/>
                <w:bCs/>
                <w:i/>
                <w:iCs/>
              </w:rPr>
              <w:t>Emergency Costs (art. 2.10)</w:t>
            </w:r>
          </w:p>
        </w:tc>
        <w:tc>
          <w:tcPr>
            <w:tcW w:w="3491" w:type="pct"/>
            <w:gridSpan w:val="3"/>
            <w:tcBorders>
              <w:top w:val="single" w:sz="4" w:space="0" w:color="3C0F11"/>
              <w:left w:val="single" w:sz="4" w:space="0" w:color="3C0F11"/>
              <w:bottom w:val="single" w:sz="4" w:space="0" w:color="3C0F11"/>
              <w:right w:val="single" w:sz="4" w:space="0" w:color="3C0F11"/>
            </w:tcBorders>
          </w:tcPr>
          <w:p w14:paraId="31C0E6BE" w14:textId="0CFB083B"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20</w:t>
            </w:r>
            <w:r w:rsidR="00906972" w:rsidRPr="007C28E8">
              <w:rPr>
                <w:rFonts w:cs="Arial"/>
              </w:rPr>
              <w:t xml:space="preserve"> </w:t>
            </w:r>
            <w:r w:rsidRPr="007C28E8">
              <w:rPr>
                <w:rFonts w:cs="Arial"/>
              </w:rPr>
              <w:t>% LIMITU POJISTNÉHO PLNĚNÍ na všechny pojistné události</w:t>
            </w:r>
          </w:p>
          <w:p w14:paraId="5060C42A" w14:textId="52A77125"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20</w:t>
            </w:r>
            <w:r w:rsidR="00906972" w:rsidRPr="007C28E8">
              <w:rPr>
                <w:rFonts w:cs="Arial"/>
                <w:i/>
                <w:iCs/>
              </w:rPr>
              <w:t xml:space="preserve"> </w:t>
            </w:r>
            <w:r w:rsidRPr="007C28E8">
              <w:rPr>
                <w:rFonts w:cs="Arial"/>
                <w:i/>
                <w:iCs/>
              </w:rPr>
              <w:t>% of the LIMIT OF LIABILITY in the aggregate</w:t>
            </w:r>
          </w:p>
        </w:tc>
      </w:tr>
      <w:tr w:rsidR="00960A6D" w:rsidRPr="007C28E8" w14:paraId="06C212AD"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1272D746" w14:textId="77777777" w:rsidR="00960A6D" w:rsidRPr="007C28E8" w:rsidRDefault="00960A6D" w:rsidP="001575C0">
            <w:pPr>
              <w:pStyle w:val="TableTextLeft"/>
              <w:ind w:left="0" w:right="73"/>
              <w:jc w:val="left"/>
              <w:rPr>
                <w:rFonts w:cs="Arial"/>
                <w:b w:val="0"/>
                <w:bCs/>
              </w:rPr>
            </w:pPr>
            <w:r w:rsidRPr="007C28E8">
              <w:rPr>
                <w:rFonts w:cs="Arial"/>
                <w:bCs/>
              </w:rPr>
              <w:t>Náklady na vydání (čl. 2.12)</w:t>
            </w:r>
          </w:p>
          <w:p w14:paraId="5AB94A41" w14:textId="77777777" w:rsidR="00960A6D" w:rsidRPr="007C28E8" w:rsidRDefault="00960A6D" w:rsidP="001575C0">
            <w:pPr>
              <w:pStyle w:val="TableTextLeft"/>
              <w:ind w:left="0"/>
              <w:jc w:val="left"/>
              <w:rPr>
                <w:rFonts w:cs="Arial"/>
                <w:b w:val="0"/>
                <w:bCs/>
                <w:i/>
                <w:iCs/>
              </w:rPr>
            </w:pPr>
            <w:r w:rsidRPr="007C28E8">
              <w:rPr>
                <w:rFonts w:cs="Arial"/>
                <w:b w:val="0"/>
                <w:bCs/>
                <w:i/>
                <w:iCs/>
              </w:rPr>
              <w:t xml:space="preserve">Extradition Costs (art. 2.12)  </w:t>
            </w:r>
          </w:p>
        </w:tc>
        <w:tc>
          <w:tcPr>
            <w:tcW w:w="3491" w:type="pct"/>
            <w:gridSpan w:val="3"/>
            <w:tcBorders>
              <w:top w:val="single" w:sz="4" w:space="0" w:color="3C0F11"/>
              <w:left w:val="single" w:sz="4" w:space="0" w:color="3C0F11"/>
              <w:bottom w:val="single" w:sz="4" w:space="0" w:color="3C0F11"/>
              <w:right w:val="single" w:sz="4" w:space="0" w:color="3C0F11"/>
            </w:tcBorders>
          </w:tcPr>
          <w:p w14:paraId="116297CD"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0E665470"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Up to the Full LIMIT OF LIABILITY in the aggregate</w:t>
            </w:r>
          </w:p>
        </w:tc>
      </w:tr>
      <w:tr w:rsidR="00960A6D" w:rsidRPr="007C28E8" w14:paraId="384B81C7"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5E531CFC" w14:textId="4AED0CA5" w:rsidR="00960A6D" w:rsidRPr="007C28E8" w:rsidRDefault="00960A6D" w:rsidP="001575C0">
            <w:pPr>
              <w:pStyle w:val="TableTextLeft"/>
              <w:ind w:left="0" w:right="281"/>
              <w:jc w:val="left"/>
              <w:rPr>
                <w:rFonts w:cs="Arial"/>
                <w:b w:val="0"/>
                <w:bCs/>
              </w:rPr>
            </w:pPr>
            <w:r w:rsidRPr="007C28E8">
              <w:rPr>
                <w:rFonts w:cs="Arial"/>
                <w:bCs/>
              </w:rPr>
              <w:t xml:space="preserve">Náklady na obranu </w:t>
            </w:r>
            <w:r w:rsidR="00F6360F" w:rsidRPr="007C28E8">
              <w:rPr>
                <w:rFonts w:cs="Arial"/>
                <w:bCs/>
              </w:rPr>
              <w:t xml:space="preserve">               </w:t>
            </w:r>
            <w:r w:rsidRPr="007C28E8">
              <w:rPr>
                <w:rFonts w:cs="Arial"/>
                <w:bCs/>
              </w:rPr>
              <w:t xml:space="preserve">v souvislosti s porušením      bezpečnosti práce </w:t>
            </w:r>
            <w:r w:rsidRPr="007C28E8">
              <w:rPr>
                <w:rFonts w:cs="Arial"/>
                <w:bCs/>
              </w:rPr>
              <w:br/>
              <w:t>(čl. 2.14)</w:t>
            </w:r>
          </w:p>
          <w:p w14:paraId="358BDAD8" w14:textId="77777777" w:rsidR="00960A6D" w:rsidRPr="007C28E8" w:rsidRDefault="00960A6D" w:rsidP="001575C0">
            <w:pPr>
              <w:pStyle w:val="TableTextLeft"/>
              <w:ind w:left="0" w:right="281"/>
              <w:jc w:val="left"/>
              <w:rPr>
                <w:rFonts w:cs="Arial"/>
                <w:b w:val="0"/>
                <w:bCs/>
                <w:i/>
                <w:iCs/>
              </w:rPr>
            </w:pPr>
            <w:r w:rsidRPr="007C28E8">
              <w:rPr>
                <w:rFonts w:cs="Arial"/>
                <w:b w:val="0"/>
                <w:bCs/>
                <w:i/>
                <w:iCs/>
              </w:rPr>
              <w:t>Occupational Health &amp; Safety Defence Costs (art. 2.14)</w:t>
            </w:r>
          </w:p>
        </w:tc>
        <w:tc>
          <w:tcPr>
            <w:tcW w:w="3491" w:type="pct"/>
            <w:gridSpan w:val="3"/>
            <w:tcBorders>
              <w:top w:val="single" w:sz="4" w:space="0" w:color="3C0F11"/>
              <w:left w:val="single" w:sz="4" w:space="0" w:color="3C0F11"/>
              <w:bottom w:val="single" w:sz="4" w:space="0" w:color="3C0F11"/>
              <w:right w:val="single" w:sz="4" w:space="0" w:color="3C0F11"/>
            </w:tcBorders>
          </w:tcPr>
          <w:p w14:paraId="5FB7E5E9" w14:textId="77777777" w:rsidR="00C54DC9" w:rsidRPr="007C28E8" w:rsidRDefault="00C54DC9"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p>
          <w:p w14:paraId="51576E81" w14:textId="405032C1"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22372322"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Up to the Full LIMIT OF LIABILITY in the aggregate</w:t>
            </w:r>
          </w:p>
        </w:tc>
      </w:tr>
      <w:tr w:rsidR="00960A6D" w:rsidRPr="007C28E8" w14:paraId="39D82614"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43BE9280" w14:textId="77777777" w:rsidR="00960A6D" w:rsidRPr="007C28E8" w:rsidRDefault="00960A6D" w:rsidP="001575C0">
            <w:pPr>
              <w:pStyle w:val="TableTextLeft"/>
              <w:ind w:left="0" w:right="281"/>
              <w:jc w:val="left"/>
              <w:rPr>
                <w:rFonts w:cs="Arial"/>
                <w:b w:val="0"/>
                <w:bCs/>
              </w:rPr>
            </w:pPr>
            <w:r w:rsidRPr="007C28E8">
              <w:rPr>
                <w:rFonts w:cs="Arial"/>
                <w:bCs/>
              </w:rPr>
              <w:t>Náklady na PR (čl. 2.16)</w:t>
            </w:r>
          </w:p>
          <w:p w14:paraId="0106FEDD" w14:textId="77777777" w:rsidR="00960A6D" w:rsidRPr="007C28E8" w:rsidRDefault="00960A6D" w:rsidP="001575C0">
            <w:pPr>
              <w:pStyle w:val="TableTextLeft"/>
              <w:ind w:left="0" w:right="-65"/>
              <w:jc w:val="left"/>
              <w:rPr>
                <w:rFonts w:cs="Arial"/>
                <w:b w:val="0"/>
                <w:bCs/>
                <w:i/>
                <w:iCs/>
              </w:rPr>
            </w:pPr>
            <w:r w:rsidRPr="007C28E8">
              <w:rPr>
                <w:rFonts w:cs="Arial"/>
                <w:b w:val="0"/>
                <w:bCs/>
                <w:i/>
                <w:iCs/>
              </w:rPr>
              <w:t>Reputation (public relations) expenses (art. 2.16)</w:t>
            </w:r>
          </w:p>
        </w:tc>
        <w:tc>
          <w:tcPr>
            <w:tcW w:w="3491" w:type="pct"/>
            <w:gridSpan w:val="3"/>
            <w:tcBorders>
              <w:top w:val="single" w:sz="4" w:space="0" w:color="3C0F11"/>
              <w:left w:val="single" w:sz="4" w:space="0" w:color="3C0F11"/>
              <w:bottom w:val="single" w:sz="4" w:space="0" w:color="3C0F11"/>
              <w:right w:val="single" w:sz="4" w:space="0" w:color="3C0F11"/>
            </w:tcBorders>
          </w:tcPr>
          <w:p w14:paraId="046C06E8"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3F51A29D" w14:textId="77777777" w:rsidR="00960A6D" w:rsidRPr="007C28E8" w:rsidRDefault="00960A6D"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Up to the Full LIMIT OF LIABILITY in the aggregate</w:t>
            </w:r>
          </w:p>
        </w:tc>
      </w:tr>
      <w:tr w:rsidR="00960A6D" w:rsidRPr="007C28E8" w14:paraId="3CB94EF7"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4399AF8" w14:textId="4435AE4C" w:rsidR="00960A6D" w:rsidRPr="007C28E8" w:rsidRDefault="00960A6D" w:rsidP="001575C0">
            <w:pPr>
              <w:pStyle w:val="TableTextLeft"/>
              <w:ind w:left="0" w:right="281"/>
              <w:jc w:val="left"/>
              <w:rPr>
                <w:rFonts w:cs="Arial"/>
                <w:b w:val="0"/>
                <w:bCs/>
              </w:rPr>
            </w:pPr>
            <w:r w:rsidRPr="007C28E8">
              <w:rPr>
                <w:rFonts w:cs="Arial"/>
                <w:bCs/>
              </w:rPr>
              <w:t xml:space="preserve">Náklady na cestu </w:t>
            </w:r>
            <w:r w:rsidR="00F6360F" w:rsidRPr="007C28E8">
              <w:rPr>
                <w:rFonts w:cs="Arial"/>
                <w:bCs/>
              </w:rPr>
              <w:t xml:space="preserve">                 </w:t>
            </w:r>
            <w:r w:rsidRPr="007C28E8">
              <w:rPr>
                <w:rFonts w:cs="Arial"/>
                <w:bCs/>
              </w:rPr>
              <w:t>a ubytování (čl. 2.17)</w:t>
            </w:r>
          </w:p>
          <w:p w14:paraId="20FADD6F" w14:textId="77777777" w:rsidR="00960A6D" w:rsidRPr="007C28E8" w:rsidRDefault="00960A6D" w:rsidP="001575C0">
            <w:pPr>
              <w:pStyle w:val="TableTextLeft"/>
              <w:ind w:left="0" w:right="281"/>
              <w:jc w:val="left"/>
              <w:rPr>
                <w:rFonts w:cs="Arial"/>
                <w:b w:val="0"/>
                <w:bCs/>
                <w:i/>
                <w:iCs/>
              </w:rPr>
            </w:pPr>
            <w:r w:rsidRPr="007C28E8">
              <w:rPr>
                <w:rFonts w:cs="Arial"/>
                <w:b w:val="0"/>
                <w:bCs/>
                <w:i/>
                <w:iCs/>
              </w:rPr>
              <w:t>Travel and accommodation expenses (art. 2.17)</w:t>
            </w:r>
          </w:p>
        </w:tc>
        <w:tc>
          <w:tcPr>
            <w:tcW w:w="3491" w:type="pct"/>
            <w:gridSpan w:val="3"/>
            <w:tcBorders>
              <w:top w:val="single" w:sz="4" w:space="0" w:color="3C0F11"/>
              <w:left w:val="single" w:sz="4" w:space="0" w:color="3C0F11"/>
              <w:bottom w:val="single" w:sz="4" w:space="0" w:color="3C0F11"/>
              <w:right w:val="single" w:sz="4" w:space="0" w:color="3C0F11"/>
            </w:tcBorders>
          </w:tcPr>
          <w:p w14:paraId="530DADC9" w14:textId="4259511A" w:rsidR="00960A6D" w:rsidRPr="007C28E8" w:rsidRDefault="005C07B5"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4.8</w:t>
            </w:r>
            <w:r w:rsidR="00960A6D" w:rsidRPr="007C28E8">
              <w:rPr>
                <w:rFonts w:cs="Arial"/>
              </w:rPr>
              <w:t xml:space="preserve">00.000 </w:t>
            </w:r>
            <w:r w:rsidRPr="007C28E8">
              <w:rPr>
                <w:rFonts w:cs="Arial"/>
              </w:rPr>
              <w:t xml:space="preserve">Kč </w:t>
            </w:r>
            <w:r w:rsidR="00960A6D" w:rsidRPr="007C28E8">
              <w:rPr>
                <w:rFonts w:cs="Arial"/>
              </w:rPr>
              <w:t>na všechny pojistné události</w:t>
            </w:r>
          </w:p>
          <w:p w14:paraId="4ED0D647" w14:textId="4CBEA84F" w:rsidR="00960A6D" w:rsidRPr="007C28E8" w:rsidRDefault="005C07B5" w:rsidP="001575C0">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CZK 4.8</w:t>
            </w:r>
            <w:r w:rsidR="00960A6D" w:rsidRPr="007C28E8">
              <w:rPr>
                <w:rFonts w:cs="Arial"/>
                <w:i/>
                <w:iCs/>
              </w:rPr>
              <w:t>00.000 in the aggregate</w:t>
            </w:r>
          </w:p>
        </w:tc>
      </w:tr>
      <w:tr w:rsidR="00607FD5" w:rsidRPr="007C28E8" w14:paraId="4939DBD3"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450E2BF9" w14:textId="77777777" w:rsidR="00607FD5" w:rsidRPr="007C28E8" w:rsidRDefault="00607FD5" w:rsidP="00607FD5">
            <w:pPr>
              <w:pStyle w:val="TableTextLeft"/>
              <w:ind w:left="0" w:right="281"/>
              <w:jc w:val="left"/>
              <w:rPr>
                <w:rFonts w:ascii="Arial" w:hAnsi="Arial" w:cs="Arial"/>
                <w:b w:val="0"/>
                <w:bCs/>
              </w:rPr>
            </w:pPr>
            <w:r w:rsidRPr="007C28E8">
              <w:rPr>
                <w:rFonts w:ascii="Arial" w:hAnsi="Arial" w:cs="Arial"/>
                <w:bCs/>
              </w:rPr>
              <w:t>Náklady na náhradní firemní vůz (čl. 2.19)</w:t>
            </w:r>
          </w:p>
          <w:p w14:paraId="7466CDD1" w14:textId="4BB9C540" w:rsidR="00607FD5" w:rsidRPr="007C28E8" w:rsidRDefault="00607FD5" w:rsidP="00607FD5">
            <w:pPr>
              <w:pStyle w:val="TableTextLeft"/>
              <w:ind w:left="0" w:right="281"/>
              <w:jc w:val="left"/>
              <w:rPr>
                <w:rFonts w:cs="Arial"/>
                <w:bCs/>
              </w:rPr>
            </w:pPr>
            <w:r w:rsidRPr="007C28E8">
              <w:rPr>
                <w:rFonts w:ascii="Arial" w:hAnsi="Arial" w:cs="Arial"/>
                <w:b w:val="0"/>
                <w:i/>
                <w:iCs/>
                <w:sz w:val="16"/>
                <w:szCs w:val="16"/>
              </w:rPr>
              <w:t>Costs of the replacement of the company car (art. 2.19)</w:t>
            </w:r>
          </w:p>
        </w:tc>
        <w:tc>
          <w:tcPr>
            <w:tcW w:w="3491" w:type="pct"/>
            <w:gridSpan w:val="3"/>
            <w:tcBorders>
              <w:top w:val="single" w:sz="4" w:space="0" w:color="3C0F11"/>
              <w:left w:val="single" w:sz="4" w:space="0" w:color="3C0F11"/>
              <w:bottom w:val="single" w:sz="4" w:space="0" w:color="3C0F11"/>
              <w:right w:val="single" w:sz="4" w:space="0" w:color="3C0F11"/>
            </w:tcBorders>
          </w:tcPr>
          <w:p w14:paraId="5D2A5F73" w14:textId="57849840" w:rsidR="00607FD5" w:rsidRPr="007C28E8" w:rsidRDefault="009F7D6F" w:rsidP="00607FD5">
            <w:pPr>
              <w:pStyle w:val="TableTextLeft"/>
              <w:ind w:left="0" w:right="281"/>
              <w:cnfStyle w:val="000000000000" w:firstRow="0" w:lastRow="0" w:firstColumn="0" w:lastColumn="0" w:oddVBand="0" w:evenVBand="0" w:oddHBand="0" w:evenHBand="0" w:firstRowFirstColumn="0" w:firstRowLastColumn="0" w:lastRowFirstColumn="0" w:lastRowLastColumn="0"/>
              <w:rPr>
                <w:rFonts w:ascii="Arial" w:hAnsi="Arial" w:cs="Arial"/>
              </w:rPr>
            </w:pPr>
            <w:r w:rsidRPr="007C28E8">
              <w:rPr>
                <w:rFonts w:ascii="Arial" w:hAnsi="Arial" w:cs="Arial"/>
              </w:rPr>
              <w:t>1.200</w:t>
            </w:r>
            <w:r w:rsidR="00607FD5" w:rsidRPr="007C28E8">
              <w:rPr>
                <w:rFonts w:ascii="Arial" w:hAnsi="Arial" w:cs="Arial"/>
              </w:rPr>
              <w:t xml:space="preserve">.000 </w:t>
            </w:r>
            <w:r w:rsidR="005C07B5" w:rsidRPr="007C28E8">
              <w:rPr>
                <w:rFonts w:ascii="Arial" w:hAnsi="Arial" w:cs="Arial"/>
              </w:rPr>
              <w:t xml:space="preserve">Kč </w:t>
            </w:r>
            <w:r w:rsidR="00607FD5" w:rsidRPr="007C28E8">
              <w:rPr>
                <w:rFonts w:ascii="Arial" w:hAnsi="Arial" w:cs="Arial"/>
              </w:rPr>
              <w:t>na všechny pojistné události</w:t>
            </w:r>
          </w:p>
          <w:p w14:paraId="26F2BC98" w14:textId="777EF6E0" w:rsidR="00607FD5" w:rsidRPr="007C28E8" w:rsidRDefault="009F7D6F"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ascii="Arial" w:hAnsi="Arial" w:cs="Arial"/>
                <w:i/>
                <w:iCs/>
              </w:rPr>
              <w:t>CZK 1</w:t>
            </w:r>
            <w:r w:rsidR="00607FD5" w:rsidRPr="007C28E8">
              <w:rPr>
                <w:rFonts w:ascii="Arial" w:hAnsi="Arial" w:cs="Arial"/>
                <w:i/>
                <w:iCs/>
              </w:rPr>
              <w:t>.</w:t>
            </w:r>
            <w:r w:rsidRPr="007C28E8">
              <w:rPr>
                <w:rFonts w:ascii="Arial" w:hAnsi="Arial" w:cs="Arial"/>
                <w:i/>
                <w:iCs/>
              </w:rPr>
              <w:t>2</w:t>
            </w:r>
            <w:r w:rsidR="00607FD5" w:rsidRPr="007C28E8">
              <w:rPr>
                <w:rFonts w:ascii="Arial" w:hAnsi="Arial" w:cs="Arial"/>
                <w:i/>
                <w:iCs/>
              </w:rPr>
              <w:t>00</w:t>
            </w:r>
            <w:r w:rsidRPr="007C28E8">
              <w:rPr>
                <w:rFonts w:ascii="Arial" w:hAnsi="Arial" w:cs="Arial"/>
                <w:i/>
                <w:iCs/>
              </w:rPr>
              <w:t>.000</w:t>
            </w:r>
            <w:r w:rsidR="00607FD5" w:rsidRPr="007C28E8">
              <w:rPr>
                <w:rFonts w:ascii="Arial" w:hAnsi="Arial" w:cs="Arial"/>
                <w:i/>
                <w:iCs/>
              </w:rPr>
              <w:t xml:space="preserve"> in the aggregate</w:t>
            </w:r>
          </w:p>
        </w:tc>
      </w:tr>
      <w:tr w:rsidR="00607FD5" w:rsidRPr="007C28E8" w14:paraId="3DCE8FD8"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2C172629" w14:textId="77777777" w:rsidR="00607FD5" w:rsidRPr="007C28E8" w:rsidRDefault="00607FD5" w:rsidP="00607FD5">
            <w:pPr>
              <w:pStyle w:val="TableTextLeft"/>
              <w:ind w:left="0" w:right="281"/>
              <w:jc w:val="left"/>
              <w:rPr>
                <w:rFonts w:cs="Arial"/>
                <w:b w:val="0"/>
                <w:bCs/>
              </w:rPr>
            </w:pPr>
            <w:r w:rsidRPr="007C28E8">
              <w:rPr>
                <w:rFonts w:cs="Arial"/>
                <w:bCs/>
              </w:rPr>
              <w:t xml:space="preserve">Nároky související </w:t>
            </w:r>
            <w:r w:rsidRPr="007C28E8">
              <w:rPr>
                <w:rFonts w:cs="Arial"/>
                <w:bCs/>
              </w:rPr>
              <w:br/>
              <w:t>s porušením pracovněprávních předpisů (čl. 6.34)</w:t>
            </w:r>
          </w:p>
          <w:p w14:paraId="0F1FB0DD" w14:textId="77777777" w:rsidR="00607FD5" w:rsidRPr="007C28E8" w:rsidRDefault="00607FD5" w:rsidP="00607FD5">
            <w:pPr>
              <w:pStyle w:val="TableTextLeft"/>
              <w:ind w:left="0" w:right="71"/>
              <w:jc w:val="left"/>
              <w:rPr>
                <w:rFonts w:cs="Arial"/>
                <w:b w:val="0"/>
                <w:bCs/>
                <w:i/>
                <w:iCs/>
              </w:rPr>
            </w:pPr>
            <w:r w:rsidRPr="007C28E8">
              <w:rPr>
                <w:rFonts w:cs="Arial"/>
                <w:b w:val="0"/>
                <w:bCs/>
                <w:i/>
                <w:iCs/>
              </w:rPr>
              <w:t>Employment Practice Breach coverage (art. 6.15)</w:t>
            </w:r>
          </w:p>
        </w:tc>
        <w:tc>
          <w:tcPr>
            <w:tcW w:w="3491" w:type="pct"/>
            <w:gridSpan w:val="3"/>
            <w:tcBorders>
              <w:top w:val="single" w:sz="4" w:space="0" w:color="3C0F11"/>
              <w:left w:val="single" w:sz="4" w:space="0" w:color="3C0F11"/>
              <w:bottom w:val="single" w:sz="4" w:space="0" w:color="3C0F11"/>
              <w:right w:val="single" w:sz="4" w:space="0" w:color="3C0F11"/>
            </w:tcBorders>
          </w:tcPr>
          <w:p w14:paraId="31A8D5BF" w14:textId="77777777" w:rsidR="00C54DC9" w:rsidRPr="007C28E8" w:rsidRDefault="00C54DC9"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p>
          <w:p w14:paraId="4DD0CA14" w14:textId="028489D8"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5DE53928" w14:textId="77777777"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Up to the Full LIMIT OF LIABILITY in the aggregate</w:t>
            </w:r>
          </w:p>
        </w:tc>
      </w:tr>
      <w:tr w:rsidR="00607FD5" w:rsidRPr="007C28E8" w14:paraId="502739DE"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87122EB" w14:textId="77777777" w:rsidR="00607FD5" w:rsidRPr="007C28E8" w:rsidRDefault="00607FD5" w:rsidP="00607FD5">
            <w:pPr>
              <w:pStyle w:val="TableTextLeft"/>
              <w:ind w:left="0" w:right="281"/>
              <w:jc w:val="left"/>
              <w:rPr>
                <w:rFonts w:cs="Arial"/>
                <w:b w:val="0"/>
                <w:bCs/>
              </w:rPr>
            </w:pPr>
            <w:r w:rsidRPr="007C28E8">
              <w:rPr>
                <w:rFonts w:cs="Arial"/>
                <w:bCs/>
              </w:rPr>
              <w:t>Pokuty a penále (čl. 6.42)</w:t>
            </w:r>
          </w:p>
          <w:p w14:paraId="675555DA" w14:textId="77777777" w:rsidR="00607FD5" w:rsidRPr="007C28E8" w:rsidRDefault="00607FD5" w:rsidP="00607FD5">
            <w:pPr>
              <w:pStyle w:val="TableTextLeft"/>
              <w:ind w:left="0" w:right="281"/>
              <w:jc w:val="left"/>
              <w:rPr>
                <w:rFonts w:cs="Arial"/>
                <w:b w:val="0"/>
                <w:bCs/>
                <w:i/>
                <w:iCs/>
              </w:rPr>
            </w:pPr>
            <w:r w:rsidRPr="007C28E8">
              <w:rPr>
                <w:rFonts w:cs="Arial"/>
                <w:b w:val="0"/>
                <w:bCs/>
                <w:i/>
                <w:iCs/>
              </w:rPr>
              <w:t>Fines and penalties (art. 6.29)</w:t>
            </w:r>
          </w:p>
        </w:tc>
        <w:tc>
          <w:tcPr>
            <w:tcW w:w="3491" w:type="pct"/>
            <w:gridSpan w:val="3"/>
            <w:tcBorders>
              <w:top w:val="single" w:sz="4" w:space="0" w:color="3C0F11"/>
              <w:left w:val="single" w:sz="4" w:space="0" w:color="3C0F11"/>
              <w:bottom w:val="single" w:sz="4" w:space="0" w:color="3C0F11"/>
              <w:right w:val="single" w:sz="4" w:space="0" w:color="3C0F11"/>
            </w:tcBorders>
          </w:tcPr>
          <w:p w14:paraId="4FCB8D25" w14:textId="77777777"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do výše LIMITU POJISTNÉHO PLNĚNÍ na všechny pojistné události</w:t>
            </w:r>
          </w:p>
          <w:p w14:paraId="4EF2B56F" w14:textId="77777777"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Up to the Full LIMIT OF LIABILITY in the aggregate</w:t>
            </w:r>
          </w:p>
        </w:tc>
      </w:tr>
      <w:tr w:rsidR="00607FD5" w:rsidRPr="007C28E8" w14:paraId="2D92ED01"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0BE3CBA0" w14:textId="77777777" w:rsidR="00607FD5" w:rsidRPr="007C28E8" w:rsidRDefault="00607FD5" w:rsidP="00607FD5">
            <w:pPr>
              <w:pStyle w:val="TableTextLeft"/>
              <w:ind w:left="0" w:right="281"/>
              <w:jc w:val="left"/>
              <w:rPr>
                <w:rFonts w:cs="Arial"/>
                <w:b w:val="0"/>
                <w:bCs/>
              </w:rPr>
            </w:pPr>
            <w:r w:rsidRPr="007C28E8">
              <w:rPr>
                <w:rFonts w:cs="Arial"/>
                <w:bCs/>
              </w:rPr>
              <w:t>Náklady insolvenčního řízení</w:t>
            </w:r>
          </w:p>
          <w:p w14:paraId="3D0761A9" w14:textId="77777777" w:rsidR="00607FD5" w:rsidRPr="007C28E8" w:rsidRDefault="00607FD5" w:rsidP="00607FD5">
            <w:pPr>
              <w:pStyle w:val="TableTextLeft"/>
              <w:ind w:left="0" w:right="77"/>
              <w:jc w:val="left"/>
              <w:rPr>
                <w:rFonts w:cs="Arial"/>
                <w:b w:val="0"/>
                <w:bCs/>
                <w:i/>
                <w:iCs/>
              </w:rPr>
            </w:pPr>
            <w:r w:rsidRPr="007C28E8">
              <w:rPr>
                <w:rFonts w:cs="Arial"/>
                <w:b w:val="0"/>
                <w:bCs/>
                <w:i/>
                <w:iCs/>
              </w:rPr>
              <w:t xml:space="preserve">Insolvency Hearing Cover  </w:t>
            </w:r>
          </w:p>
        </w:tc>
        <w:tc>
          <w:tcPr>
            <w:tcW w:w="3491" w:type="pct"/>
            <w:gridSpan w:val="3"/>
            <w:tcBorders>
              <w:top w:val="single" w:sz="4" w:space="0" w:color="3C0F11"/>
              <w:left w:val="single" w:sz="4" w:space="0" w:color="3C0F11"/>
              <w:bottom w:val="single" w:sz="4" w:space="0" w:color="3C0F11"/>
              <w:right w:val="single" w:sz="4" w:space="0" w:color="3C0F11"/>
            </w:tcBorders>
          </w:tcPr>
          <w:p w14:paraId="5F3A747F" w14:textId="08DE020B"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3.</w:t>
            </w:r>
            <w:r w:rsidR="005C07B5" w:rsidRPr="007C28E8">
              <w:rPr>
                <w:rFonts w:cs="Arial"/>
              </w:rPr>
              <w:t>6</w:t>
            </w:r>
            <w:r w:rsidRPr="007C28E8">
              <w:rPr>
                <w:rFonts w:cs="Arial"/>
              </w:rPr>
              <w:t>00.000</w:t>
            </w:r>
            <w:r w:rsidR="005C07B5" w:rsidRPr="007C28E8">
              <w:rPr>
                <w:rFonts w:cs="Arial"/>
              </w:rPr>
              <w:t xml:space="preserve"> Kč</w:t>
            </w:r>
            <w:r w:rsidRPr="007C28E8">
              <w:rPr>
                <w:rFonts w:cs="Arial"/>
              </w:rPr>
              <w:t xml:space="preserve"> na všechny pojistné události</w:t>
            </w:r>
          </w:p>
          <w:p w14:paraId="60941FC0" w14:textId="792F7FE1"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i/>
                <w:iCs/>
              </w:rPr>
              <w:t>CZK 3.</w:t>
            </w:r>
            <w:r w:rsidR="005C07B5" w:rsidRPr="007C28E8">
              <w:rPr>
                <w:rFonts w:cs="Arial"/>
                <w:i/>
                <w:iCs/>
              </w:rPr>
              <w:t>6</w:t>
            </w:r>
            <w:r w:rsidRPr="007C28E8">
              <w:rPr>
                <w:rFonts w:cs="Arial"/>
                <w:i/>
                <w:iCs/>
              </w:rPr>
              <w:t>00.000 in the aggregate</w:t>
            </w:r>
          </w:p>
        </w:tc>
      </w:tr>
      <w:tr w:rsidR="00607FD5" w:rsidRPr="007C28E8" w14:paraId="609B08E4"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789B1A8C" w14:textId="77777777" w:rsidR="00607FD5" w:rsidRPr="007C28E8" w:rsidRDefault="00607FD5" w:rsidP="00607FD5">
            <w:pPr>
              <w:pStyle w:val="TableTextLeft"/>
              <w:ind w:left="0" w:right="281"/>
              <w:jc w:val="left"/>
              <w:rPr>
                <w:rFonts w:cs="Arial"/>
                <w:bCs/>
              </w:rPr>
            </w:pPr>
            <w:r w:rsidRPr="007C28E8">
              <w:rPr>
                <w:rFonts w:cs="Arial"/>
                <w:bCs/>
              </w:rPr>
              <w:t xml:space="preserve">Speciální podmínky krytí </w:t>
            </w:r>
            <w:r w:rsidRPr="007C28E8">
              <w:rPr>
                <w:rFonts w:cs="Arial"/>
                <w:b w:val="0"/>
                <w:bCs/>
                <w:i/>
                <w:iCs/>
              </w:rPr>
              <w:t>Endorsements</w:t>
            </w:r>
          </w:p>
        </w:tc>
        <w:tc>
          <w:tcPr>
            <w:tcW w:w="3491" w:type="pct"/>
            <w:gridSpan w:val="3"/>
            <w:tcBorders>
              <w:top w:val="single" w:sz="4" w:space="0" w:color="3C0F11"/>
              <w:left w:val="single" w:sz="4" w:space="0" w:color="3C0F11"/>
              <w:bottom w:val="single" w:sz="4" w:space="0" w:color="3C0F11"/>
              <w:right w:val="single" w:sz="4" w:space="0" w:color="3C0F11"/>
            </w:tcBorders>
          </w:tcPr>
          <w:p w14:paraId="1D4E608D" w14:textId="77777777" w:rsidR="00607FD5" w:rsidRPr="007C28E8" w:rsidRDefault="00607FD5" w:rsidP="00607FD5">
            <w:pPr>
              <w:pStyle w:val="TableTextLeft"/>
              <w:numPr>
                <w:ilvl w:val="0"/>
                <w:numId w:val="23"/>
              </w:numPr>
              <w:ind w:left="714" w:right="284" w:hanging="357"/>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Náklady insolvenčního řízení                                                 </w:t>
            </w:r>
            <w:r w:rsidRPr="007C28E8">
              <w:rPr>
                <w:rFonts w:cs="Arial"/>
                <w:i/>
                <w:iCs/>
              </w:rPr>
              <w:t>(Insolvency hearing cover)</w:t>
            </w:r>
          </w:p>
          <w:p w14:paraId="62DABBD1" w14:textId="1401DAEE" w:rsidR="00607FD5" w:rsidRPr="007C28E8" w:rsidRDefault="00607FD5" w:rsidP="00607FD5">
            <w:pPr>
              <w:pStyle w:val="TableTextLeft"/>
              <w:numPr>
                <w:ilvl w:val="0"/>
                <w:numId w:val="23"/>
              </w:numPr>
              <w:ind w:left="714" w:right="284" w:hanging="357"/>
              <w:jc w:val="left"/>
              <w:cnfStyle w:val="000000000000" w:firstRow="0" w:lastRow="0" w:firstColumn="0" w:lastColumn="0" w:oddVBand="0" w:evenVBand="0" w:oddHBand="0" w:evenHBand="0" w:firstRowFirstColumn="0" w:firstRowLastColumn="0" w:lastRowFirstColumn="0" w:lastRowLastColumn="0"/>
              <w:rPr>
                <w:rFonts w:cs="Arial"/>
                <w:highlight w:val="yellow"/>
              </w:rPr>
            </w:pPr>
            <w:r w:rsidRPr="007C28E8">
              <w:rPr>
                <w:rFonts w:cs="Arial"/>
                <w:highlight w:val="yellow"/>
              </w:rPr>
              <w:t xml:space="preserve">Sankční doložka             </w:t>
            </w:r>
            <w:r w:rsidR="007C28E8" w:rsidRPr="007C28E8">
              <w:rPr>
                <w:rFonts w:cs="Arial"/>
                <w:highlight w:val="yellow"/>
              </w:rPr>
              <w:t xml:space="preserve">              </w:t>
            </w:r>
            <w:r w:rsidRPr="007C28E8">
              <w:rPr>
                <w:rFonts w:cs="Arial"/>
                <w:highlight w:val="yellow"/>
              </w:rPr>
              <w:t xml:space="preserve">                                           </w:t>
            </w:r>
            <w:r w:rsidRPr="007C28E8">
              <w:rPr>
                <w:rFonts w:cs="Arial"/>
                <w:i/>
                <w:iCs/>
                <w:highlight w:val="yellow"/>
              </w:rPr>
              <w:t>(Sanction</w:t>
            </w:r>
            <w:r w:rsidR="007C28E8" w:rsidRPr="007C28E8">
              <w:rPr>
                <w:rFonts w:cs="Arial"/>
                <w:i/>
                <w:iCs/>
                <w:highlight w:val="yellow"/>
              </w:rPr>
              <w:t xml:space="preserve"> Limitation and Exclusion Clause</w:t>
            </w:r>
            <w:r w:rsidRPr="007C28E8">
              <w:rPr>
                <w:rFonts w:cs="Arial"/>
                <w:i/>
                <w:iCs/>
                <w:highlight w:val="yellow"/>
              </w:rPr>
              <w:t>)</w:t>
            </w:r>
          </w:p>
          <w:p w14:paraId="7C641C69" w14:textId="77777777" w:rsidR="00607FD5" w:rsidRPr="007C28E8" w:rsidRDefault="00607FD5" w:rsidP="00607FD5">
            <w:pPr>
              <w:pStyle w:val="Odstavecseseznamem"/>
              <w:numPr>
                <w:ilvl w:val="0"/>
                <w:numId w:val="23"/>
              </w:numPr>
              <w:spacing w:before="60" w:after="60"/>
              <w:ind w:left="714" w:hanging="357"/>
              <w:contextualSpacing w:val="0"/>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Výluka Iránu/Kuby                                                                               </w:t>
            </w:r>
            <w:r w:rsidRPr="007C28E8">
              <w:rPr>
                <w:rFonts w:cs="Arial"/>
                <w:i/>
                <w:iCs/>
              </w:rPr>
              <w:t>(Iran/Cuba exclusion)</w:t>
            </w:r>
          </w:p>
          <w:p w14:paraId="27A2E008" w14:textId="77777777" w:rsidR="00607FD5" w:rsidRPr="007C28E8" w:rsidRDefault="00607FD5" w:rsidP="00607FD5">
            <w:pPr>
              <w:pStyle w:val="TableTextLeft"/>
              <w:numPr>
                <w:ilvl w:val="0"/>
                <w:numId w:val="23"/>
              </w:numPr>
              <w:ind w:left="714" w:right="284" w:hanging="357"/>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rPr>
              <w:t>Výluka nároků v souvislosti s RU/BY</w:t>
            </w:r>
            <w:r w:rsidRPr="007C28E8">
              <w:rPr>
                <w:rFonts w:cs="Arial"/>
                <w:i/>
                <w:iCs/>
              </w:rPr>
              <w:br/>
              <w:t xml:space="preserve">(RU/BY exclusion) </w:t>
            </w:r>
          </w:p>
          <w:p w14:paraId="17E5A942" w14:textId="4EF57C57" w:rsidR="00607FD5" w:rsidRPr="007C28E8" w:rsidRDefault="00607FD5" w:rsidP="007F4869">
            <w:pPr>
              <w:pStyle w:val="TableTextLeft"/>
              <w:numPr>
                <w:ilvl w:val="0"/>
                <w:numId w:val="23"/>
              </w:numPr>
              <w:spacing w:before="40" w:after="40" w:line="276" w:lineRule="auto"/>
              <w:ind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 xml:space="preserve">Výluka války, terorismu, jaderné energie                                       </w:t>
            </w:r>
            <w:r w:rsidRPr="007C28E8">
              <w:rPr>
                <w:rFonts w:cs="Arial"/>
                <w:i/>
                <w:iCs/>
              </w:rPr>
              <w:t>(War, Terrorism, Nuclear Exclusion)</w:t>
            </w:r>
          </w:p>
        </w:tc>
      </w:tr>
      <w:tr w:rsidR="00607FD5" w:rsidRPr="007C28E8" w14:paraId="02FF3A0D" w14:textId="77777777" w:rsidTr="001575C0">
        <w:tc>
          <w:tcPr>
            <w:cnfStyle w:val="001000000000" w:firstRow="0" w:lastRow="0" w:firstColumn="1" w:lastColumn="0" w:oddVBand="0" w:evenVBand="0" w:oddHBand="0" w:evenHBand="0" w:firstRowFirstColumn="0" w:firstRowLastColumn="0" w:lastRowFirstColumn="0" w:lastRowLastColumn="0"/>
            <w:tcW w:w="1509" w:type="pct"/>
            <w:tcBorders>
              <w:top w:val="single" w:sz="4" w:space="0" w:color="3C0F11"/>
              <w:left w:val="single" w:sz="4" w:space="0" w:color="3C0F11"/>
              <w:bottom w:val="single" w:sz="4" w:space="0" w:color="3C0F11"/>
              <w:right w:val="single" w:sz="4" w:space="0" w:color="3C0F11"/>
            </w:tcBorders>
            <w:shd w:val="clear" w:color="auto" w:fill="FDD9D7"/>
          </w:tcPr>
          <w:p w14:paraId="36B0EA58" w14:textId="77777777" w:rsidR="00607FD5" w:rsidRPr="007C28E8" w:rsidRDefault="00607FD5" w:rsidP="00607FD5">
            <w:pPr>
              <w:pStyle w:val="TableTextLeft"/>
              <w:ind w:left="0" w:right="281"/>
              <w:jc w:val="left"/>
              <w:rPr>
                <w:rFonts w:cs="Arial"/>
                <w:b w:val="0"/>
                <w:bCs/>
              </w:rPr>
            </w:pPr>
            <w:r w:rsidRPr="007C28E8">
              <w:rPr>
                <w:rFonts w:cs="Arial"/>
                <w:bCs/>
              </w:rPr>
              <w:lastRenderedPageBreak/>
              <w:t>Hlášení škodných událostí</w:t>
            </w:r>
          </w:p>
          <w:p w14:paraId="3C1B11CD" w14:textId="458FF0A1" w:rsidR="00607FD5" w:rsidRPr="007C28E8" w:rsidRDefault="00607FD5" w:rsidP="00607FD5">
            <w:pPr>
              <w:pStyle w:val="TableTextLeft"/>
              <w:ind w:left="0" w:right="281"/>
              <w:jc w:val="left"/>
              <w:rPr>
                <w:rFonts w:cs="Arial"/>
                <w:b w:val="0"/>
                <w:bCs/>
                <w:i/>
                <w:iCs/>
              </w:rPr>
            </w:pPr>
            <w:r w:rsidRPr="007C28E8">
              <w:rPr>
                <w:rFonts w:cs="Arial"/>
                <w:b w:val="0"/>
                <w:bCs/>
                <w:i/>
                <w:iCs/>
              </w:rPr>
              <w:t>Notification of claims</w:t>
            </w:r>
          </w:p>
        </w:tc>
        <w:tc>
          <w:tcPr>
            <w:tcW w:w="3491" w:type="pct"/>
            <w:gridSpan w:val="3"/>
            <w:tcBorders>
              <w:top w:val="single" w:sz="4" w:space="0" w:color="3C0F11"/>
              <w:left w:val="single" w:sz="4" w:space="0" w:color="3C0F11"/>
              <w:bottom w:val="single" w:sz="4" w:space="0" w:color="3C0F11"/>
              <w:right w:val="single" w:sz="4" w:space="0" w:color="3C0F11"/>
            </w:tcBorders>
          </w:tcPr>
          <w:p w14:paraId="7586CB86" w14:textId="77777777"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rPr>
            </w:pPr>
            <w:r w:rsidRPr="007C28E8">
              <w:rPr>
                <w:rFonts w:cs="Arial"/>
              </w:rPr>
              <w:t>V případě škodné události, prosím, kontaktujte svého zplnomocněného makléře nebo:</w:t>
            </w:r>
          </w:p>
          <w:p w14:paraId="4F3ABCA7" w14:textId="74691458" w:rsidR="00607FD5" w:rsidRPr="007C28E8" w:rsidRDefault="00607FD5"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i/>
                <w:iCs/>
              </w:rPr>
            </w:pPr>
            <w:r w:rsidRPr="007C28E8">
              <w:rPr>
                <w:rFonts w:cs="Arial"/>
                <w:i/>
                <w:iCs/>
              </w:rPr>
              <w:t xml:space="preserve">In the event of </w:t>
            </w:r>
            <w:r w:rsidR="007F4869" w:rsidRPr="007C28E8">
              <w:rPr>
                <w:rFonts w:cs="Arial"/>
                <w:i/>
                <w:iCs/>
              </w:rPr>
              <w:t>a claim</w:t>
            </w:r>
            <w:r w:rsidRPr="007C28E8">
              <w:rPr>
                <w:rFonts w:cs="Arial"/>
                <w:i/>
                <w:iCs/>
              </w:rPr>
              <w:t xml:space="preserve"> please contact the appointed broker or:</w:t>
            </w:r>
          </w:p>
          <w:p w14:paraId="1B643EF1" w14:textId="77777777" w:rsidR="00607FD5" w:rsidRPr="007C28E8" w:rsidRDefault="00607FD5" w:rsidP="00607FD5">
            <w:pPr>
              <w:pStyle w:val="TableTextLeft"/>
              <w:ind w:right="281"/>
              <w:jc w:val="left"/>
              <w:cnfStyle w:val="000000000000" w:firstRow="0" w:lastRow="0" w:firstColumn="0" w:lastColumn="0" w:oddVBand="0" w:evenVBand="0" w:oddHBand="0" w:evenHBand="0" w:firstRowFirstColumn="0" w:firstRowLastColumn="0" w:lastRowFirstColumn="0" w:lastRowLastColumn="0"/>
              <w:rPr>
                <w:rFonts w:cs="Arial"/>
              </w:rPr>
            </w:pPr>
          </w:p>
          <w:p w14:paraId="6FCF6915" w14:textId="475FCF8E" w:rsidR="00607FD5" w:rsidRPr="007C28E8" w:rsidRDefault="007A44FD" w:rsidP="00607FD5">
            <w:pPr>
              <w:pStyle w:val="TableTextLeft"/>
              <w:ind w:left="0" w:right="281"/>
              <w:jc w:val="left"/>
              <w:cnfStyle w:val="000000000000" w:firstRow="0" w:lastRow="0" w:firstColumn="0" w:lastColumn="0" w:oddVBand="0" w:evenVBand="0" w:oddHBand="0" w:evenHBand="0" w:firstRowFirstColumn="0" w:firstRowLastColumn="0" w:lastRowFirstColumn="0" w:lastRowLastColumn="0"/>
              <w:rPr>
                <w:rFonts w:cs="Arial"/>
                <w:color w:val="3C0F11"/>
              </w:rPr>
            </w:pPr>
            <w:r w:rsidRPr="007C28E8">
              <w:t xml:space="preserve">                                     </w:t>
            </w:r>
            <w:hyperlink r:id="rId8" w:history="1">
              <w:r w:rsidRPr="007C28E8">
                <w:rPr>
                  <w:rStyle w:val="Hypertextovodkaz"/>
                  <w:rFonts w:cs="Arial"/>
                </w:rPr>
                <w:t>cee-claims@dualdeutschland.com</w:t>
              </w:r>
            </w:hyperlink>
            <w:r w:rsidR="00607FD5" w:rsidRPr="007C28E8">
              <w:rPr>
                <w:rFonts w:cs="Arial"/>
              </w:rPr>
              <w:t xml:space="preserve"> </w:t>
            </w:r>
          </w:p>
        </w:tc>
      </w:tr>
    </w:tbl>
    <w:p w14:paraId="1462BC19" w14:textId="77777777" w:rsidR="00960A6D" w:rsidRPr="007C28E8" w:rsidRDefault="00960A6D" w:rsidP="00960A6D">
      <w:pPr>
        <w:pStyle w:val="KeyMsgHead"/>
        <w:rPr>
          <w:color w:val="3C0F11"/>
        </w:rPr>
      </w:pPr>
    </w:p>
    <w:p w14:paraId="116C8372" w14:textId="77777777" w:rsidR="007F4869" w:rsidRPr="007C28E8" w:rsidRDefault="007F4869" w:rsidP="007F4869"/>
    <w:bookmarkEnd w:id="35"/>
    <w:p w14:paraId="03B7FCF6" w14:textId="77777777" w:rsidR="00511308" w:rsidRPr="007C28E8" w:rsidRDefault="00511308" w:rsidP="00351DCB">
      <w:pPr>
        <w:spacing w:after="0"/>
        <w:ind w:left="-1134" w:right="-1"/>
        <w:jc w:val="center"/>
        <w:rPr>
          <w:rFonts w:cs="Arial"/>
          <w:b/>
          <w:bCs/>
          <w:sz w:val="22"/>
          <w:szCs w:val="22"/>
        </w:rPr>
      </w:pPr>
      <w:r w:rsidRPr="007C28E8">
        <w:rPr>
          <w:rFonts w:cs="Arial"/>
          <w:b/>
          <w:bCs/>
          <w:sz w:val="22"/>
          <w:szCs w:val="22"/>
        </w:rPr>
        <w:t xml:space="preserve">Speciální podmínky krytí </w:t>
      </w:r>
    </w:p>
    <w:p w14:paraId="44702A54" w14:textId="77777777" w:rsidR="00511308" w:rsidRPr="007C28E8" w:rsidRDefault="00511308" w:rsidP="00351DCB">
      <w:pPr>
        <w:spacing w:before="0" w:after="240"/>
        <w:ind w:left="-1134" w:right="-1"/>
        <w:jc w:val="center"/>
        <w:rPr>
          <w:rFonts w:cs="Arial"/>
          <w:i/>
          <w:iCs/>
          <w:sz w:val="22"/>
          <w:szCs w:val="22"/>
        </w:rPr>
      </w:pPr>
      <w:r w:rsidRPr="007C28E8">
        <w:rPr>
          <w:rFonts w:cs="Arial"/>
          <w:i/>
          <w:iCs/>
          <w:sz w:val="22"/>
          <w:szCs w:val="22"/>
        </w:rPr>
        <w:t>(Endorsements)</w:t>
      </w:r>
    </w:p>
    <w:p w14:paraId="1E14C4DD" w14:textId="649ACCA0" w:rsidR="00511308" w:rsidRPr="007C28E8" w:rsidRDefault="00511308" w:rsidP="00D463F1">
      <w:pPr>
        <w:pStyle w:val="Endorsements-nadpisy"/>
        <w:numPr>
          <w:ilvl w:val="0"/>
          <w:numId w:val="34"/>
        </w:numPr>
        <w:ind w:left="-851" w:hanging="283"/>
        <w:rPr>
          <w:lang w:val="en-US"/>
        </w:rPr>
      </w:pPr>
      <w:r w:rsidRPr="007C28E8">
        <w:rPr>
          <w:lang w:val="en-US"/>
        </w:rPr>
        <w:t>Náklady insolvenčního řízení</w:t>
      </w:r>
    </w:p>
    <w:p w14:paraId="1DD11ECA" w14:textId="77777777" w:rsidR="00511308" w:rsidRPr="007C28E8" w:rsidRDefault="00511308" w:rsidP="00351DCB">
      <w:pPr>
        <w:spacing w:after="120"/>
        <w:ind w:left="-1134" w:right="-1"/>
        <w:rPr>
          <w:rFonts w:cs="Arial"/>
        </w:rPr>
      </w:pPr>
      <w:r w:rsidRPr="007C28E8">
        <w:rPr>
          <w:rFonts w:cs="Arial"/>
        </w:rPr>
        <w:t xml:space="preserve">znamenají přiměřené náklady účelně vynaložené </w:t>
      </w:r>
      <w:r w:rsidRPr="007C28E8">
        <w:rPr>
          <w:rFonts w:cs="Arial"/>
          <w:b/>
        </w:rPr>
        <w:t xml:space="preserve">pojištěnou osobou </w:t>
      </w:r>
      <w:r w:rsidRPr="007C28E8">
        <w:rPr>
          <w:rFonts w:cs="Arial"/>
        </w:rPr>
        <w:t xml:space="preserve">s předchozím souhlasem </w:t>
      </w:r>
      <w:r w:rsidRPr="007C28E8">
        <w:rPr>
          <w:rFonts w:cs="Arial"/>
          <w:b/>
        </w:rPr>
        <w:t>pojistitele</w:t>
      </w:r>
      <w:r w:rsidRPr="007C28E8">
        <w:rPr>
          <w:rFonts w:cs="Arial"/>
        </w:rPr>
        <w:t xml:space="preserve"> </w:t>
      </w:r>
      <w:r w:rsidRPr="007C28E8">
        <w:rPr>
          <w:rFonts w:cs="Arial"/>
        </w:rPr>
        <w:br/>
        <w:t xml:space="preserve">v písemné formě na přípravu na jakékoli formální nebo oficiální jednání či slyšení a účast na něm v souvislosti </w:t>
      </w:r>
      <w:r w:rsidRPr="007C28E8">
        <w:rPr>
          <w:rFonts w:cs="Arial"/>
        </w:rPr>
        <w:br/>
        <w:t xml:space="preserve">s prošetřováním záležitostí </w:t>
      </w:r>
      <w:r w:rsidRPr="007C28E8">
        <w:rPr>
          <w:rFonts w:cs="Arial"/>
          <w:b/>
        </w:rPr>
        <w:t>společnosti</w:t>
      </w:r>
      <w:r w:rsidRPr="007C28E8">
        <w:rPr>
          <w:rFonts w:cs="Arial"/>
        </w:rPr>
        <w:t xml:space="preserve"> nebo </w:t>
      </w:r>
      <w:r w:rsidRPr="007C28E8">
        <w:rPr>
          <w:rFonts w:cs="Arial"/>
          <w:b/>
        </w:rPr>
        <w:t>pojištěné osoby</w:t>
      </w:r>
      <w:r w:rsidRPr="007C28E8">
        <w:rPr>
          <w:rFonts w:cs="Arial"/>
        </w:rPr>
        <w:t xml:space="preserve"> v její pozici </w:t>
      </w:r>
      <w:r w:rsidRPr="007C28E8">
        <w:rPr>
          <w:rFonts w:cs="Arial"/>
          <w:b/>
        </w:rPr>
        <w:t>člena orgánu</w:t>
      </w:r>
      <w:r w:rsidRPr="007C28E8">
        <w:rPr>
          <w:rFonts w:cs="Arial"/>
        </w:rPr>
        <w:t xml:space="preserve"> nebo </w:t>
      </w:r>
      <w:r w:rsidRPr="007C28E8">
        <w:rPr>
          <w:rFonts w:cs="Arial"/>
          <w:b/>
        </w:rPr>
        <w:t>vedoucí osoby</w:t>
      </w:r>
      <w:r w:rsidRPr="007C28E8">
        <w:rPr>
          <w:rFonts w:cs="Arial"/>
        </w:rPr>
        <w:t xml:space="preserve"> jakýmkoli insolvenčním správcem, správcem majetku (dobrovolným i nuceným) či likvidátorem nebo osobou </w:t>
      </w:r>
      <w:r w:rsidRPr="007C28E8">
        <w:rPr>
          <w:rFonts w:cs="Arial"/>
        </w:rPr>
        <w:br/>
        <w:t xml:space="preserve">v obdobném postavení podle příslušných právních předpisů za podmínky, že skutečnosti, které jsou předmětem takového jednání či slyšení nebo vyšetřování, mohou důvodně způsobit vznesení </w:t>
      </w:r>
      <w:r w:rsidRPr="007C28E8">
        <w:rPr>
          <w:rFonts w:cs="Arial"/>
          <w:b/>
        </w:rPr>
        <w:t>nároku</w:t>
      </w:r>
      <w:r w:rsidRPr="007C28E8">
        <w:rPr>
          <w:rFonts w:cs="Arial"/>
        </w:rPr>
        <w:t xml:space="preserve"> proti </w:t>
      </w:r>
      <w:r w:rsidRPr="007C28E8">
        <w:rPr>
          <w:rFonts w:cs="Arial"/>
          <w:b/>
        </w:rPr>
        <w:t>pojištěné osobě</w:t>
      </w:r>
      <w:r w:rsidRPr="007C28E8">
        <w:rPr>
          <w:rFonts w:cs="Arial"/>
        </w:rPr>
        <w:t>.</w:t>
      </w:r>
    </w:p>
    <w:p w14:paraId="7A96F050" w14:textId="77777777" w:rsidR="00511308" w:rsidRPr="007C28E8" w:rsidRDefault="00511308" w:rsidP="00963B8C">
      <w:pPr>
        <w:spacing w:after="0"/>
        <w:ind w:left="-1134" w:right="-1"/>
        <w:rPr>
          <w:rFonts w:cs="Arial"/>
        </w:rPr>
      </w:pPr>
      <w:r w:rsidRPr="007C28E8">
        <w:rPr>
          <w:rFonts w:cs="Arial"/>
        </w:rPr>
        <w:t xml:space="preserve">Náklady insolvenčního řízení však neznamenají plat, mzdu nebo odměnu jakékoliv </w:t>
      </w:r>
      <w:r w:rsidRPr="007C28E8">
        <w:rPr>
          <w:rFonts w:cs="Arial"/>
          <w:b/>
        </w:rPr>
        <w:t>pojištěné osoby</w:t>
      </w:r>
      <w:r w:rsidRPr="007C28E8">
        <w:rPr>
          <w:rFonts w:cs="Arial"/>
        </w:rPr>
        <w:t xml:space="preserve">, náhradu za ztrátu času pojištěné osoby nebo jakékoliv mzdové, provozní nebo jiné náklady a/nebo výdaje </w:t>
      </w:r>
      <w:r w:rsidRPr="007C28E8">
        <w:rPr>
          <w:rFonts w:cs="Arial"/>
          <w:b/>
        </w:rPr>
        <w:t>společnosti</w:t>
      </w:r>
      <w:r w:rsidRPr="007C28E8">
        <w:rPr>
          <w:rFonts w:cs="Arial"/>
        </w:rPr>
        <w:t>.</w:t>
      </w:r>
    </w:p>
    <w:p w14:paraId="0B8E3177" w14:textId="77777777" w:rsidR="00511308" w:rsidRPr="007C28E8" w:rsidRDefault="00511308" w:rsidP="00351DCB">
      <w:pPr>
        <w:autoSpaceDE w:val="0"/>
        <w:autoSpaceDN w:val="0"/>
        <w:spacing w:after="120"/>
        <w:ind w:left="-1134" w:right="-1"/>
        <w:rPr>
          <w:rFonts w:eastAsia="Calibri" w:cs="Arial"/>
          <w:i/>
          <w:sz w:val="16"/>
          <w:szCs w:val="16"/>
        </w:rPr>
      </w:pPr>
      <w:r w:rsidRPr="007C28E8">
        <w:rPr>
          <w:rFonts w:eastAsia="Calibri" w:cs="Arial"/>
          <w:i/>
          <w:color w:val="000000"/>
          <w:sz w:val="16"/>
          <w:szCs w:val="16"/>
        </w:rPr>
        <w:t>(Insolvency</w:t>
      </w:r>
      <w:r w:rsidRPr="007C28E8">
        <w:rPr>
          <w:rFonts w:eastAsia="Calibri" w:cs="Arial"/>
          <w:i/>
          <w:sz w:val="16"/>
          <w:szCs w:val="16"/>
        </w:rPr>
        <w:t xml:space="preserve"> Hearing Cover</w:t>
      </w:r>
    </w:p>
    <w:p w14:paraId="690C5435" w14:textId="77777777" w:rsidR="00511308" w:rsidRPr="007C28E8" w:rsidRDefault="00511308" w:rsidP="00351DCB">
      <w:pPr>
        <w:autoSpaceDE w:val="0"/>
        <w:autoSpaceDN w:val="0"/>
        <w:adjustRightInd w:val="0"/>
        <w:spacing w:after="120"/>
        <w:ind w:left="-1134" w:right="-1"/>
        <w:rPr>
          <w:rFonts w:cs="Arial"/>
          <w:bCs/>
          <w:i/>
          <w:sz w:val="16"/>
          <w:szCs w:val="16"/>
        </w:rPr>
      </w:pPr>
      <w:r w:rsidRPr="007C28E8">
        <w:rPr>
          <w:rFonts w:cs="Arial"/>
          <w:bCs/>
          <w:i/>
          <w:sz w:val="16"/>
          <w:szCs w:val="16"/>
        </w:rPr>
        <w:t xml:space="preserve">means the reasonable legal and other professional fees, costs and expenses incurred by an Insured Person, with the </w:t>
      </w:r>
      <w:r w:rsidRPr="007C28E8">
        <w:rPr>
          <w:rFonts w:cs="Arial"/>
          <w:b/>
          <w:bCs/>
          <w:i/>
          <w:sz w:val="16"/>
          <w:szCs w:val="16"/>
        </w:rPr>
        <w:t>Insurer’s</w:t>
      </w:r>
      <w:r w:rsidRPr="007C28E8">
        <w:rPr>
          <w:rFonts w:cs="Arial"/>
          <w:bCs/>
          <w:i/>
          <w:sz w:val="16"/>
          <w:szCs w:val="16"/>
        </w:rPr>
        <w:t xml:space="preserve"> prior written consent in preparation for and attendance at an interview under the Insolvency Act into the affairs of an insolvent </w:t>
      </w:r>
      <w:r w:rsidRPr="007C28E8">
        <w:rPr>
          <w:rFonts w:cs="Arial"/>
          <w:b/>
          <w:bCs/>
          <w:i/>
          <w:sz w:val="16"/>
          <w:szCs w:val="16"/>
        </w:rPr>
        <w:t>Company</w:t>
      </w:r>
      <w:r w:rsidRPr="007C28E8">
        <w:rPr>
          <w:rFonts w:cs="Arial"/>
          <w:bCs/>
          <w:i/>
          <w:sz w:val="16"/>
          <w:szCs w:val="16"/>
        </w:rPr>
        <w:t xml:space="preserve">, or an </w:t>
      </w:r>
      <w:r w:rsidRPr="007C28E8">
        <w:rPr>
          <w:rFonts w:cs="Arial"/>
          <w:b/>
          <w:bCs/>
          <w:i/>
          <w:sz w:val="16"/>
          <w:szCs w:val="16"/>
        </w:rPr>
        <w:t xml:space="preserve">Insured Person </w:t>
      </w:r>
      <w:r w:rsidRPr="007C28E8">
        <w:rPr>
          <w:rFonts w:cs="Arial"/>
          <w:bCs/>
          <w:i/>
          <w:sz w:val="16"/>
          <w:szCs w:val="16"/>
        </w:rPr>
        <w:t xml:space="preserve">in his capacity as a Director or Officer, by any insolvency administrator or receiver, bankruptcy trustee or liquidator or the equivalent under the laws of any jurisdiction first requested during the </w:t>
      </w:r>
      <w:r w:rsidRPr="007C28E8">
        <w:rPr>
          <w:rFonts w:cs="Arial"/>
          <w:b/>
          <w:bCs/>
          <w:i/>
          <w:sz w:val="16"/>
          <w:szCs w:val="16"/>
        </w:rPr>
        <w:t>Policy Period</w:t>
      </w:r>
      <w:r w:rsidRPr="007C28E8">
        <w:rPr>
          <w:rFonts w:cs="Arial"/>
          <w:bCs/>
          <w:i/>
          <w:sz w:val="16"/>
          <w:szCs w:val="16"/>
        </w:rPr>
        <w:t xml:space="preserve">, where the circumstances of such insolvency may reasonably be expected to give rise to a </w:t>
      </w:r>
      <w:r w:rsidRPr="007C28E8">
        <w:rPr>
          <w:rFonts w:cs="Arial"/>
          <w:b/>
          <w:bCs/>
          <w:i/>
          <w:sz w:val="16"/>
          <w:szCs w:val="16"/>
        </w:rPr>
        <w:t>Claim</w:t>
      </w:r>
      <w:r w:rsidRPr="007C28E8">
        <w:rPr>
          <w:rFonts w:cs="Arial"/>
          <w:bCs/>
          <w:i/>
          <w:sz w:val="16"/>
          <w:szCs w:val="16"/>
        </w:rPr>
        <w:t xml:space="preserve"> against such </w:t>
      </w:r>
      <w:r w:rsidRPr="007C28E8">
        <w:rPr>
          <w:rFonts w:cs="Arial"/>
          <w:b/>
          <w:bCs/>
          <w:i/>
          <w:sz w:val="16"/>
          <w:szCs w:val="16"/>
        </w:rPr>
        <w:t>Insured Person</w:t>
      </w:r>
      <w:r w:rsidRPr="007C28E8">
        <w:rPr>
          <w:rFonts w:cs="Arial"/>
          <w:bCs/>
          <w:i/>
          <w:sz w:val="16"/>
          <w:szCs w:val="16"/>
        </w:rPr>
        <w:t xml:space="preserve">. </w:t>
      </w:r>
    </w:p>
    <w:p w14:paraId="19075504" w14:textId="77777777" w:rsidR="00511308" w:rsidRPr="007C28E8" w:rsidRDefault="00511308" w:rsidP="00963B8C">
      <w:pPr>
        <w:autoSpaceDE w:val="0"/>
        <w:autoSpaceDN w:val="0"/>
        <w:adjustRightInd w:val="0"/>
        <w:spacing w:after="0"/>
        <w:ind w:left="-1134" w:right="-1"/>
        <w:rPr>
          <w:rFonts w:cs="Arial"/>
          <w:bCs/>
          <w:i/>
          <w:sz w:val="16"/>
          <w:szCs w:val="16"/>
        </w:rPr>
      </w:pPr>
      <w:r w:rsidRPr="007C28E8">
        <w:rPr>
          <w:rFonts w:cs="Arial"/>
          <w:bCs/>
          <w:i/>
          <w:sz w:val="16"/>
          <w:szCs w:val="16"/>
        </w:rPr>
        <w:t xml:space="preserve">Insolvency Hearing Cover shall not include the remuneration of any </w:t>
      </w:r>
      <w:r w:rsidRPr="007C28E8">
        <w:rPr>
          <w:rFonts w:cs="Arial"/>
          <w:b/>
          <w:bCs/>
          <w:i/>
          <w:sz w:val="16"/>
          <w:szCs w:val="16"/>
        </w:rPr>
        <w:t>Insured Person</w:t>
      </w:r>
      <w:r w:rsidRPr="007C28E8">
        <w:rPr>
          <w:rFonts w:cs="Arial"/>
          <w:bCs/>
          <w:i/>
          <w:sz w:val="16"/>
          <w:szCs w:val="16"/>
        </w:rPr>
        <w:t xml:space="preserve">, costs of their time or any other costs or overheads of any </w:t>
      </w:r>
      <w:r w:rsidRPr="007C28E8">
        <w:rPr>
          <w:rFonts w:cs="Arial"/>
          <w:b/>
          <w:bCs/>
          <w:i/>
          <w:sz w:val="16"/>
          <w:szCs w:val="16"/>
        </w:rPr>
        <w:t>Company</w:t>
      </w:r>
      <w:r w:rsidRPr="007C28E8">
        <w:rPr>
          <w:rFonts w:cs="Arial"/>
          <w:bCs/>
          <w:i/>
          <w:sz w:val="16"/>
          <w:szCs w:val="16"/>
        </w:rPr>
        <w:t>.)</w:t>
      </w:r>
    </w:p>
    <w:p w14:paraId="4955332C" w14:textId="6D430056" w:rsidR="00511308" w:rsidRPr="007C28E8" w:rsidRDefault="00511308" w:rsidP="00D463F1">
      <w:pPr>
        <w:pStyle w:val="Endorsements-nadpisy"/>
        <w:numPr>
          <w:ilvl w:val="0"/>
          <w:numId w:val="34"/>
        </w:numPr>
        <w:ind w:left="-851" w:hanging="283"/>
        <w:rPr>
          <w:lang w:val="en-US"/>
        </w:rPr>
      </w:pPr>
      <w:r w:rsidRPr="007C28E8">
        <w:rPr>
          <w:lang w:val="en-US"/>
        </w:rPr>
        <w:t>Sankční doložka</w:t>
      </w:r>
    </w:p>
    <w:p w14:paraId="64990C14" w14:textId="64FB9141" w:rsidR="00511308" w:rsidRPr="007C28E8" w:rsidRDefault="00511308" w:rsidP="00F6360F">
      <w:pPr>
        <w:spacing w:after="0"/>
        <w:ind w:left="-1134"/>
        <w:rPr>
          <w:rFonts w:cs="Arial"/>
        </w:rPr>
      </w:pPr>
      <w:r w:rsidRPr="007C28E8">
        <w:rPr>
          <w:rFonts w:cs="Arial"/>
          <w:b/>
          <w:bCs/>
        </w:rPr>
        <w:t>Pojistitel</w:t>
      </w:r>
      <w:r w:rsidRPr="007C28E8">
        <w:rPr>
          <w:rFonts w:cs="Arial"/>
        </w:rPr>
        <w:t xml:space="preserve"> není povinen poskytnout pojistné plnění z tohoto pojištění v souvislosti s jakoukoli </w:t>
      </w:r>
      <w:r w:rsidRPr="007C28E8">
        <w:rPr>
          <w:rFonts w:cs="Arial"/>
          <w:b/>
          <w:bCs/>
        </w:rPr>
        <w:t>pojistnou událostí</w:t>
      </w:r>
      <w:r w:rsidRPr="007C28E8">
        <w:rPr>
          <w:rFonts w:cs="Arial"/>
        </w:rPr>
        <w:t xml:space="preserve"> </w:t>
      </w:r>
      <w:r w:rsidRPr="007C28E8">
        <w:rPr>
          <w:rFonts w:cs="Arial"/>
        </w:rPr>
        <w:br/>
        <w:t xml:space="preserve">v rozsahu, v jakém by ho poskytnutí takového plnění vystavilo riziku sankce, zákazu nebo omezení podle rezolucí Organizace spojených národů nebo obchodních či ekonomických sankcí anebo právních předpisů </w:t>
      </w:r>
      <w:r w:rsidRPr="007C28E8">
        <w:rPr>
          <w:rFonts w:cs="Arial"/>
          <w:highlight w:val="yellow"/>
        </w:rPr>
        <w:t xml:space="preserve">Evropské unie, </w:t>
      </w:r>
      <w:r w:rsidR="007C28E8" w:rsidRPr="007C28E8">
        <w:rPr>
          <w:rFonts w:cs="Arial"/>
          <w:highlight w:val="yellow"/>
        </w:rPr>
        <w:t>Spojeného království</w:t>
      </w:r>
      <w:r w:rsidRPr="007C28E8">
        <w:rPr>
          <w:rFonts w:cs="Arial"/>
          <w:highlight w:val="yellow"/>
        </w:rPr>
        <w:t xml:space="preserve"> nebo Spojených států amerických.</w:t>
      </w:r>
      <w:r w:rsidRPr="007C28E8">
        <w:rPr>
          <w:rFonts w:cs="Arial"/>
        </w:rPr>
        <w:t xml:space="preserve"> </w:t>
      </w:r>
    </w:p>
    <w:p w14:paraId="5E714716" w14:textId="0D60BCD4" w:rsidR="00511308" w:rsidRPr="007C28E8" w:rsidRDefault="00511308" w:rsidP="00F6360F">
      <w:pPr>
        <w:autoSpaceDE w:val="0"/>
        <w:autoSpaceDN w:val="0"/>
        <w:adjustRightInd w:val="0"/>
        <w:spacing w:after="120"/>
        <w:ind w:left="-1134"/>
        <w:rPr>
          <w:rFonts w:eastAsia="Calibri" w:cs="Arial"/>
          <w:i/>
          <w:color w:val="000000"/>
          <w:sz w:val="16"/>
          <w:szCs w:val="16"/>
        </w:rPr>
      </w:pPr>
      <w:r w:rsidRPr="007C28E8">
        <w:rPr>
          <w:rFonts w:eastAsia="Calibri" w:cs="Arial"/>
          <w:i/>
          <w:color w:val="000000"/>
          <w:sz w:val="16"/>
          <w:szCs w:val="16"/>
        </w:rPr>
        <w:t>(Sanction</w:t>
      </w:r>
      <w:r w:rsidR="007C28E8" w:rsidRPr="007C28E8">
        <w:rPr>
          <w:rFonts w:eastAsia="Calibri" w:cs="Arial"/>
          <w:i/>
          <w:color w:val="000000"/>
          <w:sz w:val="16"/>
          <w:szCs w:val="16"/>
        </w:rPr>
        <w:t xml:space="preserve"> Limitation and Exclusion Clause</w:t>
      </w:r>
    </w:p>
    <w:p w14:paraId="3AC0FF71" w14:textId="4C4F20CB" w:rsidR="00511308" w:rsidRPr="007C28E8" w:rsidRDefault="00511308" w:rsidP="00963B8C">
      <w:pPr>
        <w:autoSpaceDE w:val="0"/>
        <w:autoSpaceDN w:val="0"/>
        <w:adjustRightInd w:val="0"/>
        <w:spacing w:after="0"/>
        <w:ind w:left="-1134" w:right="-1"/>
        <w:rPr>
          <w:rFonts w:eastAsia="Calibri" w:cs="Arial"/>
          <w:i/>
          <w:color w:val="000000"/>
          <w:sz w:val="16"/>
          <w:szCs w:val="16"/>
        </w:rPr>
      </w:pPr>
      <w:r w:rsidRPr="007C28E8">
        <w:rPr>
          <w:rFonts w:eastAsia="Calibri" w:cs="Arial"/>
          <w:i/>
          <w:color w:val="000000"/>
          <w:sz w:val="16"/>
          <w:szCs w:val="16"/>
        </w:rPr>
        <w:t xml:space="preserve">No (re)insurer shall be deemed to provide cover and no (re)insurer shall be liable to pay any claim or provide any benefit hereunder to the extent that the provision of such cover, payment of such claim or provision of such benefit would expose that insurer to any sanction, prohibition or restriction under United Nations resolutions or the trade or economic sanctions, laws or regulations of </w:t>
      </w:r>
      <w:r w:rsidRPr="007C28E8">
        <w:rPr>
          <w:rFonts w:eastAsia="Calibri" w:cs="Arial"/>
          <w:i/>
          <w:color w:val="000000"/>
          <w:sz w:val="16"/>
          <w:szCs w:val="16"/>
          <w:highlight w:val="yellow"/>
        </w:rPr>
        <w:t>the European Union,</w:t>
      </w:r>
      <w:r w:rsidR="007C28E8" w:rsidRPr="007C28E8">
        <w:rPr>
          <w:rFonts w:eastAsia="Calibri" w:cs="Arial"/>
          <w:i/>
          <w:color w:val="000000"/>
          <w:sz w:val="16"/>
          <w:szCs w:val="16"/>
          <w:highlight w:val="yellow"/>
        </w:rPr>
        <w:t xml:space="preserve"> United Kingdom</w:t>
      </w:r>
      <w:r w:rsidRPr="007C28E8">
        <w:rPr>
          <w:rFonts w:eastAsia="Calibri" w:cs="Arial"/>
          <w:i/>
          <w:color w:val="000000"/>
          <w:sz w:val="16"/>
          <w:szCs w:val="16"/>
          <w:highlight w:val="yellow"/>
        </w:rPr>
        <w:t xml:space="preserve"> or United States of America.)</w:t>
      </w:r>
    </w:p>
    <w:p w14:paraId="191473D6" w14:textId="0A01B190" w:rsidR="00511308" w:rsidRPr="007C28E8" w:rsidRDefault="00511308" w:rsidP="00D463F1">
      <w:pPr>
        <w:pStyle w:val="Endorsements-nadpisy"/>
        <w:numPr>
          <w:ilvl w:val="0"/>
          <w:numId w:val="34"/>
        </w:numPr>
        <w:ind w:left="-851" w:hanging="283"/>
        <w:rPr>
          <w:lang w:val="en-US"/>
        </w:rPr>
      </w:pPr>
      <w:r w:rsidRPr="007C28E8">
        <w:rPr>
          <w:lang w:val="en-US"/>
        </w:rPr>
        <w:t>Výluka Iránu/Kuby</w:t>
      </w:r>
    </w:p>
    <w:p w14:paraId="40AC8DCB" w14:textId="77777777" w:rsidR="00511308" w:rsidRPr="007C28E8" w:rsidRDefault="00511308" w:rsidP="00C13D7C">
      <w:pPr>
        <w:spacing w:after="0"/>
        <w:ind w:left="-1134" w:right="-1"/>
        <w:rPr>
          <w:rFonts w:eastAsia="Times New Roman" w:cs="Arial"/>
          <w:color w:val="000000"/>
          <w:lang w:eastAsia="cs-CZ"/>
        </w:rPr>
      </w:pPr>
      <w:r w:rsidRPr="007C28E8">
        <w:rPr>
          <w:rFonts w:eastAsia="Times New Roman" w:cs="Arial"/>
          <w:color w:val="000000"/>
          <w:lang w:eastAsia="cs-CZ"/>
        </w:rPr>
        <w:t>Bez ohledu na jakákoliv ustanovení v opačném smyslu, tato pojistná smlouva vylučuje:</w:t>
      </w:r>
    </w:p>
    <w:p w14:paraId="36C86F4D" w14:textId="77777777" w:rsidR="00511308" w:rsidRPr="007C28E8" w:rsidRDefault="00511308" w:rsidP="00C13D7C">
      <w:pPr>
        <w:spacing w:after="0"/>
        <w:ind w:left="-1134" w:right="-1"/>
        <w:rPr>
          <w:rFonts w:eastAsia="Times New Roman" w:cs="Arial"/>
          <w:color w:val="000000"/>
          <w:lang w:eastAsia="cs-CZ"/>
        </w:rPr>
      </w:pPr>
      <w:r w:rsidRPr="007C28E8">
        <w:rPr>
          <w:rFonts w:eastAsia="Times New Roman" w:cs="Arial"/>
          <w:color w:val="000000"/>
          <w:lang w:eastAsia="cs-CZ"/>
        </w:rPr>
        <w:t xml:space="preserve">- jakékoliv ztráty, škody, nároky či náklady jakékoliv povahy v rámci geografických hranic jakýchkoliv z následujících zemí a regionů: </w:t>
      </w:r>
    </w:p>
    <w:p w14:paraId="4262AC8C" w14:textId="77777777" w:rsidR="00511308" w:rsidRPr="007C28E8" w:rsidRDefault="00511308" w:rsidP="00351DCB">
      <w:pPr>
        <w:spacing w:before="0" w:after="0"/>
        <w:ind w:left="-1134" w:right="-1" w:firstLine="1276"/>
        <w:rPr>
          <w:rFonts w:eastAsia="Times New Roman" w:cs="Arial"/>
          <w:color w:val="000000"/>
          <w:lang w:eastAsia="cs-CZ"/>
        </w:rPr>
      </w:pPr>
      <w:r w:rsidRPr="007C28E8">
        <w:rPr>
          <w:rFonts w:eastAsia="Times New Roman" w:cs="Arial"/>
          <w:color w:val="000000"/>
          <w:lang w:eastAsia="cs-CZ"/>
        </w:rPr>
        <w:t>- Kuba vč. jejích teritoriálních vod,</w:t>
      </w:r>
    </w:p>
    <w:p w14:paraId="5E824CF3" w14:textId="77777777" w:rsidR="00511308" w:rsidRPr="007C28E8" w:rsidRDefault="00511308" w:rsidP="00351DCB">
      <w:pPr>
        <w:spacing w:before="0" w:after="0"/>
        <w:ind w:left="-1134" w:right="-1" w:firstLine="1276"/>
        <w:rPr>
          <w:rFonts w:eastAsia="Times New Roman" w:cs="Arial"/>
          <w:color w:val="000000"/>
          <w:lang w:eastAsia="cs-CZ"/>
        </w:rPr>
      </w:pPr>
      <w:r w:rsidRPr="007C28E8">
        <w:rPr>
          <w:rFonts w:eastAsia="Times New Roman" w:cs="Arial"/>
          <w:color w:val="000000"/>
          <w:lang w:eastAsia="cs-CZ"/>
        </w:rPr>
        <w:t>- Irán vč. jeho teritoriálních vod,</w:t>
      </w:r>
    </w:p>
    <w:p w14:paraId="47CEFB2A" w14:textId="77777777" w:rsidR="00511308" w:rsidRPr="007C28E8" w:rsidRDefault="00511308" w:rsidP="00C13D7C">
      <w:pPr>
        <w:spacing w:before="0" w:after="0"/>
        <w:ind w:left="-1134" w:right="-1"/>
        <w:rPr>
          <w:rFonts w:eastAsia="Times New Roman" w:cs="Arial"/>
          <w:color w:val="000000"/>
          <w:lang w:eastAsia="cs-CZ"/>
        </w:rPr>
      </w:pPr>
      <w:r w:rsidRPr="007C28E8">
        <w:rPr>
          <w:rFonts w:eastAsia="Times New Roman" w:cs="Arial"/>
          <w:color w:val="000000"/>
          <w:lang w:eastAsia="cs-CZ"/>
        </w:rPr>
        <w:t>- jakékoliv ztráty, škody, nároky či náklady způsobené osobám nebo subjektům nacházejícím se ve výše uvedených lokacích,</w:t>
      </w:r>
    </w:p>
    <w:p w14:paraId="6A8661E2" w14:textId="77777777" w:rsidR="00511308" w:rsidRPr="007C28E8" w:rsidRDefault="00511308" w:rsidP="00F6360F">
      <w:pPr>
        <w:spacing w:before="0" w:after="0"/>
        <w:ind w:left="-1134"/>
        <w:rPr>
          <w:rFonts w:eastAsia="Times New Roman" w:cs="Arial"/>
          <w:color w:val="000000"/>
          <w:lang w:eastAsia="cs-CZ"/>
        </w:rPr>
      </w:pPr>
      <w:r w:rsidRPr="007C28E8">
        <w:rPr>
          <w:rFonts w:eastAsia="Times New Roman" w:cs="Arial"/>
          <w:color w:val="000000"/>
          <w:lang w:eastAsia="cs-CZ"/>
        </w:rPr>
        <w:t>-  jakékoliv ztráty, škody, nároky či náklady způsobené činností pojištěného nebo zahrnující činnosti pojištěného kdekoli, které přímo nebo nepřímo zahrnují nebo přinášejí prospěch vládě, subjektům nebo státním příslušníkům Íránu nebo Kuby.</w:t>
      </w:r>
    </w:p>
    <w:p w14:paraId="0506B477" w14:textId="77777777" w:rsidR="006E04C0" w:rsidRPr="007C28E8" w:rsidRDefault="006E04C0" w:rsidP="00F6360F">
      <w:pPr>
        <w:autoSpaceDE w:val="0"/>
        <w:autoSpaceDN w:val="0"/>
        <w:adjustRightInd w:val="0"/>
        <w:spacing w:after="120"/>
        <w:ind w:left="-1134"/>
        <w:rPr>
          <w:rFonts w:eastAsia="Calibri" w:cs="Arial"/>
          <w:i/>
          <w:color w:val="000000"/>
          <w:sz w:val="16"/>
          <w:szCs w:val="16"/>
        </w:rPr>
      </w:pPr>
    </w:p>
    <w:p w14:paraId="3A14A6CF" w14:textId="77777777" w:rsidR="006E04C0" w:rsidRPr="007C28E8" w:rsidRDefault="006E04C0" w:rsidP="00F6360F">
      <w:pPr>
        <w:autoSpaceDE w:val="0"/>
        <w:autoSpaceDN w:val="0"/>
        <w:adjustRightInd w:val="0"/>
        <w:spacing w:after="120"/>
        <w:ind w:left="-1134"/>
        <w:rPr>
          <w:rFonts w:eastAsia="Calibri" w:cs="Arial"/>
          <w:i/>
          <w:color w:val="000000"/>
          <w:sz w:val="16"/>
          <w:szCs w:val="16"/>
        </w:rPr>
      </w:pPr>
    </w:p>
    <w:p w14:paraId="23A62563" w14:textId="5BD5F494" w:rsidR="00511308" w:rsidRPr="007C28E8" w:rsidRDefault="00511308" w:rsidP="00F6360F">
      <w:pPr>
        <w:autoSpaceDE w:val="0"/>
        <w:autoSpaceDN w:val="0"/>
        <w:adjustRightInd w:val="0"/>
        <w:spacing w:after="120"/>
        <w:ind w:left="-1134"/>
        <w:rPr>
          <w:rFonts w:eastAsia="Calibri" w:cs="Arial"/>
          <w:i/>
          <w:color w:val="000000"/>
          <w:sz w:val="16"/>
          <w:szCs w:val="16"/>
        </w:rPr>
      </w:pPr>
      <w:r w:rsidRPr="007C28E8">
        <w:rPr>
          <w:rFonts w:eastAsia="Calibri" w:cs="Arial"/>
          <w:i/>
          <w:color w:val="000000"/>
          <w:sz w:val="16"/>
          <w:szCs w:val="16"/>
        </w:rPr>
        <w:lastRenderedPageBreak/>
        <w:t>(Iran/Cuba exclusion</w:t>
      </w:r>
    </w:p>
    <w:p w14:paraId="37F50D66" w14:textId="77777777" w:rsidR="00511308" w:rsidRPr="007C28E8" w:rsidRDefault="00511308" w:rsidP="00963B8C">
      <w:pPr>
        <w:autoSpaceDE w:val="0"/>
        <w:autoSpaceDN w:val="0"/>
        <w:adjustRightInd w:val="0"/>
        <w:spacing w:after="0"/>
        <w:ind w:left="-1134" w:right="-1"/>
        <w:rPr>
          <w:rFonts w:eastAsia="Calibri" w:cs="Arial"/>
          <w:i/>
          <w:color w:val="000000"/>
          <w:sz w:val="16"/>
          <w:szCs w:val="16"/>
        </w:rPr>
      </w:pPr>
      <w:r w:rsidRPr="007C28E8">
        <w:rPr>
          <w:rFonts w:eastAsia="Calibri" w:cs="Arial"/>
          <w:i/>
          <w:color w:val="000000"/>
          <w:sz w:val="16"/>
          <w:szCs w:val="16"/>
        </w:rPr>
        <w:t>Notwithstanding anything to the contrary contained herein, the cover provided under this policy expressly excludes: any loss and / or damage resulting in Iran or Cuba or their territorial waters; any loss and / or damage incurred by persons or entities located in Iran or Cuba their territorial waters; or any loss and / or damage resulting in or involving the Insured’s activities anywhere that directly or indirectly involve or benefit the government, entities, or nationals of Iran or Cuba.)</w:t>
      </w:r>
    </w:p>
    <w:p w14:paraId="4F0FD201" w14:textId="684CEE90" w:rsidR="00511308" w:rsidRPr="007C28E8" w:rsidRDefault="00511308" w:rsidP="00D463F1">
      <w:pPr>
        <w:pStyle w:val="Endorsements-nadpisy"/>
        <w:numPr>
          <w:ilvl w:val="0"/>
          <w:numId w:val="34"/>
        </w:numPr>
        <w:ind w:left="-851" w:hanging="283"/>
        <w:rPr>
          <w:lang w:val="en-US"/>
        </w:rPr>
      </w:pPr>
      <w:r w:rsidRPr="007C28E8">
        <w:rPr>
          <w:lang w:val="en-US"/>
        </w:rPr>
        <w:t>Výluka nároků v souvislosti s RU/BY</w:t>
      </w:r>
    </w:p>
    <w:p w14:paraId="2CF842F0" w14:textId="77777777" w:rsidR="00511308" w:rsidRPr="007C28E8" w:rsidRDefault="00511308" w:rsidP="00351DCB">
      <w:pPr>
        <w:autoSpaceDE w:val="0"/>
        <w:autoSpaceDN w:val="0"/>
        <w:adjustRightInd w:val="0"/>
        <w:spacing w:after="120"/>
        <w:ind w:left="-1134" w:right="-1"/>
        <w:rPr>
          <w:rFonts w:cs="Arial"/>
          <w:bCs/>
        </w:rPr>
      </w:pPr>
      <w:r w:rsidRPr="007C28E8">
        <w:rPr>
          <w:rFonts w:cs="Arial"/>
          <w:bCs/>
        </w:rPr>
        <w:t>Toto pojištění neposkytuje žádné pojistné krytí pro část jakéhokoli nároku, vyšetřování, ztrátu, náklady, výdaje nebo platby provedené, vzniklé nebo odškodnitelné v souvislosti s jakýmkoli subjektem se sídlem, registrací nebo daňovým domicilem ve „vyloučeném území“.</w:t>
      </w:r>
    </w:p>
    <w:p w14:paraId="4B2CAB1B" w14:textId="77777777" w:rsidR="00511308" w:rsidRPr="007C28E8" w:rsidRDefault="00511308" w:rsidP="00F6360F">
      <w:pPr>
        <w:autoSpaceDE w:val="0"/>
        <w:autoSpaceDN w:val="0"/>
        <w:adjustRightInd w:val="0"/>
        <w:spacing w:after="0"/>
        <w:ind w:left="-1134"/>
        <w:rPr>
          <w:rFonts w:cs="Arial"/>
          <w:bCs/>
        </w:rPr>
      </w:pPr>
      <w:r w:rsidRPr="007C28E8">
        <w:rPr>
          <w:rFonts w:cs="Arial"/>
          <w:bCs/>
        </w:rPr>
        <w:t>„Vyloučené území“ znamená: Rusko a Bělorusko, včetně všech jejich území a ovládaných území a jakýchkoliv jejich územních celků.</w:t>
      </w:r>
    </w:p>
    <w:p w14:paraId="0BAD1450" w14:textId="77777777" w:rsidR="00511308" w:rsidRPr="007C28E8" w:rsidRDefault="00511308" w:rsidP="00F6360F">
      <w:pPr>
        <w:autoSpaceDE w:val="0"/>
        <w:autoSpaceDN w:val="0"/>
        <w:adjustRightInd w:val="0"/>
        <w:spacing w:after="120"/>
        <w:ind w:left="-1134"/>
        <w:rPr>
          <w:rFonts w:eastAsia="Calibri" w:cs="Arial"/>
          <w:i/>
          <w:color w:val="000000"/>
          <w:sz w:val="16"/>
          <w:szCs w:val="16"/>
        </w:rPr>
      </w:pPr>
      <w:r w:rsidRPr="007C28E8">
        <w:rPr>
          <w:rFonts w:eastAsia="Calibri" w:cs="Arial"/>
          <w:i/>
          <w:color w:val="000000"/>
          <w:sz w:val="16"/>
          <w:szCs w:val="16"/>
        </w:rPr>
        <w:t>(RU/BY exclusion</w:t>
      </w:r>
    </w:p>
    <w:p w14:paraId="09F0EAF3" w14:textId="77777777" w:rsidR="00511308" w:rsidRPr="007C28E8" w:rsidRDefault="00511308" w:rsidP="00351DCB">
      <w:pPr>
        <w:autoSpaceDE w:val="0"/>
        <w:autoSpaceDN w:val="0"/>
        <w:adjustRightInd w:val="0"/>
        <w:spacing w:after="120"/>
        <w:ind w:left="-1134" w:right="-1"/>
        <w:rPr>
          <w:rFonts w:eastAsia="Calibri" w:cs="Arial"/>
          <w:i/>
          <w:color w:val="000000"/>
          <w:sz w:val="16"/>
          <w:szCs w:val="16"/>
        </w:rPr>
      </w:pPr>
      <w:r w:rsidRPr="007C28E8">
        <w:rPr>
          <w:rFonts w:eastAsia="Calibri" w:cs="Arial"/>
          <w:i/>
          <w:color w:val="000000"/>
          <w:sz w:val="16"/>
          <w:szCs w:val="16"/>
        </w:rPr>
        <w:t>This insurance does not provide any insurance coverage for any part of any claim, investigation, loss, cost, expense or payment made, incurred or indemnified in connection with any entity having its registered office, registration or tax domicile in "excluded territory".</w:t>
      </w:r>
    </w:p>
    <w:p w14:paraId="7A72345B" w14:textId="77777777" w:rsidR="00511308" w:rsidRPr="007C28E8" w:rsidRDefault="00511308" w:rsidP="00963B8C">
      <w:pPr>
        <w:autoSpaceDE w:val="0"/>
        <w:autoSpaceDN w:val="0"/>
        <w:adjustRightInd w:val="0"/>
        <w:spacing w:after="0"/>
        <w:ind w:left="-1134" w:right="-1"/>
        <w:rPr>
          <w:rFonts w:eastAsia="Calibri" w:cs="Arial"/>
          <w:i/>
          <w:color w:val="000000"/>
          <w:sz w:val="16"/>
          <w:szCs w:val="16"/>
        </w:rPr>
      </w:pPr>
      <w:r w:rsidRPr="007C28E8">
        <w:rPr>
          <w:rFonts w:eastAsia="Calibri" w:cs="Arial"/>
          <w:i/>
          <w:color w:val="000000"/>
          <w:sz w:val="16"/>
          <w:szCs w:val="16"/>
        </w:rPr>
        <w:t>"Excluded Territory" means: Russia and Belarus, including all their territories and controlled territories and any territorial units thereof.)</w:t>
      </w:r>
    </w:p>
    <w:p w14:paraId="0A4F7D39" w14:textId="7536A962" w:rsidR="00511308" w:rsidRPr="007C28E8" w:rsidRDefault="00511308" w:rsidP="00D463F1">
      <w:pPr>
        <w:pStyle w:val="Endorsements-nadpisy"/>
        <w:numPr>
          <w:ilvl w:val="0"/>
          <w:numId w:val="34"/>
        </w:numPr>
        <w:ind w:left="-851" w:hanging="283"/>
        <w:rPr>
          <w:lang w:val="en-US"/>
        </w:rPr>
      </w:pPr>
      <w:r w:rsidRPr="007C28E8">
        <w:rPr>
          <w:lang w:val="en-US"/>
        </w:rPr>
        <w:t>Výluka války, terorismu, jaderné energie</w:t>
      </w:r>
    </w:p>
    <w:p w14:paraId="2683B86B" w14:textId="77777777" w:rsidR="00511308" w:rsidRPr="007C28E8" w:rsidRDefault="00511308" w:rsidP="00963B8C">
      <w:pPr>
        <w:spacing w:after="0"/>
        <w:ind w:left="-1134" w:right="-1"/>
        <w:rPr>
          <w:rFonts w:cs="Arial"/>
        </w:rPr>
      </w:pPr>
      <w:r w:rsidRPr="007C28E8">
        <w:rPr>
          <w:rFonts w:cs="Arial"/>
        </w:rPr>
        <w:t xml:space="preserve">Bez ohledu na jakákoliv ustanovení v opačném smyslu, tato pojistná smlouva vylučuje jakékoliv ztráty, škody, nároky či náklady jakékoliv povahy vyplývající přímo nebo nepřímo z: </w:t>
      </w:r>
    </w:p>
    <w:p w14:paraId="2646AA01" w14:textId="77777777" w:rsidR="00511308" w:rsidRPr="007C28E8" w:rsidRDefault="00511308" w:rsidP="00C13D7C">
      <w:pPr>
        <w:pStyle w:val="Odstavecseseznamem"/>
        <w:numPr>
          <w:ilvl w:val="0"/>
          <w:numId w:val="33"/>
        </w:numPr>
        <w:spacing w:before="0" w:after="0" w:line="240" w:lineRule="auto"/>
        <w:ind w:left="-709" w:right="-1" w:firstLine="0"/>
        <w:contextualSpacing w:val="0"/>
        <w:jc w:val="left"/>
        <w:rPr>
          <w:rFonts w:cs="Arial"/>
        </w:rPr>
      </w:pPr>
      <w:r w:rsidRPr="007C28E8">
        <w:rPr>
          <w:rFonts w:cs="Arial"/>
        </w:rPr>
        <w:t>války (ať již vyhlášené nebo jiné), občanských nepokojů nebo povstání;</w:t>
      </w:r>
    </w:p>
    <w:p w14:paraId="7FF4A6A0" w14:textId="77777777" w:rsidR="00511308" w:rsidRPr="007C28E8" w:rsidRDefault="00511308" w:rsidP="00C13D7C">
      <w:pPr>
        <w:pStyle w:val="Odstavecseseznamem"/>
        <w:numPr>
          <w:ilvl w:val="0"/>
          <w:numId w:val="33"/>
        </w:numPr>
        <w:spacing w:before="0" w:after="0" w:line="240" w:lineRule="auto"/>
        <w:ind w:left="0" w:right="-1"/>
        <w:contextualSpacing w:val="0"/>
        <w:jc w:val="left"/>
        <w:rPr>
          <w:rFonts w:cs="Arial"/>
        </w:rPr>
      </w:pPr>
      <w:r w:rsidRPr="007C28E8">
        <w:rPr>
          <w:rFonts w:cs="Arial"/>
        </w:rPr>
        <w:t>terorismu; pro účely této výluky terorismus znamená jakýkoliv čin jakékoliv osoby jednající jménem nebo v souvislosti s jakoukoliv organizací s aktivitami směřujícími za použití síly nebo násilí ke svržení nebo ovlivnění jakékoliv de jure nebo de facto vlády;</w:t>
      </w:r>
    </w:p>
    <w:p w14:paraId="67A94627" w14:textId="77777777" w:rsidR="00511308" w:rsidRPr="007C28E8" w:rsidRDefault="00511308" w:rsidP="00C13D7C">
      <w:pPr>
        <w:pStyle w:val="Odstavecseseznamem"/>
        <w:numPr>
          <w:ilvl w:val="0"/>
          <w:numId w:val="33"/>
        </w:numPr>
        <w:spacing w:before="0" w:after="0" w:line="240" w:lineRule="auto"/>
        <w:ind w:left="0" w:right="-1"/>
        <w:contextualSpacing w:val="0"/>
        <w:jc w:val="left"/>
        <w:rPr>
          <w:rFonts w:cs="Arial"/>
        </w:rPr>
      </w:pPr>
      <w:r w:rsidRPr="007C28E8">
        <w:rPr>
          <w:rFonts w:cs="Arial"/>
        </w:rPr>
        <w:t>ionizujícího záření nebo kontaminace radioaktivitou z jakéhokoliv jaderného paliva nebo jakéhokoliv jaderného odpadu ze štěpení jaderného paliva;</w:t>
      </w:r>
    </w:p>
    <w:p w14:paraId="63F53416" w14:textId="77777777" w:rsidR="00511308" w:rsidRPr="007C28E8" w:rsidRDefault="00511308" w:rsidP="00C13D7C">
      <w:pPr>
        <w:pStyle w:val="Odstavecseseznamem"/>
        <w:numPr>
          <w:ilvl w:val="0"/>
          <w:numId w:val="33"/>
        </w:numPr>
        <w:spacing w:before="0" w:after="0" w:line="240" w:lineRule="auto"/>
        <w:ind w:left="0" w:right="-1"/>
        <w:contextualSpacing w:val="0"/>
        <w:jc w:val="left"/>
        <w:rPr>
          <w:rFonts w:cs="Arial"/>
        </w:rPr>
      </w:pPr>
      <w:r w:rsidRPr="007C28E8">
        <w:rPr>
          <w:rFonts w:cs="Arial"/>
        </w:rPr>
        <w:t>radioaktivní, toxické, výbušné nebo jiné nebezpečné vlastnosti jakéhokoliv výbušného jaderného zařízení nebo jeho součásti.</w:t>
      </w:r>
    </w:p>
    <w:p w14:paraId="50DC1BBD" w14:textId="77777777" w:rsidR="00511308" w:rsidRPr="007C28E8" w:rsidRDefault="00511308" w:rsidP="00F6360F">
      <w:pPr>
        <w:spacing w:after="120"/>
        <w:ind w:left="-1134"/>
        <w:rPr>
          <w:rFonts w:cs="Arial"/>
          <w:i/>
          <w:color w:val="000000"/>
          <w:sz w:val="16"/>
          <w:szCs w:val="16"/>
        </w:rPr>
      </w:pPr>
      <w:r w:rsidRPr="007C28E8">
        <w:rPr>
          <w:rFonts w:cs="Arial"/>
          <w:i/>
          <w:color w:val="000000"/>
          <w:sz w:val="16"/>
          <w:szCs w:val="16"/>
        </w:rPr>
        <w:t>(War, Terrorism, Nuclear Exclusion</w:t>
      </w:r>
    </w:p>
    <w:p w14:paraId="27210325" w14:textId="77777777" w:rsidR="00511308" w:rsidRPr="007C28E8" w:rsidRDefault="00511308" w:rsidP="00963B8C">
      <w:pPr>
        <w:spacing w:after="0"/>
        <w:ind w:left="-1134" w:right="-1"/>
        <w:rPr>
          <w:rFonts w:eastAsia="Calibri" w:cs="Arial"/>
          <w:i/>
          <w:color w:val="000000"/>
          <w:sz w:val="16"/>
          <w:szCs w:val="16"/>
        </w:rPr>
      </w:pPr>
      <w:r w:rsidRPr="007C28E8">
        <w:rPr>
          <w:rFonts w:eastAsia="Calibri" w:cs="Arial"/>
          <w:i/>
          <w:color w:val="000000"/>
          <w:sz w:val="16"/>
          <w:szCs w:val="16"/>
        </w:rPr>
        <w:t xml:space="preserve">Notwithstanding anything to the contrary contained herein, the cover provided under this policy expressly excludes loss resulting directly or indirectly from: </w:t>
      </w:r>
    </w:p>
    <w:p w14:paraId="388261FB" w14:textId="77777777" w:rsidR="00511308" w:rsidRPr="007C28E8" w:rsidRDefault="00511308" w:rsidP="00C13D7C">
      <w:pPr>
        <w:pStyle w:val="Odstavecseseznamem"/>
        <w:numPr>
          <w:ilvl w:val="0"/>
          <w:numId w:val="30"/>
        </w:numPr>
        <w:spacing w:before="0" w:after="0" w:line="240" w:lineRule="auto"/>
        <w:ind w:left="0" w:right="-1"/>
        <w:contextualSpacing w:val="0"/>
        <w:rPr>
          <w:rFonts w:eastAsia="Calibri" w:cs="Arial"/>
          <w:i/>
          <w:color w:val="000000"/>
          <w:sz w:val="16"/>
          <w:szCs w:val="16"/>
        </w:rPr>
      </w:pPr>
      <w:r w:rsidRPr="007C28E8">
        <w:rPr>
          <w:rFonts w:eastAsia="Calibri" w:cs="Arial"/>
          <w:i/>
          <w:color w:val="000000"/>
          <w:sz w:val="16"/>
          <w:szCs w:val="16"/>
        </w:rPr>
        <w:t>war (whether declared or otherwise), civil disturbance, or riot;</w:t>
      </w:r>
    </w:p>
    <w:p w14:paraId="7CF5B538" w14:textId="77777777" w:rsidR="00511308" w:rsidRPr="007C28E8" w:rsidRDefault="00511308" w:rsidP="00C13D7C">
      <w:pPr>
        <w:pStyle w:val="Odstavecseseznamem"/>
        <w:numPr>
          <w:ilvl w:val="0"/>
          <w:numId w:val="30"/>
        </w:numPr>
        <w:spacing w:before="0" w:after="0" w:line="240" w:lineRule="auto"/>
        <w:ind w:left="0" w:right="-1"/>
        <w:contextualSpacing w:val="0"/>
        <w:rPr>
          <w:rFonts w:eastAsia="Calibri" w:cs="Arial"/>
          <w:i/>
          <w:color w:val="000000"/>
          <w:sz w:val="16"/>
          <w:szCs w:val="16"/>
        </w:rPr>
      </w:pPr>
      <w:r w:rsidRPr="007C28E8">
        <w:rPr>
          <w:rFonts w:eastAsia="Calibri" w:cs="Arial"/>
          <w:i/>
          <w:color w:val="000000"/>
          <w:sz w:val="16"/>
          <w:szCs w:val="16"/>
        </w:rPr>
        <w:t>terrorism; for the purposes of this exclusion terrorism means any act of any person acting on behalf of or in connection with any organization with activities directed towards the overthrowing or influencing of any Government de jure or de facto by force or violence;</w:t>
      </w:r>
    </w:p>
    <w:p w14:paraId="793619C7" w14:textId="77777777" w:rsidR="00511308" w:rsidRPr="007C28E8" w:rsidRDefault="00511308" w:rsidP="00C13D7C">
      <w:pPr>
        <w:pStyle w:val="Odstavecseseznamem"/>
        <w:numPr>
          <w:ilvl w:val="0"/>
          <w:numId w:val="30"/>
        </w:numPr>
        <w:spacing w:before="0" w:after="0" w:line="240" w:lineRule="auto"/>
        <w:ind w:left="0" w:right="-1"/>
        <w:contextualSpacing w:val="0"/>
        <w:rPr>
          <w:rFonts w:eastAsia="Calibri" w:cs="Arial"/>
          <w:i/>
          <w:color w:val="000000"/>
          <w:sz w:val="16"/>
          <w:szCs w:val="16"/>
        </w:rPr>
      </w:pPr>
      <w:r w:rsidRPr="007C28E8">
        <w:rPr>
          <w:rFonts w:eastAsia="Calibri" w:cs="Arial"/>
          <w:i/>
          <w:color w:val="000000"/>
          <w:sz w:val="16"/>
          <w:szCs w:val="16"/>
        </w:rPr>
        <w:t>ionizing radiation or contamination by radioactivity from any nuclear fuel or any nuclear waste from the combustion of nuclear fuel;</w:t>
      </w:r>
    </w:p>
    <w:p w14:paraId="2B87F1FD" w14:textId="77777777" w:rsidR="00511308" w:rsidRPr="007C28E8" w:rsidRDefault="00511308" w:rsidP="00C13D7C">
      <w:pPr>
        <w:pStyle w:val="Odstavecseseznamem"/>
        <w:numPr>
          <w:ilvl w:val="0"/>
          <w:numId w:val="30"/>
        </w:numPr>
        <w:spacing w:before="0" w:after="0" w:line="240" w:lineRule="auto"/>
        <w:ind w:left="0" w:right="-1"/>
        <w:contextualSpacing w:val="0"/>
        <w:rPr>
          <w:rFonts w:eastAsia="Calibri" w:cs="Arial"/>
          <w:i/>
          <w:color w:val="000000"/>
          <w:sz w:val="16"/>
          <w:szCs w:val="16"/>
        </w:rPr>
      </w:pPr>
      <w:r w:rsidRPr="007C28E8">
        <w:rPr>
          <w:rFonts w:eastAsia="Calibri" w:cs="Arial"/>
          <w:i/>
          <w:color w:val="000000"/>
          <w:sz w:val="16"/>
          <w:szCs w:val="16"/>
        </w:rPr>
        <w:t>the radioactive, toxic, explosive or other hazardous properties of any explosive nuclear assembly or nuclear component thereof.</w:t>
      </w:r>
      <w:r w:rsidRPr="007C28E8">
        <w:rPr>
          <w:rFonts w:cs="Arial"/>
          <w:i/>
          <w:color w:val="000000"/>
          <w:sz w:val="16"/>
          <w:szCs w:val="16"/>
        </w:rPr>
        <w:t>)</w:t>
      </w:r>
    </w:p>
    <w:p w14:paraId="3E9F2DF7" w14:textId="77777777" w:rsidR="00511308" w:rsidRPr="007C28E8" w:rsidRDefault="00511308" w:rsidP="00351DCB">
      <w:pPr>
        <w:ind w:left="-1134" w:right="-1"/>
        <w:jc w:val="center"/>
        <w:rPr>
          <w:rFonts w:cs="Arial"/>
          <w:b/>
          <w:sz w:val="22"/>
          <w:szCs w:val="22"/>
        </w:rPr>
      </w:pPr>
    </w:p>
    <w:p w14:paraId="1F036C49" w14:textId="77777777" w:rsidR="007C28E8" w:rsidRPr="007C28E8" w:rsidRDefault="007C28E8" w:rsidP="00351DCB">
      <w:pPr>
        <w:ind w:left="-1134" w:right="-1"/>
        <w:jc w:val="center"/>
        <w:rPr>
          <w:rFonts w:cs="Arial"/>
          <w:b/>
          <w:sz w:val="22"/>
          <w:szCs w:val="22"/>
        </w:rPr>
      </w:pPr>
    </w:p>
    <w:p w14:paraId="0D8208BA" w14:textId="77777777" w:rsidR="007C28E8" w:rsidRPr="007C28E8" w:rsidRDefault="007C28E8" w:rsidP="00351DCB">
      <w:pPr>
        <w:ind w:left="-1134" w:right="-1"/>
        <w:jc w:val="center"/>
        <w:rPr>
          <w:rFonts w:cs="Arial"/>
          <w:b/>
          <w:sz w:val="22"/>
          <w:szCs w:val="22"/>
        </w:rPr>
      </w:pPr>
    </w:p>
    <w:p w14:paraId="6B86D05F" w14:textId="77777777" w:rsidR="007C28E8" w:rsidRPr="007C28E8" w:rsidRDefault="007C28E8" w:rsidP="00351DCB">
      <w:pPr>
        <w:ind w:left="-1134" w:right="-1"/>
        <w:jc w:val="center"/>
        <w:rPr>
          <w:rFonts w:cs="Arial"/>
          <w:b/>
          <w:sz w:val="22"/>
          <w:szCs w:val="22"/>
        </w:rPr>
      </w:pPr>
    </w:p>
    <w:p w14:paraId="7775869D" w14:textId="77777777" w:rsidR="007C28E8" w:rsidRPr="007C28E8" w:rsidRDefault="007C28E8" w:rsidP="00351DCB">
      <w:pPr>
        <w:ind w:left="-1134" w:right="-1"/>
        <w:jc w:val="center"/>
        <w:rPr>
          <w:rFonts w:cs="Arial"/>
          <w:b/>
          <w:sz w:val="22"/>
          <w:szCs w:val="22"/>
        </w:rPr>
      </w:pPr>
    </w:p>
    <w:p w14:paraId="3DBE6677" w14:textId="77777777" w:rsidR="007C28E8" w:rsidRPr="007C28E8" w:rsidRDefault="007C28E8" w:rsidP="00351DCB">
      <w:pPr>
        <w:ind w:left="-1134" w:right="-1"/>
        <w:jc w:val="center"/>
        <w:rPr>
          <w:rFonts w:cs="Arial"/>
          <w:b/>
          <w:sz w:val="22"/>
          <w:szCs w:val="22"/>
        </w:rPr>
      </w:pPr>
    </w:p>
    <w:p w14:paraId="6B5F73B2" w14:textId="77777777" w:rsidR="007C28E8" w:rsidRPr="007C28E8" w:rsidRDefault="007C28E8" w:rsidP="00351DCB">
      <w:pPr>
        <w:ind w:left="-1134" w:right="-1"/>
        <w:jc w:val="center"/>
        <w:rPr>
          <w:rFonts w:cs="Arial"/>
          <w:b/>
          <w:sz w:val="22"/>
          <w:szCs w:val="22"/>
        </w:rPr>
      </w:pPr>
    </w:p>
    <w:p w14:paraId="2F93830F" w14:textId="77777777" w:rsidR="007C28E8" w:rsidRPr="007C28E8" w:rsidRDefault="007C28E8" w:rsidP="00351DCB">
      <w:pPr>
        <w:ind w:left="-1134" w:right="-1"/>
        <w:jc w:val="center"/>
        <w:rPr>
          <w:rFonts w:cs="Arial"/>
          <w:b/>
          <w:sz w:val="22"/>
          <w:szCs w:val="22"/>
        </w:rPr>
      </w:pPr>
    </w:p>
    <w:p w14:paraId="1582BDE6" w14:textId="77777777" w:rsidR="006E04C0" w:rsidRPr="007C28E8" w:rsidRDefault="006E04C0" w:rsidP="00351DCB">
      <w:pPr>
        <w:ind w:left="-1134" w:right="-1"/>
        <w:jc w:val="center"/>
        <w:rPr>
          <w:rFonts w:cs="Arial"/>
          <w:b/>
          <w:sz w:val="22"/>
          <w:szCs w:val="22"/>
        </w:rPr>
      </w:pPr>
    </w:p>
    <w:p w14:paraId="7BB32675" w14:textId="55F71919" w:rsidR="00511308" w:rsidRPr="007C28E8" w:rsidRDefault="00511308" w:rsidP="00351DCB">
      <w:pPr>
        <w:ind w:left="-1134" w:right="-1"/>
        <w:jc w:val="center"/>
        <w:rPr>
          <w:rFonts w:cs="Arial"/>
          <w:b/>
        </w:rPr>
      </w:pPr>
      <w:bookmarkStart w:id="36" w:name="_Hlk169788583"/>
      <w:r w:rsidRPr="007C28E8">
        <w:rPr>
          <w:rFonts w:cs="Arial"/>
          <w:b/>
          <w:sz w:val="22"/>
          <w:szCs w:val="22"/>
        </w:rPr>
        <w:lastRenderedPageBreak/>
        <w:t>Smluvní ujednání D&amp;O pojištění</w:t>
      </w:r>
    </w:p>
    <w:p w14:paraId="22D74C85" w14:textId="77777777" w:rsidR="00511308" w:rsidRPr="007C28E8" w:rsidRDefault="00511308" w:rsidP="00351DCB">
      <w:pPr>
        <w:spacing w:before="0"/>
        <w:ind w:left="-1134" w:right="-1"/>
        <w:jc w:val="center"/>
        <w:rPr>
          <w:rFonts w:cs="Arial"/>
          <w:i/>
          <w:color w:val="000000"/>
          <w:szCs w:val="20"/>
        </w:rPr>
      </w:pPr>
      <w:r w:rsidRPr="007C28E8">
        <w:rPr>
          <w:rFonts w:cs="Arial"/>
          <w:i/>
          <w:color w:val="000000"/>
          <w:szCs w:val="20"/>
        </w:rPr>
        <w:t>(Special conditions Directors &amp; Officers Liability Insurance)</w:t>
      </w:r>
    </w:p>
    <w:p w14:paraId="3760D2BB" w14:textId="77777777" w:rsidR="009E0D98" w:rsidRPr="007C28E8" w:rsidRDefault="009E0D98" w:rsidP="00906972">
      <w:pPr>
        <w:pStyle w:val="Odstavecseseznamem"/>
        <w:numPr>
          <w:ilvl w:val="0"/>
          <w:numId w:val="26"/>
        </w:numPr>
        <w:spacing w:after="0" w:line="240" w:lineRule="auto"/>
        <w:ind w:left="-851" w:right="142" w:hanging="357"/>
        <w:contextualSpacing w:val="0"/>
        <w:rPr>
          <w:rFonts w:cs="Arial"/>
          <w:bCs/>
        </w:rPr>
      </w:pPr>
      <w:r w:rsidRPr="007C28E8">
        <w:rPr>
          <w:rFonts w:cs="Arial"/>
          <w:bCs/>
        </w:rPr>
        <w:t>DUAL Deutschland GmbH, Schanzenstr. 36 / Geb. 197, 51063 Kolín nad Rýnem, Německo, je odpovědný za celou správu pojistné smlouvy a likvidaci pojistných událostí, jménem a na základě pověření pojistitelů. Veškerá korespondence týkající se pojistné smlouvy se provádí prostřednictvím zplnomocněného makléře. Obě smluvní strany souhlasí, že notifikační povinnost pojistníka je prováděna prostřednictvím zplnomocněného makléře, přičemž pojistitel tímto považuje notifikační povinnost za splněnou.</w:t>
      </w:r>
    </w:p>
    <w:p w14:paraId="18811D43" w14:textId="77777777" w:rsidR="009E0D98" w:rsidRPr="007C28E8" w:rsidRDefault="009E0D98" w:rsidP="00906972">
      <w:pPr>
        <w:autoSpaceDE w:val="0"/>
        <w:autoSpaceDN w:val="0"/>
        <w:adjustRightInd w:val="0"/>
        <w:spacing w:before="60" w:after="0" w:line="240" w:lineRule="auto"/>
        <w:ind w:left="-851" w:right="142"/>
        <w:rPr>
          <w:rFonts w:cs="Arial"/>
          <w:bCs/>
          <w:i/>
          <w:sz w:val="16"/>
          <w:szCs w:val="16"/>
        </w:rPr>
      </w:pPr>
      <w:r w:rsidRPr="007C28E8">
        <w:rPr>
          <w:rFonts w:cs="Arial"/>
          <w:bCs/>
          <w:i/>
          <w:sz w:val="16"/>
          <w:szCs w:val="16"/>
        </w:rPr>
        <w:t>(DUAL Deutschland GmbH, Schanzenstr. 36 / Geb. 197, 51063 Cologne, Germany, is responsible for the entire administration of the insurance contract and loss handling, on behalf and under the authorisation of the insurers. All correspondence relating to the insurance contract shall be conducted via Appointed Broker. Both parties agree that all notifications towards the insurers are exclusively communicated through appointed broker further stated in this policy. Insurers hereby acknowledge and confirm above mentioned statement.)</w:t>
      </w:r>
    </w:p>
    <w:p w14:paraId="2C4C5833" w14:textId="77777777" w:rsidR="009E0D98" w:rsidRPr="007C28E8" w:rsidRDefault="009E0D98" w:rsidP="00906972">
      <w:pPr>
        <w:numPr>
          <w:ilvl w:val="0"/>
          <w:numId w:val="26"/>
        </w:numPr>
        <w:autoSpaceDE w:val="0"/>
        <w:autoSpaceDN w:val="0"/>
        <w:adjustRightInd w:val="0"/>
        <w:spacing w:after="0" w:line="240" w:lineRule="auto"/>
        <w:ind w:left="-851" w:right="140" w:hanging="357"/>
        <w:rPr>
          <w:rFonts w:cs="Arial"/>
          <w:bCs/>
        </w:rPr>
      </w:pPr>
      <w:r w:rsidRPr="007C28E8">
        <w:rPr>
          <w:rFonts w:cs="Arial"/>
          <w:bCs/>
        </w:rPr>
        <w:t xml:space="preserve">Toto pojištění se ujednává jako pojištění škodové. </w:t>
      </w:r>
    </w:p>
    <w:p w14:paraId="07E07399" w14:textId="77777777" w:rsidR="009E0D98" w:rsidRPr="007C28E8" w:rsidRDefault="009E0D98" w:rsidP="00906972">
      <w:pPr>
        <w:autoSpaceDE w:val="0"/>
        <w:autoSpaceDN w:val="0"/>
        <w:adjustRightInd w:val="0"/>
        <w:spacing w:before="60" w:after="0" w:line="240" w:lineRule="auto"/>
        <w:ind w:left="-851" w:right="142"/>
        <w:rPr>
          <w:rFonts w:cs="Arial"/>
          <w:bCs/>
          <w:i/>
          <w:sz w:val="16"/>
          <w:szCs w:val="16"/>
        </w:rPr>
      </w:pPr>
      <w:r w:rsidRPr="007C28E8">
        <w:rPr>
          <w:rFonts w:cs="Arial"/>
          <w:bCs/>
          <w:i/>
          <w:sz w:val="16"/>
          <w:szCs w:val="16"/>
        </w:rPr>
        <w:t>(This insurance is concluded as loss insurance.)</w:t>
      </w:r>
    </w:p>
    <w:p w14:paraId="48BF6A9B" w14:textId="43FDE709" w:rsidR="009E0D98" w:rsidRPr="007C28E8" w:rsidRDefault="009E0D98" w:rsidP="00906972">
      <w:pPr>
        <w:numPr>
          <w:ilvl w:val="0"/>
          <w:numId w:val="26"/>
        </w:numPr>
        <w:autoSpaceDE w:val="0"/>
        <w:autoSpaceDN w:val="0"/>
        <w:adjustRightInd w:val="0"/>
        <w:spacing w:after="0" w:line="240" w:lineRule="auto"/>
        <w:ind w:left="-851" w:right="140" w:hanging="357"/>
        <w:rPr>
          <w:rFonts w:cs="Arial"/>
          <w:bCs/>
        </w:rPr>
      </w:pPr>
      <w:r w:rsidRPr="007C28E8">
        <w:rPr>
          <w:rFonts w:cs="Arial"/>
          <w:bCs/>
        </w:rPr>
        <w:t xml:space="preserve">Všechny měny budou přepočteny kurzem České </w:t>
      </w:r>
      <w:r w:rsidR="007F4869" w:rsidRPr="007C28E8">
        <w:rPr>
          <w:rFonts w:cs="Arial"/>
          <w:bCs/>
        </w:rPr>
        <w:t>n</w:t>
      </w:r>
      <w:r w:rsidRPr="007C28E8">
        <w:rPr>
          <w:rFonts w:cs="Arial"/>
          <w:bCs/>
        </w:rPr>
        <w:t xml:space="preserve">árodní </w:t>
      </w:r>
      <w:r w:rsidR="007F4869" w:rsidRPr="007C28E8">
        <w:rPr>
          <w:rFonts w:cs="Arial"/>
          <w:bCs/>
        </w:rPr>
        <w:t>b</w:t>
      </w:r>
      <w:r w:rsidRPr="007C28E8">
        <w:rPr>
          <w:rFonts w:cs="Arial"/>
          <w:bCs/>
        </w:rPr>
        <w:t xml:space="preserve">anky k datu výplaty pojistného plnění. </w:t>
      </w:r>
    </w:p>
    <w:p w14:paraId="726994B9" w14:textId="76FB9574" w:rsidR="009E0D98" w:rsidRPr="007C28E8" w:rsidRDefault="009E0D98" w:rsidP="00906972">
      <w:pPr>
        <w:autoSpaceDE w:val="0"/>
        <w:autoSpaceDN w:val="0"/>
        <w:adjustRightInd w:val="0"/>
        <w:spacing w:before="60" w:after="0" w:line="240" w:lineRule="auto"/>
        <w:ind w:left="-851" w:right="142"/>
        <w:rPr>
          <w:rFonts w:cs="Arial"/>
          <w:bCs/>
          <w:i/>
          <w:sz w:val="16"/>
          <w:szCs w:val="16"/>
        </w:rPr>
      </w:pPr>
      <w:r w:rsidRPr="007C28E8">
        <w:rPr>
          <w:rFonts w:cs="Arial"/>
          <w:bCs/>
          <w:i/>
          <w:sz w:val="16"/>
          <w:szCs w:val="16"/>
        </w:rPr>
        <w:t xml:space="preserve">(Currency Conversion Clause: All currencies are converted by the exchange rate of the Czech National Bank as of the respective date of loss payment.) </w:t>
      </w:r>
    </w:p>
    <w:p w14:paraId="577B63EF" w14:textId="0B6598CA" w:rsidR="009E0D98" w:rsidRPr="007C28E8" w:rsidRDefault="009E0D98" w:rsidP="00906972">
      <w:pPr>
        <w:pStyle w:val="Odstavecseseznamem"/>
        <w:numPr>
          <w:ilvl w:val="0"/>
          <w:numId w:val="26"/>
        </w:numPr>
        <w:autoSpaceDE w:val="0"/>
        <w:autoSpaceDN w:val="0"/>
        <w:adjustRightInd w:val="0"/>
        <w:spacing w:after="0" w:line="240" w:lineRule="auto"/>
        <w:ind w:left="-851" w:right="142" w:hanging="357"/>
        <w:contextualSpacing w:val="0"/>
        <w:rPr>
          <w:rFonts w:cs="Arial"/>
          <w:bCs/>
        </w:rPr>
      </w:pPr>
      <w:r w:rsidRPr="007C28E8">
        <w:rPr>
          <w:rFonts w:cs="Arial"/>
          <w:bCs/>
        </w:rPr>
        <w:t xml:space="preserve">Toto pojištění se uzavírá na základě informací, uvedených v dotazníku ze dne </w:t>
      </w:r>
      <w:r w:rsidR="00A25B7A" w:rsidRPr="007C28E8">
        <w:rPr>
          <w:rFonts w:cs="Arial"/>
          <w:bCs/>
        </w:rPr>
        <w:t>27</w:t>
      </w:r>
      <w:r w:rsidR="007F4869" w:rsidRPr="007C28E8">
        <w:rPr>
          <w:rFonts w:cs="Arial"/>
          <w:bCs/>
        </w:rPr>
        <w:t>.0</w:t>
      </w:r>
      <w:r w:rsidR="00A25B7A" w:rsidRPr="007C28E8">
        <w:rPr>
          <w:rFonts w:cs="Arial"/>
          <w:bCs/>
        </w:rPr>
        <w:t>7</w:t>
      </w:r>
      <w:r w:rsidR="007F4869" w:rsidRPr="007C28E8">
        <w:rPr>
          <w:rFonts w:cs="Arial"/>
          <w:bCs/>
        </w:rPr>
        <w:t>.202</w:t>
      </w:r>
      <w:r w:rsidR="00A25B7A" w:rsidRPr="007C28E8">
        <w:rPr>
          <w:rFonts w:cs="Arial"/>
          <w:bCs/>
        </w:rPr>
        <w:t>6</w:t>
      </w:r>
      <w:r w:rsidRPr="007C28E8">
        <w:rPr>
          <w:rFonts w:cs="Arial"/>
          <w:bCs/>
        </w:rPr>
        <w:t>. Pro toto pojištění se uplatní pojistné podmínky společnosti Dual: DUAL AVBDO CZ 202</w:t>
      </w:r>
      <w:r w:rsidR="0058224D" w:rsidRPr="007C28E8">
        <w:rPr>
          <w:rFonts w:cs="Arial"/>
          <w:bCs/>
        </w:rPr>
        <w:t>5</w:t>
      </w:r>
      <w:r w:rsidRPr="007C28E8">
        <w:rPr>
          <w:rFonts w:cs="Arial"/>
          <w:bCs/>
        </w:rPr>
        <w:t>, v. 0</w:t>
      </w:r>
      <w:r w:rsidR="0058224D" w:rsidRPr="007C28E8">
        <w:rPr>
          <w:rFonts w:cs="Arial"/>
          <w:bCs/>
        </w:rPr>
        <w:t>5/2025</w:t>
      </w:r>
      <w:r w:rsidRPr="007C28E8">
        <w:rPr>
          <w:rFonts w:cs="Arial"/>
          <w:bCs/>
        </w:rPr>
        <w:t>.</w:t>
      </w:r>
    </w:p>
    <w:p w14:paraId="33B5A2DD" w14:textId="17850322" w:rsidR="009E0D98" w:rsidRPr="007C28E8" w:rsidRDefault="009E0D98" w:rsidP="00906972">
      <w:pPr>
        <w:pStyle w:val="Odstavecseseznamem"/>
        <w:autoSpaceDE w:val="0"/>
        <w:autoSpaceDN w:val="0"/>
        <w:adjustRightInd w:val="0"/>
        <w:spacing w:before="60" w:after="0" w:line="240" w:lineRule="auto"/>
        <w:ind w:left="-851" w:right="142"/>
        <w:contextualSpacing w:val="0"/>
        <w:rPr>
          <w:rFonts w:cs="Arial"/>
          <w:bCs/>
          <w:i/>
          <w:sz w:val="16"/>
          <w:szCs w:val="16"/>
        </w:rPr>
      </w:pPr>
      <w:r w:rsidRPr="007C28E8">
        <w:rPr>
          <w:rFonts w:cs="Arial"/>
          <w:bCs/>
          <w:i/>
          <w:sz w:val="16"/>
          <w:szCs w:val="16"/>
        </w:rPr>
        <w:t xml:space="preserve">(This insurance is concluded upon information provided in the questionnaire dated </w:t>
      </w:r>
      <w:r w:rsidR="00A25B7A" w:rsidRPr="007C28E8">
        <w:rPr>
          <w:rFonts w:cs="Arial"/>
          <w:bCs/>
          <w:i/>
          <w:sz w:val="16"/>
          <w:szCs w:val="16"/>
        </w:rPr>
        <w:t>27</w:t>
      </w:r>
      <w:r w:rsidR="007F4869" w:rsidRPr="007C28E8">
        <w:rPr>
          <w:rFonts w:cs="Arial"/>
          <w:bCs/>
          <w:i/>
          <w:sz w:val="16"/>
          <w:szCs w:val="16"/>
        </w:rPr>
        <w:t>.0</w:t>
      </w:r>
      <w:r w:rsidR="00A25B7A" w:rsidRPr="007C28E8">
        <w:rPr>
          <w:rFonts w:cs="Arial"/>
          <w:bCs/>
          <w:i/>
          <w:sz w:val="16"/>
          <w:szCs w:val="16"/>
        </w:rPr>
        <w:t>7</w:t>
      </w:r>
      <w:r w:rsidR="007F4869" w:rsidRPr="007C28E8">
        <w:rPr>
          <w:rFonts w:cs="Arial"/>
          <w:bCs/>
          <w:i/>
          <w:sz w:val="16"/>
          <w:szCs w:val="16"/>
        </w:rPr>
        <w:t>.202</w:t>
      </w:r>
      <w:r w:rsidR="00A25B7A" w:rsidRPr="007C28E8">
        <w:rPr>
          <w:rFonts w:cs="Arial"/>
          <w:bCs/>
          <w:i/>
          <w:sz w:val="16"/>
          <w:szCs w:val="16"/>
        </w:rPr>
        <w:t>6</w:t>
      </w:r>
      <w:r w:rsidR="007F4869" w:rsidRPr="007C28E8">
        <w:rPr>
          <w:rFonts w:cs="Arial"/>
          <w:bCs/>
          <w:i/>
          <w:sz w:val="16"/>
          <w:szCs w:val="16"/>
        </w:rPr>
        <w:t>.</w:t>
      </w:r>
      <w:r w:rsidRPr="007C28E8">
        <w:rPr>
          <w:rFonts w:cs="Arial"/>
          <w:bCs/>
          <w:i/>
          <w:sz w:val="16"/>
          <w:szCs w:val="16"/>
        </w:rPr>
        <w:t xml:space="preserve"> For this insurance, the following insurance conditions apply: DUAL AVBDO CZ 202</w:t>
      </w:r>
      <w:r w:rsidR="0058224D" w:rsidRPr="007C28E8">
        <w:rPr>
          <w:rFonts w:cs="Arial"/>
          <w:bCs/>
          <w:i/>
          <w:sz w:val="16"/>
          <w:szCs w:val="16"/>
        </w:rPr>
        <w:t>5</w:t>
      </w:r>
      <w:r w:rsidRPr="007C28E8">
        <w:rPr>
          <w:rFonts w:cs="Arial"/>
          <w:bCs/>
          <w:i/>
          <w:sz w:val="16"/>
          <w:szCs w:val="16"/>
        </w:rPr>
        <w:t>, v. 0</w:t>
      </w:r>
      <w:r w:rsidR="0058224D" w:rsidRPr="007C28E8">
        <w:rPr>
          <w:rFonts w:cs="Arial"/>
          <w:bCs/>
          <w:i/>
          <w:sz w:val="16"/>
          <w:szCs w:val="16"/>
        </w:rPr>
        <w:t>5</w:t>
      </w:r>
      <w:r w:rsidRPr="007C28E8">
        <w:rPr>
          <w:rFonts w:cs="Arial"/>
          <w:bCs/>
          <w:i/>
          <w:sz w:val="16"/>
          <w:szCs w:val="16"/>
        </w:rPr>
        <w:t>/202</w:t>
      </w:r>
      <w:r w:rsidR="0058224D" w:rsidRPr="007C28E8">
        <w:rPr>
          <w:rFonts w:cs="Arial"/>
          <w:bCs/>
          <w:i/>
          <w:sz w:val="16"/>
          <w:szCs w:val="16"/>
        </w:rPr>
        <w:t>5</w:t>
      </w:r>
      <w:r w:rsidRPr="007C28E8">
        <w:rPr>
          <w:rFonts w:cs="Arial"/>
          <w:bCs/>
          <w:i/>
          <w:sz w:val="16"/>
          <w:szCs w:val="16"/>
        </w:rPr>
        <w:t>.)</w:t>
      </w:r>
    </w:p>
    <w:p w14:paraId="5A35C65C" w14:textId="3A25AD6D" w:rsidR="009E0D98" w:rsidRPr="007C28E8" w:rsidRDefault="009E0D98" w:rsidP="00906972">
      <w:pPr>
        <w:pStyle w:val="Odstavecseseznamem"/>
        <w:numPr>
          <w:ilvl w:val="0"/>
          <w:numId w:val="26"/>
        </w:numPr>
        <w:autoSpaceDE w:val="0"/>
        <w:autoSpaceDN w:val="0"/>
        <w:adjustRightInd w:val="0"/>
        <w:spacing w:after="0" w:line="240" w:lineRule="auto"/>
        <w:ind w:left="-851" w:right="142" w:hanging="357"/>
        <w:contextualSpacing w:val="0"/>
        <w:rPr>
          <w:rFonts w:cs="Arial"/>
        </w:rPr>
      </w:pPr>
      <w:r w:rsidRPr="007C28E8">
        <w:rPr>
          <w:rFonts w:cs="Arial"/>
          <w:bCs/>
        </w:rPr>
        <w:t>V souladu s čl. 2.18. pojistných podmínek se ujednává, že toto pojištění se vztahuje i na odpovědnost společnosti v souvislosti s cennými papíry</w:t>
      </w:r>
      <w:r w:rsidR="00906972" w:rsidRPr="007C28E8">
        <w:rPr>
          <w:rFonts w:cs="Arial"/>
          <w:bCs/>
        </w:rPr>
        <w:t>.</w:t>
      </w:r>
      <w:r w:rsidRPr="007C28E8">
        <w:rPr>
          <w:rFonts w:cs="Arial"/>
        </w:rPr>
        <w:t xml:space="preserve"> </w:t>
      </w:r>
    </w:p>
    <w:p w14:paraId="5C079B9A" w14:textId="77777777" w:rsidR="009E0D98" w:rsidRPr="007C28E8" w:rsidRDefault="009E0D98" w:rsidP="00906972">
      <w:pPr>
        <w:pStyle w:val="Odstavecseseznamem"/>
        <w:autoSpaceDE w:val="0"/>
        <w:autoSpaceDN w:val="0"/>
        <w:adjustRightInd w:val="0"/>
        <w:spacing w:before="60" w:after="0" w:line="240" w:lineRule="auto"/>
        <w:ind w:left="-851" w:right="142"/>
        <w:contextualSpacing w:val="0"/>
        <w:rPr>
          <w:rFonts w:cs="Arial"/>
          <w:sz w:val="16"/>
          <w:szCs w:val="16"/>
        </w:rPr>
      </w:pPr>
      <w:r w:rsidRPr="007C28E8">
        <w:rPr>
          <w:rFonts w:cs="Arial"/>
          <w:bCs/>
          <w:i/>
          <w:sz w:val="16"/>
          <w:szCs w:val="16"/>
        </w:rPr>
        <w:t>(In accordance with article 2.18. of the insurance conditions it is agreed that this insurance does cover Company Securities Liability.)</w:t>
      </w:r>
    </w:p>
    <w:p w14:paraId="58A578FD" w14:textId="1FB9E4F4" w:rsidR="007F4869" w:rsidRPr="007C28E8" w:rsidRDefault="007F4869" w:rsidP="007F4869">
      <w:pPr>
        <w:pStyle w:val="Odstavecseseznamem"/>
        <w:numPr>
          <w:ilvl w:val="0"/>
          <w:numId w:val="26"/>
        </w:numPr>
        <w:spacing w:after="0" w:line="240" w:lineRule="auto"/>
        <w:ind w:left="-851" w:right="142" w:hanging="357"/>
        <w:contextualSpacing w:val="0"/>
        <w:rPr>
          <w:rFonts w:cs="Arial"/>
          <w:bCs/>
        </w:rPr>
      </w:pPr>
      <w:r w:rsidRPr="007C28E8">
        <w:rPr>
          <w:rFonts w:cs="Arial"/>
          <w:bCs/>
        </w:rPr>
        <w:t>Definice pojištěné osoby dle čl. 6.31 pojistných podmínek DUAL AVBDO CZ 202</w:t>
      </w:r>
      <w:r w:rsidR="002277DA" w:rsidRPr="007C28E8">
        <w:rPr>
          <w:rFonts w:cs="Arial"/>
          <w:bCs/>
        </w:rPr>
        <w:t>5</w:t>
      </w:r>
      <w:r w:rsidRPr="007C28E8">
        <w:rPr>
          <w:rFonts w:cs="Arial"/>
          <w:bCs/>
        </w:rPr>
        <w:t>, v. 0</w:t>
      </w:r>
      <w:r w:rsidR="002277DA" w:rsidRPr="007C28E8">
        <w:rPr>
          <w:rFonts w:cs="Arial"/>
          <w:bCs/>
        </w:rPr>
        <w:t>5</w:t>
      </w:r>
      <w:r w:rsidRPr="007C28E8">
        <w:rPr>
          <w:rFonts w:cs="Arial"/>
          <w:bCs/>
        </w:rPr>
        <w:t>/202</w:t>
      </w:r>
      <w:r w:rsidR="002277DA" w:rsidRPr="007C28E8">
        <w:rPr>
          <w:rFonts w:cs="Arial"/>
          <w:bCs/>
        </w:rPr>
        <w:t>5</w:t>
      </w:r>
      <w:r w:rsidRPr="007C28E8">
        <w:rPr>
          <w:rFonts w:cs="Arial"/>
          <w:bCs/>
        </w:rPr>
        <w:t xml:space="preserve"> se tímto</w:t>
      </w:r>
      <w:r w:rsidRPr="007C28E8">
        <w:rPr>
          <w:rFonts w:cs="Arial"/>
          <w:bCs/>
        </w:rPr>
        <w:br/>
        <w:t>rozšiřuje o osobu, která byla, je nebo bude v průběhu pojistné doby členem orgánu veřejné vysoké</w:t>
      </w:r>
      <w:r w:rsidRPr="007C28E8">
        <w:rPr>
          <w:rFonts w:cs="Arial"/>
          <w:bCs/>
        </w:rPr>
        <w:br/>
        <w:t>školy, nebo tímto orgánem, dle § 7 zákona č. 111/1998 Sb., o vysokých školách, dále o prorektory a</w:t>
      </w:r>
      <w:r w:rsidRPr="007C28E8">
        <w:rPr>
          <w:rFonts w:cs="Arial"/>
          <w:bCs/>
        </w:rPr>
        <w:br/>
        <w:t>rovněž o osobu, která je pověřena zastupovat pojištěnou osobu ve výkonu její funkce po dobu její</w:t>
      </w:r>
      <w:r w:rsidRPr="007C28E8">
        <w:rPr>
          <w:rFonts w:cs="Arial"/>
          <w:bCs/>
        </w:rPr>
        <w:br/>
        <w:t xml:space="preserve">nepřítomnosti.                                                                                                                                                                </w:t>
      </w:r>
    </w:p>
    <w:p w14:paraId="736F31AD" w14:textId="29B13F92" w:rsidR="007F4869" w:rsidRPr="007C28E8" w:rsidRDefault="007F4869" w:rsidP="007F4869">
      <w:pPr>
        <w:pStyle w:val="Odstavecseseznamem"/>
        <w:spacing w:before="60" w:after="0" w:line="240" w:lineRule="auto"/>
        <w:ind w:left="-851" w:right="142"/>
        <w:contextualSpacing w:val="0"/>
        <w:rPr>
          <w:rFonts w:cs="Arial"/>
          <w:bCs/>
        </w:rPr>
      </w:pPr>
      <w:r w:rsidRPr="007C28E8">
        <w:rPr>
          <w:rFonts w:cs="Arial"/>
          <w:bCs/>
          <w:i/>
          <w:iCs/>
        </w:rPr>
        <w:t>(Definition of the insured person as per par. 6.31 of the terms and conditions of cover DUAL AVBDO 202</w:t>
      </w:r>
      <w:r w:rsidR="002277DA" w:rsidRPr="007C28E8">
        <w:rPr>
          <w:rFonts w:cs="Arial"/>
          <w:bCs/>
          <w:i/>
          <w:iCs/>
        </w:rPr>
        <w:t>5</w:t>
      </w:r>
      <w:r w:rsidRPr="007C28E8">
        <w:rPr>
          <w:rFonts w:cs="Arial"/>
          <w:bCs/>
          <w:i/>
          <w:iCs/>
        </w:rPr>
        <w:t xml:space="preserve"> Czech Republic, v. 0</w:t>
      </w:r>
      <w:r w:rsidR="002277DA" w:rsidRPr="007C28E8">
        <w:rPr>
          <w:rFonts w:cs="Arial"/>
          <w:bCs/>
          <w:i/>
          <w:iCs/>
        </w:rPr>
        <w:t>5</w:t>
      </w:r>
      <w:r w:rsidRPr="007C28E8">
        <w:rPr>
          <w:rFonts w:cs="Arial"/>
          <w:bCs/>
          <w:i/>
          <w:iCs/>
        </w:rPr>
        <w:t>/202</w:t>
      </w:r>
      <w:r w:rsidR="002277DA" w:rsidRPr="007C28E8">
        <w:rPr>
          <w:rFonts w:cs="Arial"/>
          <w:bCs/>
          <w:i/>
          <w:iCs/>
        </w:rPr>
        <w:t>5</w:t>
      </w:r>
      <w:r w:rsidRPr="007C28E8">
        <w:rPr>
          <w:rFonts w:cs="Arial"/>
          <w:bCs/>
          <w:i/>
          <w:iCs/>
        </w:rPr>
        <w:t xml:space="preserve"> is amended to include any past, present, or future member of a body of a public university, or body as such, in accordance with §7, Act No. 111/1998 Coll., on Higher Education Institutions, and vice-principals and also person who is appointed to substitute the insured person for the period of absence.)</w:t>
      </w:r>
    </w:p>
    <w:p w14:paraId="2AE9372B" w14:textId="01B324ED" w:rsidR="009E0D98" w:rsidRPr="007C28E8" w:rsidRDefault="009E0D98" w:rsidP="00906972">
      <w:pPr>
        <w:pStyle w:val="Odstavecseseznamem"/>
        <w:numPr>
          <w:ilvl w:val="0"/>
          <w:numId w:val="26"/>
        </w:numPr>
        <w:spacing w:after="0" w:line="240" w:lineRule="auto"/>
        <w:ind w:left="-851" w:right="142" w:hanging="357"/>
        <w:contextualSpacing w:val="0"/>
        <w:rPr>
          <w:rFonts w:cs="Arial"/>
          <w:bCs/>
        </w:rPr>
      </w:pPr>
      <w:r w:rsidRPr="007C28E8">
        <w:rPr>
          <w:rFonts w:cs="Arial"/>
          <w:bCs/>
        </w:rPr>
        <w:t>Roční pojistné za pojištění je sjednáno jako jednorázové a je splatné do 45 dnů od počátku pojištění na účet zplnomocněného makléře</w:t>
      </w:r>
      <w:r w:rsidR="0081250F" w:rsidRPr="007C28E8">
        <w:rPr>
          <w:rFonts w:cs="Arial"/>
          <w:bCs/>
        </w:rPr>
        <w:t xml:space="preserve"> 107-7851070287/0100</w:t>
      </w:r>
      <w:r w:rsidRPr="007C28E8">
        <w:rPr>
          <w:rFonts w:cs="Arial"/>
          <w:bCs/>
        </w:rPr>
        <w:t>.</w:t>
      </w:r>
      <w:r w:rsidRPr="007C28E8">
        <w:rPr>
          <w:rFonts w:cs="Arial"/>
          <w:bCs/>
          <w:color w:val="FF0000"/>
        </w:rPr>
        <w:t xml:space="preserve"> </w:t>
      </w:r>
      <w:r w:rsidRPr="007C28E8">
        <w:rPr>
          <w:rFonts w:cs="Arial"/>
          <w:bCs/>
        </w:rPr>
        <w:t xml:space="preserve">Pojistné se považuje za zaplacené okamžikem připsání pojistného v plné výši na výše uvedený účet. </w:t>
      </w:r>
    </w:p>
    <w:p w14:paraId="4FF62664" w14:textId="5717C77E" w:rsidR="009E0D98" w:rsidRPr="007C28E8" w:rsidRDefault="009E0D98" w:rsidP="00906972">
      <w:pPr>
        <w:pStyle w:val="Odstavecseseznamem"/>
        <w:autoSpaceDE w:val="0"/>
        <w:autoSpaceDN w:val="0"/>
        <w:adjustRightInd w:val="0"/>
        <w:spacing w:before="60" w:after="0" w:line="240" w:lineRule="auto"/>
        <w:ind w:left="-851" w:right="142"/>
        <w:contextualSpacing w:val="0"/>
        <w:rPr>
          <w:rFonts w:cs="Arial"/>
          <w:bCs/>
          <w:i/>
          <w:sz w:val="16"/>
          <w:szCs w:val="16"/>
        </w:rPr>
      </w:pPr>
      <w:r w:rsidRPr="007C28E8">
        <w:rPr>
          <w:rFonts w:cs="Arial"/>
          <w:bCs/>
          <w:i/>
          <w:sz w:val="16"/>
          <w:szCs w:val="16"/>
        </w:rPr>
        <w:t xml:space="preserve">(The annual premium is agreed as lump sum premium and is payable to the account of the appointed broker </w:t>
      </w:r>
      <w:r w:rsidR="0081250F" w:rsidRPr="007C28E8">
        <w:rPr>
          <w:rFonts w:cs="Arial"/>
          <w:bCs/>
          <w:i/>
          <w:sz w:val="16"/>
          <w:szCs w:val="16"/>
        </w:rPr>
        <w:t xml:space="preserve">107-7851070287/0100 </w:t>
      </w:r>
      <w:r w:rsidRPr="007C28E8">
        <w:rPr>
          <w:rFonts w:cs="Arial"/>
          <w:bCs/>
          <w:i/>
          <w:sz w:val="16"/>
          <w:szCs w:val="16"/>
        </w:rPr>
        <w:t>within 45 days from policy inception. The premium is considered to be paid once it is written in full onto the mentioned account.)</w:t>
      </w:r>
    </w:p>
    <w:p w14:paraId="312BA5E4" w14:textId="7A8811A1" w:rsidR="009E0D98" w:rsidRPr="007C28E8" w:rsidRDefault="009E0D98" w:rsidP="00906972">
      <w:pPr>
        <w:pStyle w:val="Odstavecseseznamem"/>
        <w:numPr>
          <w:ilvl w:val="0"/>
          <w:numId w:val="26"/>
        </w:numPr>
        <w:tabs>
          <w:tab w:val="left" w:pos="-1440"/>
          <w:tab w:val="left" w:pos="-709"/>
          <w:tab w:val="left" w:pos="426"/>
        </w:tabs>
        <w:suppressAutoHyphens/>
        <w:spacing w:after="0" w:line="240" w:lineRule="auto"/>
        <w:ind w:left="-851" w:right="142"/>
        <w:contextualSpacing w:val="0"/>
        <w:rPr>
          <w:rFonts w:cs="Arial"/>
          <w:bCs/>
        </w:rPr>
      </w:pPr>
      <w:r w:rsidRPr="007C28E8">
        <w:rPr>
          <w:rFonts w:cs="Arial"/>
          <w:bCs/>
        </w:rPr>
        <w:t>Pojistník výslovně prohlašuje, že převzal informace o zpracování osobních údajů a byl poučen o svých právech náležejících mu podle platných a účinných předpisů Č</w:t>
      </w:r>
      <w:r w:rsidR="006F4376" w:rsidRPr="007C28E8">
        <w:rPr>
          <w:rFonts w:cs="Arial"/>
          <w:bCs/>
        </w:rPr>
        <w:t>eské republiky a</w:t>
      </w:r>
      <w:r w:rsidRPr="007C28E8">
        <w:rPr>
          <w:rFonts w:cs="Arial"/>
          <w:bCs/>
        </w:rPr>
        <w:t xml:space="preserve"> E</w:t>
      </w:r>
      <w:r w:rsidR="006F4376" w:rsidRPr="007C28E8">
        <w:rPr>
          <w:rFonts w:cs="Arial"/>
          <w:bCs/>
        </w:rPr>
        <w:t>vropské unie</w:t>
      </w:r>
      <w:r w:rsidRPr="007C28E8">
        <w:rPr>
          <w:rFonts w:cs="Arial"/>
          <w:bCs/>
        </w:rPr>
        <w:t xml:space="preserve">. </w:t>
      </w:r>
    </w:p>
    <w:p w14:paraId="7287F451" w14:textId="13002500" w:rsidR="009E0D98" w:rsidRPr="007C28E8" w:rsidRDefault="009E0D98" w:rsidP="00906972">
      <w:pPr>
        <w:pStyle w:val="Odstavecseseznamem"/>
        <w:tabs>
          <w:tab w:val="left" w:pos="-1440"/>
          <w:tab w:val="left" w:pos="-709"/>
          <w:tab w:val="left" w:pos="426"/>
        </w:tabs>
        <w:suppressAutoHyphens/>
        <w:spacing w:before="60" w:after="0" w:line="240" w:lineRule="auto"/>
        <w:ind w:left="-851" w:right="142"/>
        <w:contextualSpacing w:val="0"/>
        <w:rPr>
          <w:rFonts w:cs="Arial"/>
          <w:bCs/>
          <w:sz w:val="16"/>
          <w:szCs w:val="16"/>
        </w:rPr>
      </w:pPr>
      <w:r w:rsidRPr="007C28E8">
        <w:rPr>
          <w:rFonts w:cs="Arial"/>
          <w:bCs/>
          <w:i/>
          <w:sz w:val="16"/>
          <w:szCs w:val="16"/>
        </w:rPr>
        <w:t xml:space="preserve">(The policyholder confirms having accepted information on processing personal data and was instructed about their rights with respect to the valid and current laws of the Czech Republic and </w:t>
      </w:r>
      <w:r w:rsidR="007C28E8" w:rsidRPr="007C28E8">
        <w:rPr>
          <w:rFonts w:cs="Arial"/>
          <w:bCs/>
          <w:i/>
          <w:sz w:val="16"/>
          <w:szCs w:val="16"/>
        </w:rPr>
        <w:t xml:space="preserve">the </w:t>
      </w:r>
      <w:r w:rsidRPr="007C28E8">
        <w:rPr>
          <w:rFonts w:cs="Arial"/>
          <w:bCs/>
          <w:i/>
          <w:sz w:val="16"/>
          <w:szCs w:val="16"/>
        </w:rPr>
        <w:t>European Union.)</w:t>
      </w:r>
    </w:p>
    <w:p w14:paraId="64B4B51E" w14:textId="27D3311D" w:rsidR="009E0D98" w:rsidRPr="007C28E8" w:rsidRDefault="009E0D98" w:rsidP="00906972">
      <w:pPr>
        <w:pStyle w:val="Odstavecseseznamem"/>
        <w:numPr>
          <w:ilvl w:val="0"/>
          <w:numId w:val="26"/>
        </w:numPr>
        <w:tabs>
          <w:tab w:val="left" w:pos="-1440"/>
          <w:tab w:val="left" w:pos="-709"/>
          <w:tab w:val="left" w:pos="450"/>
        </w:tabs>
        <w:suppressAutoHyphens/>
        <w:spacing w:after="0" w:line="240" w:lineRule="auto"/>
        <w:ind w:left="-851" w:right="142" w:hanging="357"/>
        <w:contextualSpacing w:val="0"/>
        <w:rPr>
          <w:rFonts w:cs="Arial"/>
          <w:bCs/>
        </w:rPr>
      </w:pPr>
      <w:r w:rsidRPr="007C28E8">
        <w:rPr>
          <w:rFonts w:cs="Arial"/>
          <w:bCs/>
        </w:rPr>
        <w:t>Pojistník prohlašuje, že seznámí všechny dotčené osoby s obsahem této smlouvy včetně uvedených pojistných podmínek. Zároveň se zavazuje předat těmto osobám informace o zpracování osobních údajů a poučit je o jejich právech jako subjektů poskytujících své osobní údaje ve smyslu platných právních předpisů Č</w:t>
      </w:r>
      <w:r w:rsidR="006F4376" w:rsidRPr="007C28E8">
        <w:rPr>
          <w:rFonts w:cs="Arial"/>
          <w:bCs/>
        </w:rPr>
        <w:t xml:space="preserve">eské republiky </w:t>
      </w:r>
      <w:r w:rsidRPr="007C28E8">
        <w:rPr>
          <w:rFonts w:cs="Arial"/>
          <w:bCs/>
        </w:rPr>
        <w:t>a E</w:t>
      </w:r>
      <w:r w:rsidR="006F4376" w:rsidRPr="007C28E8">
        <w:rPr>
          <w:rFonts w:cs="Arial"/>
          <w:bCs/>
        </w:rPr>
        <w:t>vropské unie</w:t>
      </w:r>
      <w:r w:rsidRPr="007C28E8">
        <w:rPr>
          <w:rFonts w:cs="Arial"/>
          <w:bCs/>
        </w:rPr>
        <w:t>.</w:t>
      </w:r>
    </w:p>
    <w:p w14:paraId="03953D1C" w14:textId="4E5A021D" w:rsidR="009E0D98" w:rsidRPr="007C28E8" w:rsidRDefault="009E0D98" w:rsidP="00906972">
      <w:pPr>
        <w:tabs>
          <w:tab w:val="left" w:pos="-1440"/>
          <w:tab w:val="left" w:pos="-709"/>
          <w:tab w:val="left" w:pos="450"/>
        </w:tabs>
        <w:suppressAutoHyphens/>
        <w:spacing w:before="60" w:after="0" w:line="240" w:lineRule="auto"/>
        <w:ind w:left="-851" w:right="142"/>
        <w:rPr>
          <w:rFonts w:cs="Arial"/>
          <w:bCs/>
          <w:i/>
          <w:sz w:val="16"/>
          <w:szCs w:val="16"/>
        </w:rPr>
      </w:pPr>
      <w:r w:rsidRPr="007C28E8">
        <w:rPr>
          <w:rFonts w:cs="Arial"/>
          <w:bCs/>
          <w:i/>
          <w:sz w:val="16"/>
          <w:szCs w:val="16"/>
        </w:rPr>
        <w:t xml:space="preserve">(The policyholder confirms he will inform all relevant subjects with the content of this policy including the policy conditions. At the same time, he confirms that he will hand over information on processing the personal data to these subjects and will inform them about their rights as subjects providing their personal data with respect to valid laws of the Czech Republic and </w:t>
      </w:r>
      <w:r w:rsidR="007C28E8" w:rsidRPr="007C28E8">
        <w:rPr>
          <w:rFonts w:cs="Arial"/>
          <w:bCs/>
          <w:i/>
          <w:sz w:val="16"/>
          <w:szCs w:val="16"/>
        </w:rPr>
        <w:t xml:space="preserve">the </w:t>
      </w:r>
      <w:r w:rsidRPr="007C28E8">
        <w:rPr>
          <w:rFonts w:cs="Arial"/>
          <w:bCs/>
          <w:i/>
          <w:sz w:val="16"/>
          <w:szCs w:val="16"/>
        </w:rPr>
        <w:t>European Union).</w:t>
      </w:r>
    </w:p>
    <w:p w14:paraId="0F55FC4B" w14:textId="77777777" w:rsidR="009E0D98" w:rsidRPr="007C28E8" w:rsidRDefault="009E0D98" w:rsidP="00F67205">
      <w:pPr>
        <w:numPr>
          <w:ilvl w:val="0"/>
          <w:numId w:val="26"/>
        </w:numPr>
        <w:tabs>
          <w:tab w:val="left" w:pos="-1440"/>
          <w:tab w:val="left" w:pos="-709"/>
          <w:tab w:val="left" w:pos="450"/>
        </w:tabs>
        <w:suppressAutoHyphens/>
        <w:spacing w:after="0" w:line="240" w:lineRule="auto"/>
        <w:ind w:left="-850" w:right="142" w:hanging="363"/>
        <w:rPr>
          <w:rFonts w:cs="Arial"/>
          <w:bCs/>
        </w:rPr>
      </w:pPr>
      <w:r w:rsidRPr="007C28E8">
        <w:rPr>
          <w:rFonts w:cs="Arial"/>
          <w:bCs/>
          <w:lang w:val="cs-CZ"/>
        </w:rPr>
        <w:t>Smlouva může být měněna nebo doplňována</w:t>
      </w:r>
      <w:r w:rsidRPr="007C28E8">
        <w:rPr>
          <w:rFonts w:cs="Arial"/>
          <w:bCs/>
        </w:rPr>
        <w:t xml:space="preserve"> pouze písemnými, postupně číslovanými oboustranně dohodnutými dodatky, které se stávají nedílnou součástí smlouvy.</w:t>
      </w:r>
    </w:p>
    <w:p w14:paraId="70BC87A9" w14:textId="77777777" w:rsidR="009E0D98" w:rsidRPr="007C28E8" w:rsidRDefault="009E0D98" w:rsidP="00906972">
      <w:pPr>
        <w:tabs>
          <w:tab w:val="left" w:pos="-1440"/>
          <w:tab w:val="left" w:pos="-709"/>
          <w:tab w:val="left" w:pos="426"/>
        </w:tabs>
        <w:suppressAutoHyphens/>
        <w:spacing w:before="60" w:after="0" w:line="240" w:lineRule="auto"/>
        <w:ind w:left="-851" w:right="142"/>
        <w:rPr>
          <w:rFonts w:cs="Arial"/>
          <w:bCs/>
          <w:i/>
          <w:sz w:val="16"/>
          <w:szCs w:val="16"/>
        </w:rPr>
      </w:pPr>
      <w:r w:rsidRPr="007C28E8">
        <w:rPr>
          <w:rFonts w:cs="Arial"/>
          <w:bCs/>
          <w:i/>
          <w:sz w:val="16"/>
          <w:szCs w:val="16"/>
        </w:rPr>
        <w:t>(This policy may be amended or changed only by a written and numbered endorsement agreed by both parties, which will become a part of the policy.)</w:t>
      </w:r>
    </w:p>
    <w:p w14:paraId="0BAD4400" w14:textId="77777777" w:rsidR="009E0D98" w:rsidRPr="007C28E8" w:rsidRDefault="009E0D98" w:rsidP="00F67205">
      <w:pPr>
        <w:numPr>
          <w:ilvl w:val="0"/>
          <w:numId w:val="26"/>
        </w:numPr>
        <w:tabs>
          <w:tab w:val="left" w:pos="-1440"/>
          <w:tab w:val="left" w:pos="-709"/>
          <w:tab w:val="left" w:pos="426"/>
        </w:tabs>
        <w:suppressAutoHyphens/>
        <w:spacing w:after="0" w:line="240" w:lineRule="auto"/>
        <w:ind w:left="-851" w:right="142" w:hanging="425"/>
        <w:rPr>
          <w:rFonts w:cs="Arial"/>
          <w:bCs/>
        </w:rPr>
      </w:pPr>
      <w:r w:rsidRPr="007C28E8">
        <w:rPr>
          <w:rFonts w:cs="Arial"/>
          <w:bCs/>
        </w:rPr>
        <w:t>Pojistník prohlašuje, že před sjednáním pojistné smlouvy</w:t>
      </w:r>
      <w:r w:rsidRPr="007C28E8">
        <w:rPr>
          <w:rFonts w:cs="Arial"/>
          <w:spacing w:val="-2"/>
        </w:rPr>
        <w:t xml:space="preserve"> </w:t>
      </w:r>
      <w:r w:rsidRPr="007C28E8">
        <w:rPr>
          <w:rFonts w:cs="Arial"/>
          <w:bCs/>
        </w:rPr>
        <w:t xml:space="preserve">byl srozumitelně seznámen se zněním příslušných VPP pojistitele, které se vztahují k pojištění vzniklému na základě této pojistné smlouvy. </w:t>
      </w:r>
    </w:p>
    <w:p w14:paraId="1116732B" w14:textId="77777777" w:rsidR="009E0D98" w:rsidRPr="007C28E8" w:rsidRDefault="009E0D98" w:rsidP="00906972">
      <w:pPr>
        <w:tabs>
          <w:tab w:val="left" w:pos="-1440"/>
          <w:tab w:val="left" w:pos="-709"/>
          <w:tab w:val="left" w:pos="360"/>
        </w:tabs>
        <w:suppressAutoHyphens/>
        <w:spacing w:before="60" w:after="0" w:line="240" w:lineRule="auto"/>
        <w:ind w:left="-851" w:right="142"/>
        <w:rPr>
          <w:rFonts w:cs="Arial"/>
          <w:bCs/>
        </w:rPr>
      </w:pPr>
      <w:r w:rsidRPr="007C28E8">
        <w:rPr>
          <w:rFonts w:cs="Arial"/>
          <w:bCs/>
        </w:rPr>
        <w:t xml:space="preserve">Pojistník dále prohlašuje, že odpověděl na všechny dotazy pojistitele úplně a pravdivě, nezamlčel žádné informace přímo vztažené k předmětu pojištění nebo ovlivňující podmínky pojištění a je si vědom následků nepravdivých či </w:t>
      </w:r>
      <w:r w:rsidRPr="007C28E8">
        <w:rPr>
          <w:rFonts w:cs="Arial"/>
          <w:bCs/>
        </w:rPr>
        <w:lastRenderedPageBreak/>
        <w:t>neúplných informací. Pojistitel prohlašuje, že mu byly poskytnuty veškeré zákonné informace i ty, které sám žádal, a to před sjednáním pojistné smlouvy.</w:t>
      </w:r>
    </w:p>
    <w:p w14:paraId="254CF0D2" w14:textId="77777777" w:rsidR="009E0D98" w:rsidRPr="007C28E8" w:rsidRDefault="009E0D98" w:rsidP="00906972">
      <w:pPr>
        <w:tabs>
          <w:tab w:val="left" w:pos="-1440"/>
          <w:tab w:val="left" w:pos="-709"/>
          <w:tab w:val="left" w:pos="360"/>
        </w:tabs>
        <w:suppressAutoHyphens/>
        <w:spacing w:before="60" w:after="0" w:line="240" w:lineRule="auto"/>
        <w:ind w:left="-851" w:right="142"/>
        <w:rPr>
          <w:rFonts w:cs="Arial"/>
          <w:bCs/>
          <w:i/>
          <w:sz w:val="16"/>
          <w:szCs w:val="16"/>
        </w:rPr>
      </w:pPr>
      <w:r w:rsidRPr="007C28E8">
        <w:rPr>
          <w:rFonts w:cs="Arial"/>
          <w:bCs/>
          <w:i/>
          <w:sz w:val="16"/>
          <w:szCs w:val="16"/>
        </w:rPr>
        <w:t>(The policyholder confirms that before concluding the policy he was clearly made familiar with the insurance conditions, which relate to the insurance according to this insurance policy.</w:t>
      </w:r>
    </w:p>
    <w:p w14:paraId="13BF649C" w14:textId="77777777" w:rsidR="009E0D98" w:rsidRPr="007C28E8" w:rsidRDefault="009E0D98" w:rsidP="00906972">
      <w:pPr>
        <w:tabs>
          <w:tab w:val="left" w:pos="-1440"/>
          <w:tab w:val="left" w:pos="-709"/>
          <w:tab w:val="left" w:pos="360"/>
        </w:tabs>
        <w:suppressAutoHyphens/>
        <w:spacing w:before="60" w:after="0" w:line="240" w:lineRule="auto"/>
        <w:ind w:left="-851" w:right="142"/>
        <w:rPr>
          <w:rFonts w:cs="Arial"/>
          <w:bCs/>
          <w:i/>
          <w:sz w:val="16"/>
          <w:szCs w:val="16"/>
        </w:rPr>
      </w:pPr>
      <w:r w:rsidRPr="007C28E8">
        <w:rPr>
          <w:rFonts w:cs="Arial"/>
          <w:bCs/>
          <w:i/>
          <w:sz w:val="16"/>
          <w:szCs w:val="16"/>
        </w:rPr>
        <w:t>The policyholder confirms that he has answered all questions of the insurer thoroughly and correctly, has not concealed any information with respect to the subject of insurance or influencing the conditions of insurance and is familiar with the consequences of providing incomplete or misleading information. The Insurer confirms that he has been provided with all the information necessary by law, including those he has requested, before the policy inception.)</w:t>
      </w:r>
    </w:p>
    <w:p w14:paraId="3083709E" w14:textId="77777777" w:rsidR="009E0D98" w:rsidRPr="007C28E8" w:rsidRDefault="009E0D98" w:rsidP="00F67205">
      <w:pPr>
        <w:numPr>
          <w:ilvl w:val="0"/>
          <w:numId w:val="26"/>
        </w:numPr>
        <w:tabs>
          <w:tab w:val="left" w:pos="-1440"/>
          <w:tab w:val="left" w:pos="-720"/>
          <w:tab w:val="left" w:pos="450"/>
        </w:tabs>
        <w:suppressAutoHyphens/>
        <w:spacing w:after="0" w:line="240" w:lineRule="auto"/>
        <w:ind w:left="-851" w:right="142" w:hanging="425"/>
        <w:rPr>
          <w:rFonts w:cs="Arial"/>
          <w:bCs/>
        </w:rPr>
      </w:pPr>
      <w:r w:rsidRPr="007C28E8">
        <w:rPr>
          <w:rFonts w:cs="Arial"/>
          <w:bCs/>
        </w:rPr>
        <w:t>Spory mezi spotřebitelem a pojistitelem z pojistné smlouvy neživotního pojištění je možné řešit soudní nebo mimosoudní cestou. Mimosoudně prostřednictvím České obchodní inspekce (www.coi.cz). Právní úpravu mimosoudního řešení spotřebitelských sporů naleznete v zákoně č. 634/1992 Sb., o ochraně spotřebitele.</w:t>
      </w:r>
    </w:p>
    <w:p w14:paraId="3D841CDD" w14:textId="77777777" w:rsidR="009E0D98" w:rsidRPr="007C28E8" w:rsidRDefault="009E0D98" w:rsidP="00906972">
      <w:pPr>
        <w:tabs>
          <w:tab w:val="left" w:pos="-1440"/>
          <w:tab w:val="left" w:pos="-720"/>
          <w:tab w:val="left" w:pos="450"/>
        </w:tabs>
        <w:suppressAutoHyphens/>
        <w:spacing w:before="60" w:after="0" w:line="240" w:lineRule="auto"/>
        <w:ind w:left="-851" w:right="142"/>
        <w:rPr>
          <w:rFonts w:cs="Arial"/>
          <w:bCs/>
          <w:i/>
          <w:sz w:val="16"/>
          <w:szCs w:val="16"/>
        </w:rPr>
      </w:pPr>
      <w:r w:rsidRPr="007C28E8">
        <w:rPr>
          <w:rFonts w:cs="Arial"/>
          <w:bCs/>
          <w:i/>
          <w:sz w:val="16"/>
          <w:szCs w:val="16"/>
        </w:rPr>
        <w:t>(The disputes between the client and insurer is possible to be solved in court or out-of-court. When out-of-court, the dispute may be submitted to the Czech commercial inspection (</w:t>
      </w:r>
      <w:hyperlink r:id="rId9" w:history="1">
        <w:r w:rsidRPr="007C28E8">
          <w:rPr>
            <w:rFonts w:cs="Arial"/>
            <w:i/>
            <w:sz w:val="16"/>
            <w:szCs w:val="16"/>
          </w:rPr>
          <w:t>www.coi.cz</w:t>
        </w:r>
      </w:hyperlink>
      <w:r w:rsidRPr="007C28E8">
        <w:rPr>
          <w:rFonts w:cs="Arial"/>
          <w:bCs/>
          <w:i/>
          <w:sz w:val="16"/>
          <w:szCs w:val="16"/>
        </w:rPr>
        <w:t>). The legal provisions of out-of-court solution may be found in the law no. 634/1992 Coll, on consumer protection.)</w:t>
      </w:r>
    </w:p>
    <w:p w14:paraId="2F42B06B" w14:textId="6F79FA55" w:rsidR="009E0D98" w:rsidRPr="007C28E8" w:rsidRDefault="009E0D98" w:rsidP="00F67205">
      <w:pPr>
        <w:pStyle w:val="Odstavecseseznamem"/>
        <w:numPr>
          <w:ilvl w:val="0"/>
          <w:numId w:val="26"/>
        </w:numPr>
        <w:tabs>
          <w:tab w:val="left" w:pos="360"/>
          <w:tab w:val="num" w:pos="644"/>
        </w:tabs>
        <w:spacing w:after="0" w:line="240" w:lineRule="auto"/>
        <w:ind w:left="-850" w:right="142" w:hanging="448"/>
        <w:contextualSpacing w:val="0"/>
        <w:rPr>
          <w:rFonts w:cs="Arial"/>
          <w:bCs/>
          <w:i/>
          <w:sz w:val="16"/>
          <w:szCs w:val="16"/>
        </w:rPr>
      </w:pPr>
      <w:r w:rsidRPr="007C28E8">
        <w:rPr>
          <w:rFonts w:cs="Arial"/>
          <w:bCs/>
        </w:rPr>
        <w:t xml:space="preserve">Tato pojistná smlouva se řídí právem České republiky. </w:t>
      </w:r>
    </w:p>
    <w:p w14:paraId="2C76D09D" w14:textId="77777777" w:rsidR="009E0D98" w:rsidRPr="007C28E8" w:rsidRDefault="009E0D98" w:rsidP="00906972">
      <w:pPr>
        <w:pStyle w:val="Odstavecseseznamem"/>
        <w:tabs>
          <w:tab w:val="left" w:pos="360"/>
        </w:tabs>
        <w:spacing w:before="60" w:after="0" w:line="240" w:lineRule="auto"/>
        <w:ind w:left="-851" w:right="142"/>
        <w:contextualSpacing w:val="0"/>
        <w:rPr>
          <w:rFonts w:cs="Arial"/>
          <w:bCs/>
          <w:i/>
          <w:sz w:val="16"/>
          <w:szCs w:val="16"/>
        </w:rPr>
      </w:pPr>
      <w:r w:rsidRPr="007C28E8">
        <w:rPr>
          <w:rFonts w:cs="Arial"/>
          <w:bCs/>
          <w:i/>
          <w:sz w:val="16"/>
          <w:szCs w:val="16"/>
        </w:rPr>
        <w:t>(This insurance policy is governed by law of the Czech Republic.)</w:t>
      </w:r>
    </w:p>
    <w:p w14:paraId="652DE569" w14:textId="77777777" w:rsidR="009E0D98" w:rsidRPr="007C28E8" w:rsidRDefault="009E0D98" w:rsidP="00F67205">
      <w:pPr>
        <w:pStyle w:val="Odstavecseseznamem"/>
        <w:numPr>
          <w:ilvl w:val="0"/>
          <w:numId w:val="26"/>
        </w:numPr>
        <w:tabs>
          <w:tab w:val="left" w:pos="360"/>
          <w:tab w:val="num" w:pos="644"/>
        </w:tabs>
        <w:spacing w:after="0" w:line="240" w:lineRule="auto"/>
        <w:ind w:left="-850" w:right="142" w:hanging="448"/>
        <w:contextualSpacing w:val="0"/>
        <w:rPr>
          <w:rFonts w:cs="Arial"/>
          <w:bCs/>
        </w:rPr>
      </w:pPr>
      <w:r w:rsidRPr="007C28E8">
        <w:rPr>
          <w:rFonts w:cs="Arial"/>
          <w:bCs/>
        </w:rPr>
        <w:t xml:space="preserve">Pouze česká verze této smlouvy je závazná. Anglický překlad smlouvy slouží pouze pro účely ověření.  </w:t>
      </w:r>
    </w:p>
    <w:p w14:paraId="2CC6C6D6" w14:textId="77777777" w:rsidR="009E0D98" w:rsidRPr="007C28E8" w:rsidRDefault="009E0D98" w:rsidP="00906972">
      <w:pPr>
        <w:pStyle w:val="Odstavecseseznamem"/>
        <w:tabs>
          <w:tab w:val="left" w:pos="360"/>
        </w:tabs>
        <w:spacing w:before="60" w:after="0" w:line="240" w:lineRule="auto"/>
        <w:ind w:left="-851" w:right="142"/>
        <w:contextualSpacing w:val="0"/>
        <w:rPr>
          <w:rFonts w:cs="Arial"/>
          <w:bCs/>
          <w:i/>
          <w:sz w:val="16"/>
          <w:szCs w:val="16"/>
        </w:rPr>
      </w:pPr>
      <w:r w:rsidRPr="007C28E8">
        <w:rPr>
          <w:rFonts w:cs="Arial"/>
          <w:bCs/>
          <w:i/>
          <w:sz w:val="16"/>
          <w:szCs w:val="16"/>
        </w:rPr>
        <w:t>(Please note that only the Czech version of this policy is binding and prevails. English version on this policy should be used for the purpose of verification only.)</w:t>
      </w:r>
    </w:p>
    <w:p w14:paraId="60C6C37A" w14:textId="77777777" w:rsidR="009E0D98" w:rsidRPr="007C28E8" w:rsidRDefault="009E0D98" w:rsidP="00906972">
      <w:pPr>
        <w:pStyle w:val="Odstavecseseznamem"/>
        <w:numPr>
          <w:ilvl w:val="0"/>
          <w:numId w:val="26"/>
        </w:numPr>
        <w:tabs>
          <w:tab w:val="left" w:pos="-1440"/>
          <w:tab w:val="left" w:pos="-709"/>
          <w:tab w:val="left" w:pos="426"/>
        </w:tabs>
        <w:suppressAutoHyphens/>
        <w:spacing w:after="60" w:line="240" w:lineRule="auto"/>
        <w:ind w:left="-850" w:right="142" w:hanging="448"/>
        <w:contextualSpacing w:val="0"/>
        <w:rPr>
          <w:rFonts w:cs="Arial"/>
          <w:bCs/>
        </w:rPr>
      </w:pPr>
      <w:r w:rsidRPr="007C28E8">
        <w:rPr>
          <w:rFonts w:cs="Arial"/>
          <w:bCs/>
        </w:rPr>
        <w:t>Výčet příloh:</w:t>
      </w:r>
      <w:r w:rsidRPr="007C28E8">
        <w:rPr>
          <w:rFonts w:cs="Arial"/>
          <w:bCs/>
        </w:rPr>
        <w:tab/>
      </w:r>
      <w:r w:rsidRPr="007C28E8">
        <w:rPr>
          <w:rFonts w:cs="Arial"/>
          <w:bCs/>
        </w:rPr>
        <w:tab/>
        <w:t>Příloha č. 1 - Příslušné pojistné podmínky</w:t>
      </w:r>
    </w:p>
    <w:p w14:paraId="444600F4" w14:textId="77777777" w:rsidR="009E0D98" w:rsidRPr="007C28E8" w:rsidRDefault="009E0D98" w:rsidP="00906972">
      <w:pPr>
        <w:tabs>
          <w:tab w:val="left" w:pos="-1440"/>
          <w:tab w:val="left" w:pos="-709"/>
          <w:tab w:val="left" w:pos="426"/>
        </w:tabs>
        <w:suppressAutoHyphens/>
        <w:spacing w:before="60" w:after="60" w:line="240" w:lineRule="auto"/>
        <w:ind w:left="-851" w:right="140"/>
        <w:rPr>
          <w:rFonts w:cs="Arial"/>
          <w:bCs/>
        </w:rPr>
      </w:pPr>
      <w:r w:rsidRPr="007C28E8">
        <w:rPr>
          <w:rFonts w:cs="Arial"/>
          <w:bCs/>
        </w:rPr>
        <w:tab/>
      </w:r>
      <w:r w:rsidRPr="007C28E8">
        <w:rPr>
          <w:rFonts w:cs="Arial"/>
          <w:bCs/>
        </w:rPr>
        <w:tab/>
      </w:r>
      <w:r w:rsidRPr="007C28E8">
        <w:rPr>
          <w:rFonts w:cs="Arial"/>
          <w:bCs/>
        </w:rPr>
        <w:tab/>
        <w:t xml:space="preserve">Příloha č. 2 - Dotazník </w:t>
      </w:r>
    </w:p>
    <w:p w14:paraId="4C9F5E1E" w14:textId="77777777" w:rsidR="009E0D98" w:rsidRPr="007C28E8" w:rsidRDefault="009E0D98" w:rsidP="00906972">
      <w:pPr>
        <w:tabs>
          <w:tab w:val="left" w:pos="-1440"/>
          <w:tab w:val="left" w:pos="-709"/>
          <w:tab w:val="left" w:pos="426"/>
        </w:tabs>
        <w:suppressAutoHyphens/>
        <w:spacing w:before="0" w:after="0" w:line="240" w:lineRule="auto"/>
        <w:ind w:left="-851" w:right="142"/>
        <w:rPr>
          <w:rFonts w:cs="Arial"/>
          <w:bCs/>
        </w:rPr>
      </w:pPr>
      <w:r w:rsidRPr="007C28E8">
        <w:rPr>
          <w:rFonts w:cs="Arial"/>
          <w:bCs/>
        </w:rPr>
        <w:tab/>
      </w:r>
      <w:r w:rsidRPr="007C28E8">
        <w:rPr>
          <w:rFonts w:cs="Arial"/>
          <w:bCs/>
        </w:rPr>
        <w:tab/>
      </w:r>
      <w:r w:rsidRPr="007C28E8">
        <w:rPr>
          <w:rFonts w:cs="Arial"/>
          <w:bCs/>
        </w:rPr>
        <w:tab/>
        <w:t>Příloha č. 3 - Zásady zpracování osobních údajů</w:t>
      </w:r>
    </w:p>
    <w:p w14:paraId="18EA77B2" w14:textId="77777777" w:rsidR="009E0D98" w:rsidRPr="00C17E61" w:rsidRDefault="009E0D98" w:rsidP="00906972">
      <w:pPr>
        <w:autoSpaceDE w:val="0"/>
        <w:autoSpaceDN w:val="0"/>
        <w:adjustRightInd w:val="0"/>
        <w:spacing w:before="60" w:after="0" w:line="240" w:lineRule="auto"/>
        <w:ind w:left="-851" w:right="140"/>
        <w:rPr>
          <w:rFonts w:cs="Arial"/>
          <w:bCs/>
          <w:i/>
          <w:sz w:val="16"/>
          <w:szCs w:val="16"/>
          <w:lang w:val="fr-FR"/>
        </w:rPr>
      </w:pPr>
      <w:r w:rsidRPr="00C17E61">
        <w:rPr>
          <w:rFonts w:cs="Arial"/>
          <w:bCs/>
          <w:i/>
          <w:sz w:val="16"/>
          <w:szCs w:val="16"/>
          <w:lang w:val="fr-FR"/>
        </w:rPr>
        <w:t>(Enclosures:</w:t>
      </w:r>
      <w:r w:rsidRPr="00C17E61">
        <w:rPr>
          <w:rFonts w:cs="Arial"/>
          <w:bCs/>
          <w:i/>
          <w:sz w:val="16"/>
          <w:szCs w:val="16"/>
          <w:lang w:val="fr-FR"/>
        </w:rPr>
        <w:tab/>
        <w:t>Enclosure 1 - Respective insurance conditions</w:t>
      </w:r>
    </w:p>
    <w:p w14:paraId="75FEB67C" w14:textId="77777777" w:rsidR="009E0D98" w:rsidRPr="00C17E61" w:rsidRDefault="009E0D98" w:rsidP="00906972">
      <w:pPr>
        <w:autoSpaceDE w:val="0"/>
        <w:autoSpaceDN w:val="0"/>
        <w:adjustRightInd w:val="0"/>
        <w:spacing w:before="60" w:after="0" w:line="240" w:lineRule="auto"/>
        <w:ind w:left="-131" w:right="140" w:firstLine="851"/>
        <w:rPr>
          <w:rFonts w:cs="Arial"/>
          <w:bCs/>
          <w:i/>
          <w:sz w:val="16"/>
          <w:szCs w:val="16"/>
          <w:lang w:val="fr-FR"/>
        </w:rPr>
      </w:pPr>
      <w:r w:rsidRPr="00C17E61">
        <w:rPr>
          <w:rFonts w:cs="Arial"/>
          <w:bCs/>
          <w:i/>
          <w:sz w:val="16"/>
          <w:szCs w:val="16"/>
          <w:lang w:val="fr-FR"/>
        </w:rPr>
        <w:t>Enclosure 2 – Questionnaire</w:t>
      </w:r>
    </w:p>
    <w:p w14:paraId="47ABB68C" w14:textId="77777777" w:rsidR="009E0D98" w:rsidRPr="007C28E8" w:rsidRDefault="009E0D98" w:rsidP="00906972">
      <w:pPr>
        <w:autoSpaceDE w:val="0"/>
        <w:autoSpaceDN w:val="0"/>
        <w:adjustRightInd w:val="0"/>
        <w:spacing w:before="60" w:after="0" w:line="240" w:lineRule="auto"/>
        <w:ind w:left="589" w:right="140" w:firstLine="131"/>
        <w:rPr>
          <w:rFonts w:cs="Arial"/>
        </w:rPr>
      </w:pPr>
      <w:r w:rsidRPr="007C28E8">
        <w:rPr>
          <w:rFonts w:cs="Arial"/>
          <w:bCs/>
          <w:i/>
          <w:sz w:val="16"/>
          <w:szCs w:val="16"/>
        </w:rPr>
        <w:t xml:space="preserve">Enclosure 3 - Personal data processing rules) </w:t>
      </w:r>
    </w:p>
    <w:p w14:paraId="086EE09C" w14:textId="5FA8DD7F" w:rsidR="00511308" w:rsidRPr="007C28E8" w:rsidRDefault="00511308" w:rsidP="00A15BAB">
      <w:pPr>
        <w:autoSpaceDE w:val="0"/>
        <w:autoSpaceDN w:val="0"/>
        <w:adjustRightInd w:val="0"/>
        <w:spacing w:before="0" w:after="0"/>
        <w:ind w:left="589" w:right="140" w:firstLine="131"/>
        <w:rPr>
          <w:rFonts w:cs="Arial"/>
        </w:rPr>
      </w:pPr>
      <w:r w:rsidRPr="007C28E8">
        <w:rPr>
          <w:rFonts w:cs="Arial"/>
          <w:bCs/>
          <w:i/>
          <w:sz w:val="16"/>
          <w:szCs w:val="16"/>
        </w:rPr>
        <w:t xml:space="preserve"> </w:t>
      </w:r>
      <w:bookmarkEnd w:id="36"/>
      <w:r w:rsidRPr="007C28E8">
        <w:rPr>
          <w:rFonts w:cs="Arial"/>
          <w:b/>
          <w:color w:val="000000"/>
          <w:sz w:val="22"/>
          <w:szCs w:val="22"/>
        </w:rPr>
        <w:t xml:space="preserve">        </w:t>
      </w:r>
    </w:p>
    <w:p w14:paraId="20AB67DD" w14:textId="08E88E64" w:rsidR="00511308" w:rsidRPr="007C28E8" w:rsidRDefault="00511308" w:rsidP="0003074B">
      <w:pPr>
        <w:autoSpaceDE w:val="0"/>
        <w:autoSpaceDN w:val="0"/>
        <w:adjustRightInd w:val="0"/>
        <w:spacing w:after="0"/>
        <w:ind w:left="-1134" w:right="-1"/>
        <w:jc w:val="center"/>
        <w:rPr>
          <w:sz w:val="22"/>
          <w:szCs w:val="22"/>
        </w:rPr>
      </w:pPr>
      <w:r w:rsidRPr="007C28E8">
        <w:rPr>
          <w:rFonts w:cs="Arial"/>
          <w:b/>
          <w:sz w:val="22"/>
          <w:szCs w:val="22"/>
        </w:rPr>
        <w:t>Vystaveno jménem a na základě pověření participujících pojistitelů</w:t>
      </w:r>
    </w:p>
    <w:p w14:paraId="6ABC3CAF" w14:textId="77777777" w:rsidR="00511308" w:rsidRPr="007C28E8" w:rsidRDefault="00511308" w:rsidP="00351DCB">
      <w:pPr>
        <w:autoSpaceDE w:val="0"/>
        <w:autoSpaceDN w:val="0"/>
        <w:adjustRightInd w:val="0"/>
        <w:spacing w:before="0"/>
        <w:ind w:left="-1134" w:right="-1"/>
        <w:jc w:val="center"/>
        <w:rPr>
          <w:rFonts w:cs="Arial"/>
          <w:i/>
          <w:szCs w:val="20"/>
        </w:rPr>
      </w:pPr>
      <w:r w:rsidRPr="007C28E8">
        <w:rPr>
          <w:rFonts w:cs="Arial"/>
          <w:i/>
          <w:szCs w:val="20"/>
        </w:rPr>
        <w:t>(Issued on behalf and with authority of the participating insurers)</w:t>
      </w:r>
    </w:p>
    <w:p w14:paraId="52B2CF16" w14:textId="77777777" w:rsidR="00511308" w:rsidRPr="007C28E8" w:rsidRDefault="00511308" w:rsidP="0003074B">
      <w:pPr>
        <w:spacing w:before="0" w:after="0"/>
        <w:ind w:left="-1134" w:right="-1"/>
        <w:jc w:val="center"/>
        <w:rPr>
          <w:rFonts w:cs="Arial"/>
          <w:b/>
          <w:bCs/>
          <w:sz w:val="22"/>
          <w:szCs w:val="22"/>
        </w:rPr>
      </w:pPr>
      <w:r w:rsidRPr="007C28E8">
        <w:rPr>
          <w:rFonts w:cs="Arial"/>
          <w:b/>
          <w:bCs/>
          <w:sz w:val="22"/>
          <w:szCs w:val="22"/>
        </w:rPr>
        <w:t>DUAL Deutschland GmbH</w:t>
      </w:r>
    </w:p>
    <w:p w14:paraId="30BF7335" w14:textId="77777777" w:rsidR="00511308" w:rsidRPr="007C28E8" w:rsidRDefault="00511308" w:rsidP="0003074B">
      <w:pPr>
        <w:spacing w:before="0" w:after="0"/>
        <w:ind w:left="-1134" w:right="-1"/>
        <w:jc w:val="center"/>
        <w:rPr>
          <w:rFonts w:cs="Arial"/>
        </w:rPr>
      </w:pP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ST.MeineStraße \* MERGEFORMAT </w:instrText>
      </w:r>
      <w:r w:rsidRPr="007C28E8">
        <w:rPr>
          <w:rFonts w:cs="Arial"/>
        </w:rPr>
        <w:fldChar w:fldCharType="end"/>
      </w:r>
      <w:r w:rsidRPr="007C28E8">
        <w:rPr>
          <w:rFonts w:cs="Arial"/>
        </w:rPr>
        <w:instrText xml:space="preserve">" "Schanzenstraße 36 / Gebäude 197" </w:instrText>
      </w:r>
      <w:r w:rsidRPr="007C28E8">
        <w:rPr>
          <w:rFonts w:cs="Arial"/>
        </w:rPr>
        <w:fldChar w:fldCharType="separate"/>
      </w:r>
      <w:r w:rsidRPr="007C28E8">
        <w:rPr>
          <w:rFonts w:cs="Arial"/>
        </w:rPr>
        <w:t>Schanzenstraße 36 / Gebäude 197</w:t>
      </w:r>
      <w:r w:rsidRPr="007C28E8">
        <w:rPr>
          <w:rFonts w:cs="Arial"/>
        </w:rPr>
        <w:fldChar w:fldCharType="end"/>
      </w:r>
      <w:r w:rsidRPr="007C28E8">
        <w:rPr>
          <w:rFonts w:cs="Arial"/>
        </w:rPr>
        <w:t xml:space="preserve"> </w:t>
      </w: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ST.MeinePLZ \* MERGEFORMAT </w:instrText>
      </w:r>
      <w:r w:rsidRPr="007C28E8">
        <w:rPr>
          <w:rFonts w:cs="Arial"/>
        </w:rPr>
        <w:fldChar w:fldCharType="end"/>
      </w:r>
      <w:r w:rsidRPr="007C28E8">
        <w:rPr>
          <w:rFonts w:cs="Arial"/>
        </w:rPr>
        <w:instrText xml:space="preserve">" "51063" </w:instrText>
      </w:r>
      <w:r w:rsidRPr="007C28E8">
        <w:rPr>
          <w:rFonts w:cs="Arial"/>
        </w:rPr>
        <w:fldChar w:fldCharType="separate"/>
      </w:r>
      <w:r w:rsidRPr="007C28E8">
        <w:rPr>
          <w:rFonts w:cs="Arial"/>
        </w:rPr>
        <w:t>51063</w:t>
      </w:r>
      <w:r w:rsidRPr="007C28E8">
        <w:rPr>
          <w:rFonts w:cs="Arial"/>
        </w:rPr>
        <w:fldChar w:fldCharType="end"/>
      </w:r>
      <w:r w:rsidRPr="007C28E8">
        <w:rPr>
          <w:rFonts w:cs="Arial"/>
        </w:rPr>
        <w:t xml:space="preserve"> </w:t>
      </w: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ST.MeinOrt \* MERGEFORMAT </w:instrText>
      </w:r>
      <w:r w:rsidRPr="007C28E8">
        <w:rPr>
          <w:rFonts w:cs="Arial"/>
        </w:rPr>
        <w:fldChar w:fldCharType="end"/>
      </w:r>
      <w:r w:rsidRPr="007C28E8">
        <w:rPr>
          <w:rFonts w:cs="Arial"/>
        </w:rPr>
        <w:instrText xml:space="preserve">" "Köln" </w:instrText>
      </w:r>
      <w:r w:rsidRPr="007C28E8">
        <w:rPr>
          <w:rFonts w:cs="Arial"/>
        </w:rPr>
        <w:fldChar w:fldCharType="separate"/>
      </w:r>
      <w:r w:rsidRPr="007C28E8">
        <w:rPr>
          <w:rFonts w:cs="Arial"/>
        </w:rPr>
        <w:t>Köln</w:t>
      </w:r>
      <w:r w:rsidRPr="007C28E8">
        <w:rPr>
          <w:rFonts w:cs="Arial"/>
        </w:rPr>
        <w:fldChar w:fldCharType="end"/>
      </w:r>
    </w:p>
    <w:p w14:paraId="3BB38787" w14:textId="77777777" w:rsidR="00511308" w:rsidRPr="007C28E8" w:rsidRDefault="00511308" w:rsidP="0003074B">
      <w:pPr>
        <w:spacing w:before="0" w:after="0"/>
        <w:ind w:left="-1134" w:right="-1"/>
        <w:jc w:val="center"/>
        <w:rPr>
          <w:rFonts w:cs="Arial"/>
        </w:rPr>
      </w:pPr>
      <w:r w:rsidRPr="007C28E8">
        <w:rPr>
          <w:rFonts w:cs="Arial"/>
        </w:rPr>
        <w:t xml:space="preserve">Telefon: </w:t>
      </w: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ST.MeinTelefon \* MERGEFORMAT </w:instrText>
      </w:r>
      <w:r w:rsidRPr="007C28E8">
        <w:rPr>
          <w:rFonts w:cs="Arial"/>
        </w:rPr>
        <w:fldChar w:fldCharType="end"/>
      </w:r>
      <w:r w:rsidRPr="007C28E8">
        <w:rPr>
          <w:rFonts w:cs="Arial"/>
        </w:rPr>
        <w:instrText xml:space="preserve">" "+49 221 168026-0" </w:instrText>
      </w:r>
      <w:r w:rsidRPr="007C28E8">
        <w:rPr>
          <w:rFonts w:cs="Arial"/>
        </w:rPr>
        <w:fldChar w:fldCharType="separate"/>
      </w:r>
      <w:r w:rsidRPr="007C28E8">
        <w:rPr>
          <w:rFonts w:cs="Arial"/>
        </w:rPr>
        <w:t>+49 221 168026-0</w:t>
      </w:r>
      <w:r w:rsidRPr="007C28E8">
        <w:rPr>
          <w:rFonts w:cs="Arial"/>
        </w:rPr>
        <w:fldChar w:fldCharType="end"/>
      </w:r>
      <w:r w:rsidRPr="007C28E8">
        <w:rPr>
          <w:rFonts w:cs="Arial"/>
        </w:rPr>
        <w:t xml:space="preserve"> Telefax: </w:t>
      </w: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ST.MeinFax \* MERGEFORMAT </w:instrText>
      </w:r>
      <w:r w:rsidRPr="007C28E8">
        <w:rPr>
          <w:rFonts w:cs="Arial"/>
        </w:rPr>
        <w:fldChar w:fldCharType="end"/>
      </w:r>
      <w:r w:rsidRPr="007C28E8">
        <w:rPr>
          <w:rFonts w:cs="Arial"/>
        </w:rPr>
        <w:instrText xml:space="preserve">" "+49 221 168026-66" </w:instrText>
      </w:r>
      <w:r w:rsidRPr="007C28E8">
        <w:rPr>
          <w:rFonts w:cs="Arial"/>
        </w:rPr>
        <w:fldChar w:fldCharType="separate"/>
      </w:r>
      <w:r w:rsidRPr="007C28E8">
        <w:rPr>
          <w:rFonts w:cs="Arial"/>
        </w:rPr>
        <w:t>+49 221 168026-66</w:t>
      </w:r>
      <w:r w:rsidRPr="007C28E8">
        <w:rPr>
          <w:rFonts w:cs="Arial"/>
        </w:rPr>
        <w:fldChar w:fldCharType="end"/>
      </w:r>
    </w:p>
    <w:p w14:paraId="7163269F" w14:textId="77777777" w:rsidR="00511308" w:rsidRPr="007C28E8" w:rsidRDefault="00511308" w:rsidP="0003074B">
      <w:pPr>
        <w:spacing w:before="0" w:after="0"/>
        <w:ind w:left="-1134" w:right="-1"/>
        <w:jc w:val="center"/>
        <w:rPr>
          <w:rFonts w:cs="Arial"/>
        </w:rPr>
      </w:pPr>
      <w:r w:rsidRPr="007C28E8">
        <w:rPr>
          <w:rFonts w:cs="Arial"/>
        </w:rPr>
        <w:fldChar w:fldCharType="begin"/>
      </w:r>
      <w:r w:rsidRPr="007C28E8">
        <w:rPr>
          <w:rFonts w:cs="Arial"/>
        </w:rPr>
        <w:instrText xml:space="preserve"> IF VIAFELD = "" "</w:instrText>
      </w:r>
      <w:r w:rsidRPr="007C28E8">
        <w:rPr>
          <w:rFonts w:cs="Arial"/>
        </w:rPr>
        <w:fldChar w:fldCharType="begin"/>
      </w:r>
      <w:r w:rsidRPr="007C28E8">
        <w:rPr>
          <w:rFonts w:cs="Arial"/>
        </w:rPr>
        <w:instrText xml:space="preserve"> MERGEFIELD ST.MeineE_mail \* MERGEFORMAT </w:instrText>
      </w:r>
      <w:r w:rsidRPr="007C28E8">
        <w:rPr>
          <w:rFonts w:cs="Arial"/>
        </w:rPr>
        <w:fldChar w:fldCharType="end"/>
      </w:r>
      <w:r w:rsidRPr="007C28E8">
        <w:rPr>
          <w:rFonts w:cs="Arial"/>
        </w:rPr>
        <w:instrText xml:space="preserve">" "info@dualdeutschland.com" </w:instrText>
      </w:r>
      <w:r w:rsidRPr="007C28E8">
        <w:rPr>
          <w:rFonts w:cs="Arial"/>
        </w:rPr>
        <w:fldChar w:fldCharType="separate"/>
      </w:r>
      <w:r w:rsidRPr="007C28E8">
        <w:rPr>
          <w:rFonts w:cs="Arial"/>
        </w:rPr>
        <w:t>info@dualdeutschland.com</w:t>
      </w:r>
      <w:r w:rsidRPr="007C28E8">
        <w:rPr>
          <w:rFonts w:cs="Arial"/>
        </w:rPr>
        <w:fldChar w:fldCharType="end"/>
      </w:r>
      <w:r w:rsidRPr="007C28E8">
        <w:rPr>
          <w:rFonts w:cs="Arial"/>
        </w:rPr>
        <w:t xml:space="preserve"> </w:t>
      </w:r>
    </w:p>
    <w:p w14:paraId="03CDA723" w14:textId="77777777" w:rsidR="00511308" w:rsidRPr="007C28E8" w:rsidRDefault="00511308" w:rsidP="0003074B">
      <w:pPr>
        <w:spacing w:before="0" w:after="0"/>
        <w:ind w:left="-1134" w:right="-1"/>
        <w:jc w:val="center"/>
        <w:rPr>
          <w:rFonts w:cs="Arial"/>
          <w:sz w:val="16"/>
        </w:rPr>
      </w:pPr>
      <w:r w:rsidRPr="007C28E8">
        <w:rPr>
          <w:rFonts w:cs="Arial"/>
        </w:rPr>
        <w:t>Eingetragen beim Amtsgericht Köln – HRB 56034</w:t>
      </w:r>
    </w:p>
    <w:p w14:paraId="05E0FB6B" w14:textId="77777777" w:rsidR="00511308" w:rsidRPr="007C28E8" w:rsidRDefault="00511308" w:rsidP="00351DCB">
      <w:pPr>
        <w:ind w:left="-1134" w:right="-1"/>
      </w:pPr>
    </w:p>
    <w:tbl>
      <w:tblPr>
        <w:tblW w:w="9791" w:type="dxa"/>
        <w:tblInd w:w="-993" w:type="dxa"/>
        <w:tblLayout w:type="fixed"/>
        <w:tblCellMar>
          <w:left w:w="70" w:type="dxa"/>
          <w:right w:w="70" w:type="dxa"/>
        </w:tblCellMar>
        <w:tblLook w:val="0000" w:firstRow="0" w:lastRow="0" w:firstColumn="0" w:lastColumn="0" w:noHBand="0" w:noVBand="0"/>
      </w:tblPr>
      <w:tblGrid>
        <w:gridCol w:w="4895"/>
        <w:gridCol w:w="4896"/>
      </w:tblGrid>
      <w:tr w:rsidR="0003074B" w:rsidRPr="007C28E8" w14:paraId="2EAE7627" w14:textId="77777777" w:rsidTr="0003074B">
        <w:tc>
          <w:tcPr>
            <w:tcW w:w="4895" w:type="dxa"/>
            <w:tcBorders>
              <w:top w:val="nil"/>
              <w:left w:val="nil"/>
              <w:bottom w:val="nil"/>
              <w:right w:val="nil"/>
            </w:tcBorders>
          </w:tcPr>
          <w:p w14:paraId="727A6E81" w14:textId="77777777" w:rsidR="0003074B" w:rsidRPr="007C28E8" w:rsidRDefault="0003074B" w:rsidP="00C81106">
            <w:pPr>
              <w:ind w:left="284"/>
              <w:rPr>
                <w:rFonts w:cs="Arial"/>
                <w:lang w:eastAsia="cs-CZ"/>
              </w:rPr>
            </w:pPr>
            <w:r w:rsidRPr="007C28E8">
              <w:rPr>
                <w:rFonts w:cs="Arial"/>
                <w:lang w:eastAsia="cs-CZ"/>
              </w:rPr>
              <w:t xml:space="preserve">V/In Kolíně nad Rýnem/Cologne, </w:t>
            </w:r>
          </w:p>
          <w:p w14:paraId="5DEE4F09" w14:textId="74FACE76" w:rsidR="0003074B" w:rsidRPr="007C28E8" w:rsidRDefault="0003074B" w:rsidP="00C81106">
            <w:pPr>
              <w:ind w:left="284"/>
              <w:rPr>
                <w:rFonts w:cs="Arial"/>
                <w:lang w:eastAsia="cs-CZ"/>
              </w:rPr>
            </w:pPr>
            <w:r w:rsidRPr="007C28E8">
              <w:rPr>
                <w:rFonts w:cs="Arial"/>
                <w:lang w:eastAsia="cs-CZ"/>
              </w:rPr>
              <w:t xml:space="preserve">       </w:t>
            </w:r>
            <w:r w:rsidR="004763ED" w:rsidRPr="007C28E8">
              <w:rPr>
                <w:rFonts w:cs="Arial"/>
                <w:lang w:eastAsia="cs-CZ"/>
              </w:rPr>
              <w:t xml:space="preserve">   </w:t>
            </w:r>
            <w:r w:rsidRPr="007C28E8">
              <w:rPr>
                <w:rFonts w:cs="Arial"/>
                <w:lang w:eastAsia="cs-CZ"/>
              </w:rPr>
              <w:t xml:space="preserve">dne/on </w:t>
            </w:r>
            <w:r w:rsidR="007C28E8" w:rsidRPr="007C28E8">
              <w:rPr>
                <w:rFonts w:cs="Arial"/>
                <w:highlight w:val="yellow"/>
                <w:lang w:eastAsia="cs-CZ"/>
              </w:rPr>
              <w:t>dd.mm</w:t>
            </w:r>
            <w:r w:rsidR="008E5A9D" w:rsidRPr="007C28E8">
              <w:rPr>
                <w:rFonts w:cs="Arial"/>
                <w:highlight w:val="yellow"/>
                <w:lang w:eastAsia="cs-CZ"/>
              </w:rPr>
              <w:t>.202</w:t>
            </w:r>
            <w:r w:rsidR="00A25B7A" w:rsidRPr="007C28E8">
              <w:rPr>
                <w:rFonts w:cs="Arial"/>
                <w:highlight w:val="yellow"/>
                <w:lang w:eastAsia="cs-CZ"/>
              </w:rPr>
              <w:t>6</w:t>
            </w:r>
          </w:p>
          <w:p w14:paraId="4CBBF97A" w14:textId="0B5FF249" w:rsidR="004763ED" w:rsidRPr="007C28E8" w:rsidRDefault="0003074B" w:rsidP="004763ED">
            <w:pPr>
              <w:spacing w:after="0"/>
              <w:ind w:left="284"/>
              <w:rPr>
                <w:rFonts w:cs="Arial"/>
                <w:lang w:eastAsia="cs-CZ"/>
              </w:rPr>
            </w:pPr>
            <w:r w:rsidRPr="007C28E8">
              <w:rPr>
                <w:rFonts w:cs="Arial"/>
                <w:lang w:eastAsia="cs-CZ"/>
              </w:rPr>
              <w:t xml:space="preserve">       </w:t>
            </w:r>
            <w:r w:rsidR="004763ED" w:rsidRPr="007C28E8">
              <w:rPr>
                <w:rFonts w:cs="Arial"/>
                <w:lang w:eastAsia="cs-CZ"/>
              </w:rPr>
              <w:t xml:space="preserve">   </w:t>
            </w:r>
            <w:r w:rsidRPr="007C28E8">
              <w:rPr>
                <w:rFonts w:cs="Arial"/>
                <w:lang w:eastAsia="cs-CZ"/>
              </w:rPr>
              <w:t xml:space="preserve">Jménem </w:t>
            </w:r>
            <w:r w:rsidR="00C95DAF" w:rsidRPr="007C28E8">
              <w:rPr>
                <w:rFonts w:cs="Arial"/>
                <w:lang w:eastAsia="cs-CZ"/>
              </w:rPr>
              <w:t xml:space="preserve">pojistitele </w:t>
            </w:r>
          </w:p>
          <w:p w14:paraId="636561B9" w14:textId="3C1D57BE" w:rsidR="0003074B" w:rsidRPr="007C28E8" w:rsidRDefault="00C95DAF" w:rsidP="004763ED">
            <w:pPr>
              <w:spacing w:before="0"/>
              <w:ind w:left="284"/>
              <w:rPr>
                <w:rFonts w:cs="Arial"/>
                <w:lang w:eastAsia="cs-CZ"/>
              </w:rPr>
            </w:pPr>
            <w:r w:rsidRPr="007C28E8">
              <w:rPr>
                <w:rFonts w:cs="Arial"/>
              </w:rPr>
              <w:t xml:space="preserve">VHV Allgemeine Versicherung AG </w:t>
            </w:r>
          </w:p>
          <w:p w14:paraId="440A490B" w14:textId="6ED19433" w:rsidR="0003074B" w:rsidRPr="007C28E8" w:rsidRDefault="0003074B" w:rsidP="00C81106">
            <w:pPr>
              <w:ind w:left="284"/>
              <w:rPr>
                <w:rFonts w:cs="Arial"/>
                <w:b/>
                <w:bCs/>
                <w:lang w:eastAsia="cs-CZ"/>
              </w:rPr>
            </w:pPr>
            <w:r w:rsidRPr="007C28E8">
              <w:rPr>
                <w:rFonts w:cs="Arial"/>
                <w:lang w:eastAsia="cs-CZ"/>
              </w:rPr>
              <w:t xml:space="preserve">   </w:t>
            </w:r>
            <w:r w:rsidRPr="007C28E8">
              <w:rPr>
                <w:rFonts w:cs="Arial"/>
                <w:b/>
                <w:bCs/>
                <w:lang w:eastAsia="cs-CZ"/>
              </w:rPr>
              <w:t>DUAL Deutschland GmbH</w:t>
            </w:r>
          </w:p>
          <w:p w14:paraId="59A10F06" w14:textId="7C3701D9" w:rsidR="0003074B" w:rsidRPr="007C28E8" w:rsidRDefault="0003074B" w:rsidP="008E5A9D">
            <w:pPr>
              <w:ind w:left="284" w:hanging="488"/>
              <w:rPr>
                <w:rFonts w:cs="Arial"/>
                <w:lang w:eastAsia="cs-CZ"/>
              </w:rPr>
            </w:pPr>
          </w:p>
        </w:tc>
        <w:tc>
          <w:tcPr>
            <w:tcW w:w="4896" w:type="dxa"/>
            <w:tcBorders>
              <w:top w:val="nil"/>
              <w:left w:val="nil"/>
              <w:bottom w:val="nil"/>
              <w:right w:val="nil"/>
            </w:tcBorders>
          </w:tcPr>
          <w:p w14:paraId="12CA45D4" w14:textId="77777777" w:rsidR="0003074B" w:rsidRPr="007C28E8" w:rsidRDefault="0003074B" w:rsidP="00C81106">
            <w:pPr>
              <w:ind w:left="284"/>
              <w:rPr>
                <w:rFonts w:cs="Arial"/>
                <w:lang w:eastAsia="cs-CZ"/>
              </w:rPr>
            </w:pPr>
            <w:r w:rsidRPr="007C28E8">
              <w:rPr>
                <w:rFonts w:cs="Arial"/>
                <w:lang w:eastAsia="cs-CZ"/>
              </w:rPr>
              <w:t>V/In_____________ dne/on____________</w:t>
            </w:r>
          </w:p>
          <w:p w14:paraId="74E59806" w14:textId="77777777" w:rsidR="0003074B" w:rsidRPr="007C28E8" w:rsidRDefault="0003074B" w:rsidP="00C81106">
            <w:pPr>
              <w:ind w:left="284"/>
              <w:rPr>
                <w:rFonts w:cs="Arial"/>
                <w:lang w:eastAsia="cs-CZ"/>
              </w:rPr>
            </w:pPr>
          </w:p>
          <w:p w14:paraId="27061F5C" w14:textId="77777777" w:rsidR="0003074B" w:rsidRPr="007C28E8" w:rsidRDefault="0003074B" w:rsidP="007C28E8">
            <w:pPr>
              <w:spacing w:after="480"/>
              <w:ind w:left="284"/>
              <w:rPr>
                <w:rFonts w:cs="Arial"/>
                <w:lang w:eastAsia="cs-CZ"/>
              </w:rPr>
            </w:pPr>
          </w:p>
          <w:p w14:paraId="570C562F" w14:textId="77777777" w:rsidR="007C28E8" w:rsidRPr="007C28E8" w:rsidRDefault="007C28E8" w:rsidP="007C28E8">
            <w:pPr>
              <w:pStyle w:val="TableTextLeft"/>
              <w:ind w:left="0" w:right="281"/>
              <w:jc w:val="left"/>
              <w:rPr>
                <w:rFonts w:cs="Arial"/>
                <w:b/>
                <w:bCs/>
              </w:rPr>
            </w:pPr>
            <w:r w:rsidRPr="007C28E8">
              <w:rPr>
                <w:rFonts w:cs="Arial"/>
                <w:b/>
                <w:bCs/>
              </w:rPr>
              <w:t>Západočeská univerzita v Plzni</w:t>
            </w:r>
          </w:p>
          <w:p w14:paraId="30EDC598" w14:textId="54E6C109" w:rsidR="0003074B" w:rsidRPr="007C28E8" w:rsidRDefault="0003074B" w:rsidP="00C81106">
            <w:pPr>
              <w:ind w:left="284"/>
              <w:rPr>
                <w:rFonts w:cs="Arial"/>
                <w:lang w:eastAsia="cs-CZ"/>
              </w:rPr>
            </w:pPr>
          </w:p>
          <w:p w14:paraId="2CC22266" w14:textId="77777777" w:rsidR="004763ED" w:rsidRPr="007C28E8" w:rsidRDefault="004763ED" w:rsidP="00C81106">
            <w:pPr>
              <w:ind w:left="284"/>
              <w:rPr>
                <w:rFonts w:cs="Arial"/>
                <w:lang w:eastAsia="cs-CZ"/>
              </w:rPr>
            </w:pPr>
          </w:p>
        </w:tc>
      </w:tr>
      <w:tr w:rsidR="0003074B" w:rsidRPr="007C28E8" w14:paraId="239F9151" w14:textId="77777777" w:rsidTr="0003074B">
        <w:tc>
          <w:tcPr>
            <w:tcW w:w="4895" w:type="dxa"/>
            <w:tcBorders>
              <w:top w:val="nil"/>
              <w:left w:val="nil"/>
              <w:bottom w:val="nil"/>
              <w:right w:val="nil"/>
            </w:tcBorders>
          </w:tcPr>
          <w:p w14:paraId="32237384" w14:textId="167A2EA5" w:rsidR="008E5A9D" w:rsidRPr="007C28E8" w:rsidRDefault="008E5A9D" w:rsidP="007C28E8">
            <w:pPr>
              <w:ind w:left="0"/>
              <w:rPr>
                <w:rFonts w:cs="Arial"/>
                <w:lang w:eastAsia="cs-CZ"/>
              </w:rPr>
            </w:pPr>
          </w:p>
        </w:tc>
        <w:tc>
          <w:tcPr>
            <w:tcW w:w="4896" w:type="dxa"/>
            <w:tcBorders>
              <w:top w:val="nil"/>
              <w:left w:val="nil"/>
              <w:bottom w:val="nil"/>
              <w:right w:val="nil"/>
            </w:tcBorders>
          </w:tcPr>
          <w:p w14:paraId="151361E7" w14:textId="77777777" w:rsidR="0003074B" w:rsidRPr="007C28E8" w:rsidRDefault="0003074B" w:rsidP="00C81106">
            <w:pPr>
              <w:ind w:left="284"/>
              <w:rPr>
                <w:rFonts w:cs="Arial"/>
                <w:lang w:eastAsia="cs-CZ"/>
              </w:rPr>
            </w:pPr>
            <w:r w:rsidRPr="007C28E8">
              <w:rPr>
                <w:rFonts w:cs="Arial"/>
                <w:lang w:eastAsia="cs-CZ"/>
              </w:rPr>
              <w:t xml:space="preserve">. . . . . . . . . . . . . . . . . . . . . . . . . . . . . . . . . . . . . </w:t>
            </w:r>
          </w:p>
        </w:tc>
      </w:tr>
      <w:tr w:rsidR="0003074B" w:rsidRPr="007C28E8" w14:paraId="79DF25DB" w14:textId="77777777" w:rsidTr="0003074B">
        <w:tc>
          <w:tcPr>
            <w:tcW w:w="4895" w:type="dxa"/>
            <w:tcBorders>
              <w:top w:val="nil"/>
              <w:left w:val="nil"/>
              <w:bottom w:val="nil"/>
              <w:right w:val="nil"/>
            </w:tcBorders>
          </w:tcPr>
          <w:p w14:paraId="3B96A552" w14:textId="77777777" w:rsidR="0003074B" w:rsidRPr="007C28E8" w:rsidRDefault="0003074B" w:rsidP="00C81106">
            <w:pPr>
              <w:spacing w:before="60"/>
              <w:ind w:left="284"/>
              <w:rPr>
                <w:rFonts w:cs="Arial"/>
                <w:lang w:eastAsia="cs-CZ"/>
              </w:rPr>
            </w:pPr>
            <w:r w:rsidRPr="007C28E8">
              <w:rPr>
                <w:rFonts w:cs="Arial"/>
                <w:lang w:eastAsia="cs-CZ"/>
              </w:rPr>
              <w:t xml:space="preserve">    </w:t>
            </w:r>
          </w:p>
          <w:p w14:paraId="4C6D5BB4" w14:textId="77777777" w:rsidR="008E5A9D" w:rsidRPr="007C28E8" w:rsidRDefault="008E5A9D" w:rsidP="008E5A9D">
            <w:pPr>
              <w:spacing w:after="0"/>
              <w:ind w:left="568" w:hanging="284"/>
              <w:rPr>
                <w:rFonts w:cs="Arial"/>
                <w:lang w:eastAsia="cs-CZ"/>
              </w:rPr>
            </w:pPr>
            <w:r w:rsidRPr="007C28E8">
              <w:rPr>
                <w:rFonts w:cs="Arial"/>
                <w:lang w:eastAsia="cs-CZ"/>
              </w:rPr>
              <w:t>Checked: Jan Beníšek</w:t>
            </w:r>
          </w:p>
          <w:p w14:paraId="1D510CEA" w14:textId="1A63E1EF" w:rsidR="0003074B" w:rsidRPr="007C28E8" w:rsidRDefault="008E5A9D" w:rsidP="008E5A9D">
            <w:pPr>
              <w:spacing w:before="60"/>
              <w:ind w:left="284"/>
              <w:jc w:val="left"/>
              <w:rPr>
                <w:rFonts w:cs="Arial"/>
                <w:lang w:eastAsia="cs-CZ"/>
              </w:rPr>
            </w:pPr>
            <w:r w:rsidRPr="007C28E8">
              <w:rPr>
                <w:rFonts w:cs="Arial"/>
                <w:lang w:eastAsia="cs-CZ"/>
              </w:rPr>
              <w:t>Country manager Czech Republic and Slovakia</w:t>
            </w:r>
            <w:r w:rsidR="0003074B" w:rsidRPr="007C28E8">
              <w:rPr>
                <w:rFonts w:cs="Arial"/>
                <w:lang w:eastAsia="cs-CZ"/>
              </w:rPr>
              <w:br/>
            </w:r>
          </w:p>
        </w:tc>
        <w:tc>
          <w:tcPr>
            <w:tcW w:w="4896" w:type="dxa"/>
            <w:tcBorders>
              <w:top w:val="nil"/>
              <w:left w:val="nil"/>
              <w:bottom w:val="nil"/>
              <w:right w:val="nil"/>
            </w:tcBorders>
          </w:tcPr>
          <w:p w14:paraId="4969237B" w14:textId="77777777" w:rsidR="0003074B" w:rsidRPr="007C28E8" w:rsidRDefault="0003074B" w:rsidP="00C81106">
            <w:pPr>
              <w:ind w:left="284" w:right="-2478"/>
              <w:rPr>
                <w:rFonts w:cs="Arial"/>
                <w:lang w:eastAsia="cs-CZ"/>
              </w:rPr>
            </w:pPr>
            <w:r w:rsidRPr="007C28E8">
              <w:rPr>
                <w:rFonts w:cs="Arial"/>
                <w:lang w:eastAsia="cs-CZ"/>
              </w:rPr>
              <w:t xml:space="preserve">Jméno: </w:t>
            </w:r>
          </w:p>
          <w:p w14:paraId="6183018B" w14:textId="77777777" w:rsidR="0003074B" w:rsidRPr="007C28E8" w:rsidRDefault="0003074B" w:rsidP="00C81106">
            <w:pPr>
              <w:ind w:left="284" w:right="-2478"/>
              <w:rPr>
                <w:rFonts w:cs="Arial"/>
                <w:i/>
                <w:iCs/>
                <w:lang w:eastAsia="cs-CZ"/>
              </w:rPr>
            </w:pPr>
            <w:r w:rsidRPr="007C28E8">
              <w:rPr>
                <w:rFonts w:cs="Arial"/>
                <w:i/>
                <w:iCs/>
                <w:lang w:eastAsia="cs-CZ"/>
              </w:rPr>
              <w:t xml:space="preserve">(Name) </w:t>
            </w:r>
          </w:p>
        </w:tc>
      </w:tr>
    </w:tbl>
    <w:p w14:paraId="74C48E19" w14:textId="77777777" w:rsidR="00F67205" w:rsidRPr="007C28E8" w:rsidRDefault="00F67205" w:rsidP="00F67205">
      <w:pPr>
        <w:spacing w:after="0"/>
        <w:ind w:left="-1134"/>
        <w:rPr>
          <w:rFonts w:ascii="Arial" w:eastAsia="Calibri" w:hAnsi="Arial" w:cs="Arial"/>
          <w:b/>
          <w:iCs/>
        </w:rPr>
      </w:pPr>
      <w:r w:rsidRPr="007C28E8">
        <w:rPr>
          <w:rFonts w:ascii="Arial" w:eastAsia="Calibri" w:hAnsi="Arial" w:cs="Arial"/>
          <w:b/>
          <w:iCs/>
        </w:rPr>
        <w:lastRenderedPageBreak/>
        <w:t>DUAL – Informace o ochraně osobních údajů</w:t>
      </w:r>
    </w:p>
    <w:p w14:paraId="338C5476" w14:textId="77777777" w:rsidR="00F67205" w:rsidRPr="007C28E8" w:rsidRDefault="00F67205" w:rsidP="00F67205">
      <w:pPr>
        <w:autoSpaceDE w:val="0"/>
        <w:autoSpaceDN w:val="0"/>
        <w:adjustRightInd w:val="0"/>
        <w:spacing w:after="0"/>
        <w:ind w:left="-1134"/>
        <w:rPr>
          <w:rFonts w:ascii="Arial" w:eastAsia="Calibri" w:hAnsi="Arial" w:cs="Arial"/>
          <w:iCs/>
          <w:color w:val="000000"/>
        </w:rPr>
      </w:pPr>
      <w:r w:rsidRPr="007C28E8">
        <w:rPr>
          <w:rFonts w:ascii="Arial" w:eastAsia="Calibri" w:hAnsi="Arial" w:cs="Arial"/>
          <w:iCs/>
          <w:color w:val="000000"/>
        </w:rPr>
        <w:t>Tímto Vás informujeme o tom, že společnost DUAL Deutschland GmbH zpracovává Vaše osobní údaje a o právech, která Vám náleží podle zákona o ochraně osobních údajů.</w:t>
      </w:r>
    </w:p>
    <w:p w14:paraId="2991049E" w14:textId="77777777" w:rsidR="00F67205" w:rsidRPr="007C28E8" w:rsidRDefault="00F67205" w:rsidP="00F67205">
      <w:pPr>
        <w:autoSpaceDE w:val="0"/>
        <w:autoSpaceDN w:val="0"/>
        <w:adjustRightInd w:val="0"/>
        <w:spacing w:after="0"/>
        <w:ind w:left="-1134"/>
        <w:rPr>
          <w:rFonts w:ascii="Arial" w:eastAsia="Calibri" w:hAnsi="Arial" w:cs="Arial"/>
          <w:iCs/>
          <w:color w:val="000000"/>
        </w:rPr>
      </w:pPr>
      <w:r w:rsidRPr="007C28E8">
        <w:rPr>
          <w:rFonts w:ascii="Arial" w:eastAsia="Calibri" w:hAnsi="Arial" w:cs="Arial"/>
          <w:iCs/>
          <w:color w:val="000000"/>
        </w:rPr>
        <w:t>Zodpovědnost za zpracování dat:</w:t>
      </w:r>
    </w:p>
    <w:p w14:paraId="3B6ADB65" w14:textId="77777777" w:rsidR="00F67205" w:rsidRPr="007C28E8" w:rsidRDefault="00F67205" w:rsidP="00F67205">
      <w:pPr>
        <w:autoSpaceDE w:val="0"/>
        <w:autoSpaceDN w:val="0"/>
        <w:adjustRightInd w:val="0"/>
        <w:spacing w:before="0" w:after="0"/>
        <w:ind w:left="-1134"/>
        <w:rPr>
          <w:rFonts w:ascii="Arial" w:eastAsia="Calibri" w:hAnsi="Arial" w:cs="Arial"/>
          <w:iCs/>
          <w:color w:val="000000"/>
        </w:rPr>
      </w:pPr>
      <w:r w:rsidRPr="007C28E8">
        <w:rPr>
          <w:rFonts w:ascii="Arial" w:eastAsia="Calibri" w:hAnsi="Arial" w:cs="Arial"/>
          <w:iCs/>
          <w:color w:val="000000"/>
        </w:rPr>
        <w:t>DUAL Deutschland GmbH</w:t>
      </w:r>
    </w:p>
    <w:p w14:paraId="0D6F7BCD" w14:textId="77777777" w:rsidR="00F67205" w:rsidRPr="007C28E8" w:rsidRDefault="00F67205" w:rsidP="00F67205">
      <w:pPr>
        <w:autoSpaceDE w:val="0"/>
        <w:autoSpaceDN w:val="0"/>
        <w:adjustRightInd w:val="0"/>
        <w:spacing w:before="0" w:after="0"/>
        <w:ind w:left="-1134"/>
        <w:rPr>
          <w:rFonts w:ascii="Arial" w:eastAsia="Calibri" w:hAnsi="Arial" w:cs="Arial"/>
          <w:iCs/>
          <w:color w:val="000000"/>
        </w:rPr>
      </w:pPr>
      <w:r w:rsidRPr="007C28E8">
        <w:rPr>
          <w:rFonts w:ascii="Arial" w:eastAsia="Calibri" w:hAnsi="Arial" w:cs="Arial"/>
          <w:iCs/>
          <w:color w:val="000000"/>
        </w:rPr>
        <w:t>Schanzenstr. 36 / Budova 197</w:t>
      </w:r>
    </w:p>
    <w:p w14:paraId="08ED0D3D" w14:textId="77777777" w:rsidR="00F67205" w:rsidRPr="007C28E8" w:rsidRDefault="00F67205" w:rsidP="00F67205">
      <w:pPr>
        <w:autoSpaceDE w:val="0"/>
        <w:autoSpaceDN w:val="0"/>
        <w:adjustRightInd w:val="0"/>
        <w:spacing w:before="0" w:after="0"/>
        <w:ind w:left="-1134"/>
        <w:rPr>
          <w:rFonts w:ascii="Arial" w:eastAsia="Calibri" w:hAnsi="Arial" w:cs="Arial"/>
          <w:iCs/>
          <w:color w:val="000000"/>
        </w:rPr>
      </w:pPr>
      <w:r w:rsidRPr="007C28E8">
        <w:rPr>
          <w:rFonts w:ascii="Arial" w:eastAsia="Calibri" w:hAnsi="Arial" w:cs="Arial"/>
          <w:iCs/>
          <w:color w:val="000000"/>
        </w:rPr>
        <w:t>51063 Kolín nad Rýnem</w:t>
      </w:r>
    </w:p>
    <w:p w14:paraId="0921A59F" w14:textId="77777777" w:rsidR="00F67205" w:rsidRPr="007C28E8" w:rsidRDefault="00F67205" w:rsidP="00F67205">
      <w:pPr>
        <w:autoSpaceDE w:val="0"/>
        <w:autoSpaceDN w:val="0"/>
        <w:adjustRightInd w:val="0"/>
        <w:spacing w:before="0" w:after="0"/>
        <w:ind w:left="-1134"/>
        <w:rPr>
          <w:rFonts w:ascii="Arial" w:eastAsia="Calibri" w:hAnsi="Arial" w:cs="Arial"/>
          <w:iCs/>
          <w:color w:val="000000"/>
        </w:rPr>
      </w:pPr>
      <w:r w:rsidRPr="007C28E8">
        <w:rPr>
          <w:rFonts w:ascii="Arial" w:eastAsia="Calibri" w:hAnsi="Arial" w:cs="Arial"/>
          <w:iCs/>
          <w:color w:val="000000"/>
        </w:rPr>
        <w:t>Telefon: 0221 /1680260</w:t>
      </w:r>
    </w:p>
    <w:p w14:paraId="6ADB6AAC" w14:textId="77777777" w:rsidR="00F67205" w:rsidRPr="00C17E61" w:rsidRDefault="00F67205" w:rsidP="00F67205">
      <w:pPr>
        <w:autoSpaceDE w:val="0"/>
        <w:autoSpaceDN w:val="0"/>
        <w:adjustRightInd w:val="0"/>
        <w:spacing w:before="0" w:after="0"/>
        <w:ind w:left="-1134"/>
        <w:rPr>
          <w:rFonts w:ascii="Arial" w:eastAsia="Calibri" w:hAnsi="Arial" w:cs="Arial"/>
          <w:iCs/>
          <w:color w:val="000000"/>
          <w:lang w:val="fr-FR"/>
        </w:rPr>
      </w:pPr>
      <w:r w:rsidRPr="00C17E61">
        <w:rPr>
          <w:rFonts w:ascii="Arial" w:eastAsia="Calibri" w:hAnsi="Arial" w:cs="Arial"/>
          <w:iCs/>
          <w:color w:val="000000"/>
          <w:lang w:val="fr-FR"/>
        </w:rPr>
        <w:t>E-mailová adresa: info@dualdeutschland.com</w:t>
      </w:r>
    </w:p>
    <w:p w14:paraId="7E98453D" w14:textId="77777777" w:rsidR="00F67205" w:rsidRPr="00C17E61" w:rsidRDefault="00F67205" w:rsidP="00F67205">
      <w:pPr>
        <w:autoSpaceDE w:val="0"/>
        <w:autoSpaceDN w:val="0"/>
        <w:adjustRightInd w:val="0"/>
        <w:spacing w:after="0"/>
        <w:ind w:left="-1134"/>
        <w:rPr>
          <w:rFonts w:ascii="Arial" w:eastAsia="Calibri" w:hAnsi="Arial" w:cs="Arial"/>
          <w:iCs/>
          <w:color w:val="000000"/>
          <w:lang w:val="fr-FR"/>
        </w:rPr>
      </w:pPr>
      <w:r w:rsidRPr="00C17E61">
        <w:rPr>
          <w:rFonts w:ascii="Arial" w:eastAsia="Calibri" w:hAnsi="Arial" w:cs="Arial"/>
          <w:iCs/>
          <w:color w:val="000000"/>
          <w:lang w:val="fr-FR"/>
        </w:rPr>
        <w:t>Můžete kontaktovat našeho pověřence pro ochranu osobních údajů na výše uvedené adrese nebo na adrese:</w:t>
      </w:r>
    </w:p>
    <w:p w14:paraId="6706B82D" w14:textId="2EA4B5F6" w:rsidR="00234D2C" w:rsidRPr="00C17E61" w:rsidRDefault="00234D2C" w:rsidP="00234D2C">
      <w:pPr>
        <w:widowControl w:val="0"/>
        <w:autoSpaceDE w:val="0"/>
        <w:autoSpaceDN w:val="0"/>
        <w:adjustRightInd w:val="0"/>
        <w:spacing w:before="0" w:after="0"/>
        <w:ind w:left="-1134"/>
        <w:rPr>
          <w:rFonts w:ascii="Arial" w:eastAsia="Calibri" w:hAnsi="Arial" w:cs="Arial"/>
          <w:b/>
          <w:bCs/>
          <w:iCs/>
          <w:color w:val="000000"/>
          <w:lang w:val="fr-FR"/>
        </w:rPr>
      </w:pPr>
      <w:hyperlink r:id="rId10" w:history="1">
        <w:r w:rsidRPr="00C17E61">
          <w:rPr>
            <w:rStyle w:val="Hypertextovodkaz"/>
            <w:rFonts w:ascii="Arial" w:eastAsia="Calibri" w:hAnsi="Arial" w:cs="Arial"/>
            <w:b/>
            <w:bCs/>
            <w:iCs/>
            <w:lang w:val="fr-FR"/>
          </w:rPr>
          <w:t>datenschutzbeauftragter@dualdeutschland.com</w:t>
        </w:r>
      </w:hyperlink>
    </w:p>
    <w:p w14:paraId="03BB680A" w14:textId="5D6E2ED0" w:rsidR="00F67205" w:rsidRPr="00C17E61" w:rsidRDefault="00F67205" w:rsidP="00F67205">
      <w:pPr>
        <w:widowControl w:val="0"/>
        <w:autoSpaceDE w:val="0"/>
        <w:autoSpaceDN w:val="0"/>
        <w:adjustRightInd w:val="0"/>
        <w:spacing w:after="0"/>
        <w:ind w:left="-1134"/>
        <w:rPr>
          <w:rFonts w:ascii="Arial" w:eastAsia="Calibri" w:hAnsi="Arial" w:cs="Arial"/>
          <w:b/>
          <w:bCs/>
          <w:iCs/>
          <w:color w:val="000000"/>
          <w:lang w:val="fr-FR"/>
        </w:rPr>
      </w:pPr>
      <w:r w:rsidRPr="00C17E61">
        <w:rPr>
          <w:rFonts w:ascii="Arial" w:eastAsia="Calibri" w:hAnsi="Arial" w:cs="Arial"/>
          <w:b/>
          <w:bCs/>
          <w:iCs/>
          <w:color w:val="000000"/>
          <w:lang w:val="fr-FR"/>
        </w:rPr>
        <w:t>Účely a právní základ zpracování vašich údajů:</w:t>
      </w:r>
    </w:p>
    <w:p w14:paraId="47930779"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Vaše osobní údaje zpracováváme v souladu s obecným nařízením o ochraně osobních údajů (GPDR), příslušnými národními zákony, jakož i s ustanoveními zákona o pojistných smlouvách (VVG) týkajícími se práva na ochranu osobních údajů a všemi dalšími relevantními zákony.</w:t>
      </w:r>
    </w:p>
    <w:p w14:paraId="6E927D81"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Pokud se u nás chcete pojistit, potřebujeme vaše údaje k uzavření smlouvy a k posouzení rizik. V případě uzavření pojistné smlouvy zpracováváme tyto údaje za účelem vystavení pojistky nebo zaslání faktury. Informace o pojistných událostech a plněních potřebujeme k podrobnému ověření, jak jste se zajistili a jaké plnění od nás obdržíte. Uzavření nebo provedení pojistné smlouvy není bez zpracování vašich údajů možné.</w:t>
      </w:r>
    </w:p>
    <w:p w14:paraId="04E5A1D2"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Právním základem pro takové zpracování osobních údajů pro předsmluvní a smluvní účely je čl. 6 odst. 1 písm. b) GDPR. Pokud jsou pro tento účel potřebné zvláštní kategorie osobních údajů, např. vaše zdravotní údaje, získáváme váš souhlas v souladu s čl. 9 odst. 2 písm. a) ve spojení s článkem 7 GDPR.</w:t>
      </w:r>
    </w:p>
    <w:p w14:paraId="787DB4C0"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Vaše údaje nebo údaje, které jste poskytli třetím stranám, zpracováváme také za účelem ochrany našich oprávněných zájmů nebo oprávněných zájmů třetích stran (čl. 6 odst. 1 f) GDPR). To může být například nezbytné za účelem:</w:t>
      </w:r>
    </w:p>
    <w:p w14:paraId="098C2430"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 zajistit bezpečnost a provoz IT,</w:t>
      </w:r>
    </w:p>
    <w:p w14:paraId="6054F16B"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 pro posouzení rizik</w:t>
      </w:r>
    </w:p>
    <w:p w14:paraId="35BE879D" w14:textId="77777777" w:rsidR="00F67205" w:rsidRPr="00C17E61" w:rsidRDefault="00F67205" w:rsidP="00F67205">
      <w:pPr>
        <w:widowControl w:val="0"/>
        <w:autoSpaceDE w:val="0"/>
        <w:autoSpaceDN w:val="0"/>
        <w:adjustRightInd w:val="0"/>
        <w:spacing w:after="0"/>
        <w:ind w:left="-1134"/>
        <w:rPr>
          <w:rFonts w:ascii="Arial" w:eastAsia="Calibri" w:hAnsi="Arial" w:cs="Arial"/>
          <w:bCs/>
          <w:iCs/>
          <w:color w:val="000000"/>
          <w:lang w:val="fr-FR"/>
        </w:rPr>
      </w:pPr>
      <w:r w:rsidRPr="00C17E61">
        <w:rPr>
          <w:rFonts w:ascii="Arial" w:eastAsia="Calibri" w:hAnsi="Arial" w:cs="Arial"/>
          <w:bCs/>
          <w:iCs/>
          <w:color w:val="000000"/>
          <w:lang w:val="fr-FR"/>
        </w:rPr>
        <w:t>- k prevenci a vyšetřování trestných činů, zejména používáme analýzy dat k identifikaci důkazů, které by mohly naznačovat zneužívání pojištění.</w:t>
      </w:r>
    </w:p>
    <w:p w14:paraId="69656188" w14:textId="77777777" w:rsidR="00F67205" w:rsidRPr="00C17E61" w:rsidRDefault="00F67205" w:rsidP="00F67205">
      <w:pPr>
        <w:widowControl w:val="0"/>
        <w:autoSpaceDE w:val="0"/>
        <w:autoSpaceDN w:val="0"/>
        <w:adjustRightInd w:val="0"/>
        <w:spacing w:after="0"/>
        <w:ind w:left="-1134"/>
        <w:rPr>
          <w:rFonts w:ascii="Arial" w:eastAsia="Calibri" w:hAnsi="Arial" w:cs="Arial"/>
          <w:b/>
          <w:iCs/>
          <w:lang w:val="fr-FR"/>
        </w:rPr>
      </w:pPr>
      <w:r w:rsidRPr="00C17E61">
        <w:rPr>
          <w:rFonts w:ascii="Arial" w:eastAsia="Calibri" w:hAnsi="Arial" w:cs="Arial"/>
          <w:b/>
          <w:iCs/>
          <w:lang w:val="fr-FR"/>
        </w:rPr>
        <w:t>Právo na námitku</w:t>
      </w:r>
    </w:p>
    <w:p w14:paraId="715B93E4" w14:textId="77777777" w:rsidR="00F67205" w:rsidRPr="00C17E61" w:rsidRDefault="00F67205" w:rsidP="00F67205">
      <w:pPr>
        <w:widowControl w:val="0"/>
        <w:autoSpaceDE w:val="0"/>
        <w:autoSpaceDN w:val="0"/>
        <w:adjustRightInd w:val="0"/>
        <w:spacing w:after="0"/>
        <w:ind w:left="-1134"/>
        <w:rPr>
          <w:rFonts w:ascii="Arial" w:eastAsia="Calibri" w:hAnsi="Arial" w:cs="Arial"/>
          <w:b/>
          <w:iCs/>
          <w:lang w:val="fr-FR"/>
        </w:rPr>
      </w:pPr>
      <w:r w:rsidRPr="00C17E61">
        <w:rPr>
          <w:rFonts w:ascii="Arial" w:eastAsia="Calibri" w:hAnsi="Arial" w:cs="Arial"/>
          <w:b/>
          <w:iCs/>
          <w:lang w:val="fr-FR"/>
        </w:rPr>
        <w:t>Pokud zpracováváme vaše údaje za účelem ochrany oprávněných zájmů, můžete proti takovému zpracování vznést námitku, pokud vaše konkrétní situace zakládá důvody, které hovoří proti zpracování údajů.</w:t>
      </w:r>
    </w:p>
    <w:p w14:paraId="61458AD6" w14:textId="77777777" w:rsidR="00F67205" w:rsidRPr="00C17E61" w:rsidRDefault="00F67205" w:rsidP="00F67205">
      <w:pPr>
        <w:autoSpaceDE w:val="0"/>
        <w:autoSpaceDN w:val="0"/>
        <w:adjustRightInd w:val="0"/>
        <w:spacing w:after="0"/>
        <w:ind w:left="-1134"/>
        <w:rPr>
          <w:rFonts w:ascii="Arial" w:eastAsia="Calibri" w:hAnsi="Arial" w:cs="Arial"/>
          <w:iCs/>
          <w:lang w:val="fr-FR"/>
        </w:rPr>
      </w:pPr>
      <w:r w:rsidRPr="00C17E61">
        <w:rPr>
          <w:rFonts w:ascii="Arial" w:eastAsia="Calibri" w:hAnsi="Arial" w:cs="Arial"/>
          <w:iCs/>
          <w:lang w:val="fr-FR"/>
        </w:rPr>
        <w:t>Kromě toho zpracováváme vaše osobní údaje za účelem plnění zákonných povinností. Patří mezi ně například regulační požadavky, obchodní a daňové povinnosti uchovávat údaje nebo naše poradenská povinnost. V tomto případě je právním základem pro zpracování příslušná zákonná ustanovení ve spojení s čl. 6 odst. 1 písm. c) GDPR.</w:t>
      </w:r>
    </w:p>
    <w:p w14:paraId="43EC1B12"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Příjemce osobních údajů</w:t>
      </w:r>
    </w:p>
    <w:p w14:paraId="53D74785" w14:textId="77777777" w:rsidR="00F67205" w:rsidRPr="00C17E61" w:rsidRDefault="00F67205" w:rsidP="00F67205">
      <w:pPr>
        <w:autoSpaceDE w:val="0"/>
        <w:autoSpaceDN w:val="0"/>
        <w:adjustRightInd w:val="0"/>
        <w:spacing w:after="0"/>
        <w:ind w:left="-1134"/>
        <w:rPr>
          <w:rFonts w:ascii="Arial" w:eastAsia="Calibri" w:hAnsi="Arial" w:cs="Arial"/>
          <w:bCs/>
          <w:iCs/>
          <w:u w:val="single"/>
          <w:lang w:val="fr-FR"/>
        </w:rPr>
      </w:pPr>
      <w:r w:rsidRPr="00C17E61">
        <w:rPr>
          <w:rFonts w:ascii="Arial" w:eastAsia="Calibri" w:hAnsi="Arial" w:cs="Arial"/>
          <w:bCs/>
          <w:iCs/>
          <w:u w:val="single"/>
          <w:lang w:val="fr-FR"/>
        </w:rPr>
        <w:t>Poskytovatelé kapacity:</w:t>
      </w:r>
    </w:p>
    <w:p w14:paraId="04DFAC2F" w14:textId="6CF2D477" w:rsidR="00F67205" w:rsidRPr="00C17E61" w:rsidRDefault="00F67205" w:rsidP="00F67205">
      <w:pPr>
        <w:autoSpaceDE w:val="0"/>
        <w:autoSpaceDN w:val="0"/>
        <w:adjustRightInd w:val="0"/>
        <w:spacing w:after="0"/>
        <w:ind w:left="-1134"/>
        <w:rPr>
          <w:rFonts w:ascii="Arial" w:eastAsia="Calibri" w:hAnsi="Arial" w:cs="Arial"/>
          <w:bCs/>
          <w:iCs/>
          <w:lang w:val="fr-FR"/>
        </w:rPr>
      </w:pPr>
      <w:r w:rsidRPr="00C17E61">
        <w:rPr>
          <w:rFonts w:ascii="Arial" w:eastAsia="Calibri" w:hAnsi="Arial" w:cs="Arial"/>
          <w:bCs/>
          <w:iCs/>
          <w:lang w:val="fr-FR"/>
        </w:rPr>
        <w:t xml:space="preserve">Jako autorizovaná upisovací agentura (MGA - Managing General Agent) spolupracujeme s pojišťovnami, které poskytují pojistnou kapacitu pro vaše smlouvy. Za tímto účelem může být nutné předat </w:t>
      </w:r>
      <w:r w:rsidR="009B50C5" w:rsidRPr="00C17E61">
        <w:rPr>
          <w:rFonts w:ascii="Arial" w:eastAsia="Calibri" w:hAnsi="Arial" w:cs="Arial"/>
          <w:bCs/>
          <w:iCs/>
          <w:lang w:val="fr-FR"/>
        </w:rPr>
        <w:t>vaši</w:t>
      </w:r>
      <w:r w:rsidRPr="00C17E61">
        <w:rPr>
          <w:rFonts w:ascii="Arial" w:eastAsia="Calibri" w:hAnsi="Arial" w:cs="Arial"/>
          <w:bCs/>
          <w:iCs/>
          <w:lang w:val="fr-FR"/>
        </w:rPr>
        <w:t xml:space="preserve"> smlouvu a případně i údaje o škodách této pojišťovně, aby si mohla vytvořit vlastní obraz o riziku nebo pojistné události. Kromě toho je možné, aby pojišťovna na základě svých odborných znalostí podpořila naši společnost při posuzování rizik nebo výkonnosti a při vyhodnocování postupů. Vaše údaje předáváme pojišťovně pouze v rozsahu nezbytném pro plnění naší pojistné smlouvy s vámi nebo v rozsahu nezbytném pro ochranu našich oprávněných zájmů.</w:t>
      </w:r>
    </w:p>
    <w:p w14:paraId="13DD4C03"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t>Soupojistitel:</w:t>
      </w:r>
    </w:p>
    <w:p w14:paraId="2BB9C6C3" w14:textId="6FABDE38" w:rsidR="00F67205" w:rsidRPr="00C17E61" w:rsidRDefault="00F67205" w:rsidP="00F67205">
      <w:pPr>
        <w:autoSpaceDE w:val="0"/>
        <w:autoSpaceDN w:val="0"/>
        <w:adjustRightInd w:val="0"/>
        <w:ind w:left="-1134"/>
        <w:rPr>
          <w:rFonts w:ascii="Arial" w:eastAsia="Calibri" w:hAnsi="Arial" w:cs="Arial"/>
          <w:iCs/>
          <w:lang w:val="fr-FR"/>
        </w:rPr>
      </w:pPr>
      <w:r w:rsidRPr="00C17E61">
        <w:rPr>
          <w:rFonts w:ascii="Arial" w:eastAsia="Calibri" w:hAnsi="Arial" w:cs="Arial"/>
          <w:iCs/>
          <w:lang w:val="fr-FR"/>
        </w:rPr>
        <w:t xml:space="preserve">Rizika, která v jednotlivých případech přebíráme, pojišťujeme společně s dalšími pojistiteli (soupojistiteli). Za tímto účelem může být nutné předat vaši smlouvu a případně údaje o škodách </w:t>
      </w:r>
      <w:r w:rsidR="00B2080F" w:rsidRPr="00C17E61">
        <w:rPr>
          <w:rFonts w:ascii="Arial" w:eastAsia="Calibri" w:hAnsi="Arial" w:cs="Arial"/>
          <w:iCs/>
          <w:lang w:val="fr-FR"/>
        </w:rPr>
        <w:t>soupojistiteli</w:t>
      </w:r>
      <w:r w:rsidRPr="00C17E61">
        <w:rPr>
          <w:rFonts w:ascii="Arial" w:eastAsia="Calibri" w:hAnsi="Arial" w:cs="Arial"/>
          <w:iCs/>
          <w:lang w:val="fr-FR"/>
        </w:rPr>
        <w:t>, aby si ta mohla vytvořit vlastní představu o riziku nebo pojistné události. Kromě toho je možné, že soupojistitel (soupojistitelé) na základě svých odborných znalostí podpoří naši společnost při posouzení rizik nebo výkonnosti a při vyhodnocování postupů.</w:t>
      </w:r>
    </w:p>
    <w:p w14:paraId="110AFF1C" w14:textId="77777777" w:rsidR="00F67205" w:rsidRPr="00C17E61" w:rsidRDefault="00F67205" w:rsidP="00F67205">
      <w:pPr>
        <w:autoSpaceDE w:val="0"/>
        <w:autoSpaceDN w:val="0"/>
        <w:adjustRightInd w:val="0"/>
        <w:ind w:left="-1134"/>
        <w:rPr>
          <w:rFonts w:ascii="Arial" w:eastAsia="Calibri" w:hAnsi="Arial" w:cs="Arial"/>
          <w:iCs/>
          <w:lang w:val="fr-FR"/>
        </w:rPr>
      </w:pPr>
      <w:r w:rsidRPr="00C17E61">
        <w:rPr>
          <w:rFonts w:ascii="Arial" w:eastAsia="Calibri" w:hAnsi="Arial" w:cs="Arial"/>
          <w:iCs/>
          <w:lang w:val="fr-FR"/>
        </w:rPr>
        <w:t>Vaše údaje předáváme soupojistiteli (soupojistitelům) pouze v rozsahu nezbytném pro plnění naší pojistné smlouvy s vámi.</w:t>
      </w:r>
    </w:p>
    <w:p w14:paraId="6DE98799"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lastRenderedPageBreak/>
        <w:t>Makléř:</w:t>
      </w:r>
    </w:p>
    <w:p w14:paraId="3303DBCA" w14:textId="77777777" w:rsidR="00F67205" w:rsidRPr="00C17E61" w:rsidRDefault="00F67205" w:rsidP="00F67205">
      <w:pPr>
        <w:autoSpaceDE w:val="0"/>
        <w:autoSpaceDN w:val="0"/>
        <w:adjustRightInd w:val="0"/>
        <w:spacing w:after="0"/>
        <w:ind w:left="-1134"/>
        <w:rPr>
          <w:rFonts w:ascii="Arial" w:eastAsia="Calibri" w:hAnsi="Arial" w:cs="Arial"/>
          <w:iCs/>
          <w:lang w:val="fr-FR"/>
        </w:rPr>
      </w:pPr>
      <w:r w:rsidRPr="00C17E61">
        <w:rPr>
          <w:rFonts w:ascii="Arial" w:eastAsia="Calibri" w:hAnsi="Arial" w:cs="Arial"/>
          <w:iCs/>
          <w:lang w:val="fr-FR"/>
        </w:rPr>
        <w:t>Pokud jste pod dohledem makléře, makléř zpracovává údaje potřebné k uzavření a provedení smlouvy. Makléř tyto údaje předává nám. Také my předáváme údaje vašemu makléři, pokud makléř tyto informace potřebuje pro vaši podporu a poradenství v pojistných záležitostech.</w:t>
      </w:r>
    </w:p>
    <w:p w14:paraId="36139ABE"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t>Zpracování dat v DUAL:</w:t>
      </w:r>
    </w:p>
    <w:p w14:paraId="29243401"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lang w:val="fr-FR"/>
        </w:rPr>
        <w:t>V rámci DUAL jsou některé úkoly zpracování dat prováděny centrálně. Pokud jste pojištěni u jedné nebo více společností DUAL, může vaše data zpracovávat společnost DUAL. Například pro správu adres, pro zákaznický servis, pro marketingové účely, pro zpracování smluv a služeb, pro inkasa a výplaty nebo pro společné zpracování pošty.</w:t>
      </w:r>
    </w:p>
    <w:p w14:paraId="6CEBE10E"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t>Externí poskytovatelé služeb</w:t>
      </w:r>
    </w:p>
    <w:p w14:paraId="3025B5FF" w14:textId="77777777" w:rsidR="00F67205" w:rsidRPr="00C17E61" w:rsidRDefault="00F67205" w:rsidP="00F67205">
      <w:pPr>
        <w:autoSpaceDE w:val="0"/>
        <w:autoSpaceDN w:val="0"/>
        <w:adjustRightInd w:val="0"/>
        <w:spacing w:after="0"/>
        <w:ind w:left="-1134"/>
        <w:rPr>
          <w:rFonts w:ascii="Arial" w:eastAsia="Calibri" w:hAnsi="Arial" w:cs="Arial"/>
          <w:iCs/>
          <w:lang w:val="fr-FR"/>
        </w:rPr>
      </w:pPr>
      <w:r w:rsidRPr="00C17E61">
        <w:rPr>
          <w:rFonts w:ascii="Arial" w:eastAsia="Calibri" w:hAnsi="Arial" w:cs="Arial"/>
          <w:iCs/>
          <w:lang w:val="fr-FR"/>
        </w:rPr>
        <w:t>Pro plnění našich smluvních a zákonných závazků spolupracujeme s vybranými externími poskytovateli služeb. To může být nezbytné například v souvislosti s likvidací pojistných událostí z právních důvodů.</w:t>
      </w:r>
    </w:p>
    <w:p w14:paraId="31C3BE4C"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t>Další příjemci:</w:t>
      </w:r>
    </w:p>
    <w:p w14:paraId="3D68281A"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iCs/>
          <w:lang w:val="fr-FR"/>
        </w:rPr>
        <w:t>Kromě toho můžeme být povinni předat vaše osobní údaje dalším příjemcům, jako jsou orgány veřejné moci za účelem plnění zákonných oznamovacích povinností (např. poskytovatelé sociálního pojištění nebo finanční úřady).</w:t>
      </w:r>
    </w:p>
    <w:p w14:paraId="5FD733A7"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Zdroje dat</w:t>
      </w:r>
    </w:p>
    <w:p w14:paraId="5DE56F13" w14:textId="77777777" w:rsidR="00F67205" w:rsidRPr="00C17E61" w:rsidRDefault="00F67205" w:rsidP="00F67205">
      <w:pPr>
        <w:autoSpaceDE w:val="0"/>
        <w:autoSpaceDN w:val="0"/>
        <w:adjustRightInd w:val="0"/>
        <w:spacing w:after="0"/>
        <w:ind w:left="-1134"/>
        <w:rPr>
          <w:rFonts w:ascii="Arial" w:eastAsia="Calibri" w:hAnsi="Arial" w:cs="Arial"/>
          <w:bCs/>
          <w:iCs/>
          <w:u w:val="single"/>
          <w:lang w:val="fr-FR"/>
        </w:rPr>
      </w:pPr>
      <w:r w:rsidRPr="00C17E61">
        <w:rPr>
          <w:rFonts w:ascii="Arial" w:eastAsia="Calibri" w:hAnsi="Arial" w:cs="Arial"/>
          <w:bCs/>
          <w:iCs/>
          <w:u w:val="single"/>
          <w:lang w:val="fr-FR"/>
        </w:rPr>
        <w:t>Obecné</w:t>
      </w:r>
    </w:p>
    <w:p w14:paraId="45E30AD6" w14:textId="77777777" w:rsidR="00F67205" w:rsidRPr="00C17E61" w:rsidRDefault="00F67205" w:rsidP="00F67205">
      <w:pPr>
        <w:autoSpaceDE w:val="0"/>
        <w:autoSpaceDN w:val="0"/>
        <w:adjustRightInd w:val="0"/>
        <w:spacing w:after="0"/>
        <w:ind w:left="-1134"/>
        <w:rPr>
          <w:rFonts w:ascii="Arial" w:eastAsia="Calibri" w:hAnsi="Arial" w:cs="Arial"/>
          <w:bCs/>
          <w:iCs/>
          <w:lang w:val="fr-FR"/>
        </w:rPr>
      </w:pPr>
      <w:r w:rsidRPr="00C17E61">
        <w:rPr>
          <w:rFonts w:ascii="Arial" w:eastAsia="Calibri" w:hAnsi="Arial" w:cs="Arial"/>
          <w:bCs/>
          <w:iCs/>
          <w:lang w:val="fr-FR"/>
        </w:rPr>
        <w:t>Pro účely posouzení rizik, vypořádání smluv nebo likvidace pojistných událostí mohou být osobní údaje zpracovávány z různých zdrojů. Zdrojem může být například makléř, pojistník, pojištěná osoba, žadatel o pojistné plnění, internet, sankční seznamy, další účastníci pojistného trhu, právníci, úřady nebo úvěrové registry.</w:t>
      </w:r>
    </w:p>
    <w:p w14:paraId="322392E7" w14:textId="77777777" w:rsidR="00F67205" w:rsidRPr="00C17E61" w:rsidRDefault="00F67205" w:rsidP="00F67205">
      <w:pPr>
        <w:autoSpaceDE w:val="0"/>
        <w:autoSpaceDN w:val="0"/>
        <w:adjustRightInd w:val="0"/>
        <w:spacing w:after="0"/>
        <w:ind w:left="-1134"/>
        <w:rPr>
          <w:rFonts w:ascii="Arial" w:eastAsia="Calibri" w:hAnsi="Arial" w:cs="Arial"/>
          <w:iCs/>
          <w:u w:val="single"/>
          <w:lang w:val="fr-FR"/>
        </w:rPr>
      </w:pPr>
      <w:r w:rsidRPr="00C17E61">
        <w:rPr>
          <w:rFonts w:ascii="Arial" w:eastAsia="Calibri" w:hAnsi="Arial" w:cs="Arial"/>
          <w:iCs/>
          <w:u w:val="single"/>
          <w:lang w:val="fr-FR"/>
        </w:rPr>
        <w:t>Výměna dat s vaším zaměstnavatelem</w:t>
      </w:r>
    </w:p>
    <w:p w14:paraId="19C7759F" w14:textId="77777777" w:rsidR="00F67205" w:rsidRPr="00C17E61" w:rsidRDefault="00F67205" w:rsidP="00F67205">
      <w:pPr>
        <w:autoSpaceDE w:val="0"/>
        <w:autoSpaceDN w:val="0"/>
        <w:adjustRightInd w:val="0"/>
        <w:spacing w:after="0"/>
        <w:ind w:left="-1134"/>
        <w:rPr>
          <w:rFonts w:ascii="Arial" w:eastAsia="Calibri" w:hAnsi="Arial" w:cs="Arial"/>
          <w:iCs/>
          <w:lang w:val="fr-FR"/>
        </w:rPr>
      </w:pPr>
      <w:r w:rsidRPr="00C17E61">
        <w:rPr>
          <w:rFonts w:ascii="Arial" w:eastAsia="Calibri" w:hAnsi="Arial" w:cs="Arial"/>
          <w:iCs/>
          <w:lang w:val="fr-FR"/>
        </w:rPr>
        <w:t>Pokud si u nás váš zaměstnavatel jako zaměstnance sjedná skupinové pojištění, přihlásí vás k pojištění. Sdělí nám vaše jméno, adresu, datum narození a vaši léčbu.</w:t>
      </w:r>
    </w:p>
    <w:p w14:paraId="13F8161A"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Předávání osobních údajů mimo Evropu</w:t>
      </w:r>
    </w:p>
    <w:p w14:paraId="2F74A5E8" w14:textId="77777777" w:rsidR="00F67205" w:rsidRPr="00C17E61" w:rsidRDefault="00F67205" w:rsidP="00F67205">
      <w:pPr>
        <w:autoSpaceDE w:val="0"/>
        <w:autoSpaceDN w:val="0"/>
        <w:adjustRightInd w:val="0"/>
        <w:spacing w:after="0"/>
        <w:ind w:left="-1134"/>
        <w:rPr>
          <w:rFonts w:ascii="Arial" w:eastAsia="Calibri" w:hAnsi="Arial" w:cs="Arial"/>
          <w:bCs/>
          <w:iCs/>
          <w:lang w:val="fr-FR"/>
        </w:rPr>
      </w:pPr>
      <w:r w:rsidRPr="00C17E61">
        <w:rPr>
          <w:rFonts w:ascii="Arial" w:eastAsia="Calibri" w:hAnsi="Arial" w:cs="Arial"/>
          <w:bCs/>
          <w:iCs/>
          <w:lang w:val="fr-FR"/>
        </w:rPr>
        <w:t>Pokud bychom osobní údaje předali poskytovatelům služeb mimo Evropský hospodářský prostor (EHP), proběhne tak pouze tehdy, pokud Evropská komise potvrdí odpovídající úroveň ochrany údajů v dané třetí zemi. Kromě toho je to povoleno, pokud existují další vhodné záruky ochrany údajů (např. závazné interní předpisy společnosti o ochraně údajů nebo standardní smluvní doložky EU).</w:t>
      </w:r>
    </w:p>
    <w:p w14:paraId="290D938B"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Uchovávání osobních údajů</w:t>
      </w:r>
    </w:p>
    <w:p w14:paraId="08E2024F" w14:textId="77777777" w:rsidR="00F67205" w:rsidRPr="00C17E61" w:rsidRDefault="00F67205" w:rsidP="00F67205">
      <w:pPr>
        <w:autoSpaceDE w:val="0"/>
        <w:autoSpaceDN w:val="0"/>
        <w:adjustRightInd w:val="0"/>
        <w:spacing w:after="0"/>
        <w:ind w:left="-1134"/>
        <w:rPr>
          <w:rFonts w:ascii="Arial" w:eastAsia="Calibri" w:hAnsi="Arial" w:cs="Arial"/>
          <w:bCs/>
          <w:iCs/>
          <w:lang w:val="fr-FR"/>
        </w:rPr>
      </w:pPr>
      <w:r w:rsidRPr="00C17E61">
        <w:rPr>
          <w:rFonts w:ascii="Arial" w:eastAsia="Calibri" w:hAnsi="Arial" w:cs="Arial"/>
          <w:bCs/>
          <w:iCs/>
          <w:lang w:val="fr-FR"/>
        </w:rPr>
        <w:t>Vaše údaje uchováváme po dobu trvání vaší smlouvy. Dále uchováváme vaše osobní údaje za účelem splnění zákonných důkazních a archivačních povinností. Ty vycházejí mimo jiné z německého obchodního zákoníku, daňového řádu a zákona o praní špinavých peněz. Doba uchovávání je až deset let. Pokud nedojde k uzavření pojistné smlouvy, smažeme vaše údaje z žádosti tři roky po podání žádosti. V případě dočasného uložení je doba uchovávání 10 let.</w:t>
      </w:r>
    </w:p>
    <w:p w14:paraId="617F36C3"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Práva dotčené osoby</w:t>
      </w:r>
    </w:p>
    <w:p w14:paraId="6864BB2B" w14:textId="77777777" w:rsidR="00F67205" w:rsidRPr="00C17E61" w:rsidRDefault="00F67205" w:rsidP="00F67205">
      <w:pPr>
        <w:autoSpaceDE w:val="0"/>
        <w:autoSpaceDN w:val="0"/>
        <w:adjustRightInd w:val="0"/>
        <w:spacing w:after="0"/>
        <w:ind w:left="-1134"/>
        <w:rPr>
          <w:rFonts w:ascii="Arial" w:eastAsia="Calibri" w:hAnsi="Arial" w:cs="Arial"/>
          <w:iCs/>
          <w:lang w:val="fr-FR"/>
        </w:rPr>
      </w:pPr>
      <w:r w:rsidRPr="00C17E61">
        <w:rPr>
          <w:rFonts w:ascii="Arial" w:eastAsia="Calibri" w:hAnsi="Arial" w:cs="Arial"/>
          <w:bCs/>
          <w:iCs/>
          <w:lang w:val="fr-FR"/>
        </w:rPr>
        <w:t>Kromě práva na vznesení námitky máte právo na informace, opravu a výmaz vašich údajů a na omezení zpracování. Na požádání vám poskytneme vámi poskytnuté údaje ve strukturovaném, běžně používaném a strojově čitelném formátu. Pokud si přejete zobrazit údaje nebo cokoli změnit, kontaktujte nás prosím na výše uvedené adrese.</w:t>
      </w:r>
      <w:r w:rsidRPr="00C17E61">
        <w:rPr>
          <w:rFonts w:ascii="Arial" w:eastAsia="Calibri" w:hAnsi="Arial" w:cs="Arial"/>
          <w:iCs/>
          <w:lang w:val="fr-FR"/>
        </w:rPr>
        <w:t xml:space="preserve"> </w:t>
      </w:r>
    </w:p>
    <w:p w14:paraId="7B6D42C6" w14:textId="77777777" w:rsidR="00F67205" w:rsidRPr="00C17E61" w:rsidRDefault="00F67205" w:rsidP="00F67205">
      <w:pPr>
        <w:autoSpaceDE w:val="0"/>
        <w:autoSpaceDN w:val="0"/>
        <w:adjustRightInd w:val="0"/>
        <w:spacing w:after="0"/>
        <w:ind w:left="-1134"/>
        <w:rPr>
          <w:rFonts w:ascii="Arial" w:eastAsia="Calibri" w:hAnsi="Arial" w:cs="Arial"/>
          <w:b/>
          <w:bCs/>
          <w:iCs/>
          <w:lang w:val="fr-FR"/>
        </w:rPr>
      </w:pPr>
      <w:r w:rsidRPr="00C17E61">
        <w:rPr>
          <w:rFonts w:ascii="Arial" w:eastAsia="Calibri" w:hAnsi="Arial" w:cs="Arial"/>
          <w:b/>
          <w:bCs/>
          <w:iCs/>
          <w:lang w:val="fr-FR"/>
        </w:rPr>
        <w:t>Právo na odvolání</w:t>
      </w:r>
    </w:p>
    <w:p w14:paraId="29A7A430" w14:textId="77777777" w:rsidR="00F67205" w:rsidRPr="00C17E61" w:rsidRDefault="00F67205" w:rsidP="00F67205">
      <w:pPr>
        <w:autoSpaceDE w:val="0"/>
        <w:autoSpaceDN w:val="0"/>
        <w:adjustRightInd w:val="0"/>
        <w:spacing w:after="0"/>
        <w:ind w:left="-1134"/>
        <w:rPr>
          <w:rFonts w:ascii="Arial" w:eastAsia="Calibri" w:hAnsi="Arial" w:cs="Arial"/>
          <w:bCs/>
          <w:iCs/>
          <w:lang w:val="fr-FR"/>
        </w:rPr>
      </w:pPr>
      <w:r w:rsidRPr="00C17E61">
        <w:rPr>
          <w:rFonts w:ascii="Arial" w:eastAsia="Calibri" w:hAnsi="Arial" w:cs="Arial"/>
          <w:bCs/>
          <w:iCs/>
          <w:lang w:val="fr-FR"/>
        </w:rPr>
        <w:t>Máte možnost kontaktovat výše uvedeného pověřence pro ochranu osobních údajů nebo dozorový orgán pro ochranu osobních údajů. Dozorový orgán pro ochranu osobních údajů, který je pro nás příslušný, je:</w:t>
      </w:r>
    </w:p>
    <w:p w14:paraId="1F527B77" w14:textId="77777777" w:rsidR="00F67205" w:rsidRPr="00C17E61" w:rsidRDefault="00F67205" w:rsidP="00F67205">
      <w:pPr>
        <w:autoSpaceDE w:val="0"/>
        <w:autoSpaceDN w:val="0"/>
        <w:adjustRightInd w:val="0"/>
        <w:spacing w:before="0" w:after="0"/>
        <w:ind w:left="-1134"/>
        <w:rPr>
          <w:rFonts w:ascii="Arial" w:eastAsia="Calibri" w:hAnsi="Arial" w:cs="Arial"/>
          <w:bCs/>
          <w:iCs/>
          <w:lang w:val="fr-FR"/>
        </w:rPr>
      </w:pPr>
    </w:p>
    <w:p w14:paraId="3A573649" w14:textId="77777777" w:rsidR="00F67205" w:rsidRPr="00C17E61" w:rsidRDefault="00F67205" w:rsidP="00F67205">
      <w:pPr>
        <w:autoSpaceDE w:val="0"/>
        <w:autoSpaceDN w:val="0"/>
        <w:adjustRightInd w:val="0"/>
        <w:spacing w:before="0" w:after="0"/>
        <w:ind w:left="-1134"/>
        <w:rPr>
          <w:rFonts w:ascii="Arial" w:eastAsia="Calibri" w:hAnsi="Arial" w:cs="Arial"/>
          <w:bCs/>
          <w:iCs/>
          <w:lang w:val="fr-FR"/>
        </w:rPr>
      </w:pPr>
      <w:r w:rsidRPr="00C17E61">
        <w:rPr>
          <w:rFonts w:ascii="Arial" w:eastAsia="Calibri" w:hAnsi="Arial" w:cs="Arial"/>
          <w:bCs/>
          <w:iCs/>
          <w:lang w:val="fr-FR"/>
        </w:rPr>
        <w:t>Státní komisař pro ochranu osobních údajů a svobodu informací</w:t>
      </w:r>
    </w:p>
    <w:p w14:paraId="3ECA4EE2" w14:textId="77777777" w:rsidR="00F67205" w:rsidRPr="00C17E61" w:rsidRDefault="00F67205" w:rsidP="00F67205">
      <w:pPr>
        <w:autoSpaceDE w:val="0"/>
        <w:autoSpaceDN w:val="0"/>
        <w:adjustRightInd w:val="0"/>
        <w:spacing w:before="0" w:after="0"/>
        <w:ind w:left="-1134"/>
        <w:rPr>
          <w:rFonts w:ascii="Arial" w:eastAsia="Calibri" w:hAnsi="Arial" w:cs="Arial"/>
          <w:bCs/>
          <w:iCs/>
          <w:lang w:val="fr-FR"/>
        </w:rPr>
      </w:pPr>
      <w:r w:rsidRPr="00C17E61">
        <w:rPr>
          <w:rFonts w:ascii="Arial" w:eastAsia="Calibri" w:hAnsi="Arial" w:cs="Arial"/>
          <w:bCs/>
          <w:iCs/>
          <w:lang w:val="fr-FR"/>
        </w:rPr>
        <w:t>Severní Porýní-Vestfálsko</w:t>
      </w:r>
    </w:p>
    <w:p w14:paraId="72410F10" w14:textId="77777777" w:rsidR="00F67205" w:rsidRPr="00C17E61" w:rsidRDefault="00F67205" w:rsidP="00F67205">
      <w:pPr>
        <w:autoSpaceDE w:val="0"/>
        <w:autoSpaceDN w:val="0"/>
        <w:adjustRightInd w:val="0"/>
        <w:spacing w:before="0" w:after="0"/>
        <w:ind w:left="-1134"/>
        <w:rPr>
          <w:rFonts w:ascii="Arial" w:eastAsia="Arial" w:hAnsi="Arial" w:cs="Arial"/>
          <w:iCs/>
          <w:szCs w:val="20"/>
          <w:lang w:val="fr-FR"/>
        </w:rPr>
      </w:pPr>
      <w:r w:rsidRPr="00C17E61">
        <w:rPr>
          <w:rFonts w:ascii="Arial" w:eastAsia="Calibri" w:hAnsi="Arial" w:cs="Arial"/>
          <w:bCs/>
          <w:iCs/>
          <w:lang w:val="fr-FR"/>
        </w:rPr>
        <w:t>Kavalleriestraße 2-4, 40213 Düsseldorf, Německo</w:t>
      </w:r>
    </w:p>
    <w:p w14:paraId="44EBC648" w14:textId="77777777" w:rsidR="00F67205" w:rsidRPr="00C17E61" w:rsidRDefault="00F67205" w:rsidP="00F67205">
      <w:pPr>
        <w:autoSpaceDE w:val="0"/>
        <w:autoSpaceDN w:val="0"/>
        <w:adjustRightInd w:val="0"/>
        <w:spacing w:before="0" w:after="120" w:line="240" w:lineRule="auto"/>
        <w:ind w:left="-851" w:right="566"/>
        <w:rPr>
          <w:rFonts w:ascii="Arial" w:eastAsia="Calibri" w:hAnsi="Arial" w:cs="Arial"/>
          <w:b/>
          <w:iCs/>
          <w:color w:val="000000"/>
          <w:lang w:val="fr-FR"/>
        </w:rPr>
      </w:pPr>
    </w:p>
    <w:p w14:paraId="533CC5F3" w14:textId="77777777" w:rsidR="00F67205" w:rsidRPr="00C17E61" w:rsidRDefault="00F67205" w:rsidP="0051267B">
      <w:pPr>
        <w:spacing w:after="0"/>
        <w:ind w:left="-1134"/>
        <w:rPr>
          <w:rFonts w:eastAsia="Calibri"/>
          <w:b/>
          <w:iCs/>
          <w:lang w:val="fr-FR"/>
        </w:rPr>
      </w:pPr>
    </w:p>
    <w:p w14:paraId="71ED46F8" w14:textId="77777777" w:rsidR="00F67205" w:rsidRPr="00C17E61" w:rsidRDefault="00F67205" w:rsidP="0051267B">
      <w:pPr>
        <w:spacing w:after="0"/>
        <w:ind w:left="-1134"/>
        <w:rPr>
          <w:rFonts w:eastAsia="Calibri"/>
          <w:b/>
          <w:iCs/>
          <w:lang w:val="fr-FR"/>
        </w:rPr>
      </w:pPr>
    </w:p>
    <w:p w14:paraId="3258968B" w14:textId="77777777" w:rsidR="00F67205" w:rsidRPr="00C17E61" w:rsidRDefault="00F67205" w:rsidP="0051267B">
      <w:pPr>
        <w:spacing w:after="0"/>
        <w:ind w:left="-1134"/>
        <w:rPr>
          <w:rFonts w:eastAsia="Calibri"/>
          <w:b/>
          <w:i/>
          <w:lang w:val="fr-FR"/>
        </w:rPr>
      </w:pPr>
    </w:p>
    <w:p w14:paraId="149169C9" w14:textId="59A537C0" w:rsidR="00047621" w:rsidRPr="007C28E8" w:rsidRDefault="00047621" w:rsidP="0051267B">
      <w:pPr>
        <w:spacing w:after="0"/>
        <w:ind w:left="-1134"/>
        <w:rPr>
          <w:rFonts w:eastAsia="Calibri"/>
          <w:b/>
          <w:i/>
        </w:rPr>
      </w:pPr>
      <w:r w:rsidRPr="007C28E8">
        <w:rPr>
          <w:rFonts w:eastAsia="Calibri"/>
          <w:b/>
          <w:i/>
        </w:rPr>
        <w:lastRenderedPageBreak/>
        <w:t xml:space="preserve">DUAL - Information on data protection </w:t>
      </w:r>
    </w:p>
    <w:p w14:paraId="2993F1A7" w14:textId="77777777" w:rsidR="00047621" w:rsidRPr="007C28E8" w:rsidRDefault="00047621" w:rsidP="0051267B">
      <w:pPr>
        <w:autoSpaceDE w:val="0"/>
        <w:autoSpaceDN w:val="0"/>
        <w:adjustRightInd w:val="0"/>
        <w:spacing w:after="0"/>
        <w:ind w:left="-1134"/>
        <w:rPr>
          <w:rFonts w:eastAsia="Calibri"/>
          <w:i/>
          <w:color w:val="000000"/>
        </w:rPr>
      </w:pPr>
      <w:r w:rsidRPr="007C28E8">
        <w:rPr>
          <w:rFonts w:eastAsia="Calibri"/>
          <w:i/>
          <w:color w:val="000000"/>
        </w:rPr>
        <w:t xml:space="preserve">We herewith inform you about the fact that DUAL Deutschland GmbH processes your personal data and the rights to which you are entitled under data protection law. </w:t>
      </w:r>
    </w:p>
    <w:p w14:paraId="2BAA5EE6" w14:textId="77777777" w:rsidR="00047621" w:rsidRPr="007C28E8" w:rsidRDefault="00047621" w:rsidP="0051267B">
      <w:pPr>
        <w:autoSpaceDE w:val="0"/>
        <w:autoSpaceDN w:val="0"/>
        <w:adjustRightInd w:val="0"/>
        <w:spacing w:after="0"/>
        <w:ind w:left="-1134"/>
        <w:rPr>
          <w:rFonts w:eastAsia="Calibri"/>
          <w:i/>
          <w:color w:val="000000"/>
        </w:rPr>
      </w:pPr>
      <w:r w:rsidRPr="007C28E8">
        <w:rPr>
          <w:rFonts w:eastAsia="Calibri"/>
          <w:i/>
          <w:color w:val="000000"/>
        </w:rPr>
        <w:t>Responsible for data processing:</w:t>
      </w:r>
    </w:p>
    <w:p w14:paraId="42075F1E" w14:textId="77777777" w:rsidR="00047621" w:rsidRPr="007C28E8" w:rsidRDefault="00047621" w:rsidP="0051267B">
      <w:pPr>
        <w:autoSpaceDE w:val="0"/>
        <w:autoSpaceDN w:val="0"/>
        <w:adjustRightInd w:val="0"/>
        <w:spacing w:before="0" w:after="0"/>
        <w:ind w:left="-1134" w:firstLine="2880"/>
        <w:rPr>
          <w:rFonts w:eastAsia="Calibri"/>
          <w:i/>
          <w:color w:val="000000"/>
        </w:rPr>
      </w:pPr>
      <w:r w:rsidRPr="007C28E8">
        <w:rPr>
          <w:rFonts w:eastAsia="Calibri"/>
          <w:i/>
          <w:color w:val="000000"/>
        </w:rPr>
        <w:t>DUAL Deutschland GmbH</w:t>
      </w:r>
    </w:p>
    <w:p w14:paraId="2FD8D944" w14:textId="77777777" w:rsidR="00047621" w:rsidRPr="007C28E8" w:rsidRDefault="00047621" w:rsidP="0051267B">
      <w:pPr>
        <w:autoSpaceDE w:val="0"/>
        <w:autoSpaceDN w:val="0"/>
        <w:adjustRightInd w:val="0"/>
        <w:spacing w:before="0" w:after="0"/>
        <w:ind w:left="-1134" w:firstLine="2880"/>
        <w:rPr>
          <w:rFonts w:eastAsia="Calibri"/>
          <w:i/>
          <w:color w:val="000000"/>
        </w:rPr>
      </w:pPr>
      <w:r w:rsidRPr="007C28E8">
        <w:rPr>
          <w:rFonts w:eastAsia="Calibri"/>
          <w:i/>
          <w:color w:val="000000"/>
        </w:rPr>
        <w:t>Schanzenstr. 36 / Building 197</w:t>
      </w:r>
    </w:p>
    <w:p w14:paraId="2D13D79A" w14:textId="77777777" w:rsidR="00047621" w:rsidRPr="007C28E8" w:rsidRDefault="00047621" w:rsidP="0051267B">
      <w:pPr>
        <w:autoSpaceDE w:val="0"/>
        <w:autoSpaceDN w:val="0"/>
        <w:adjustRightInd w:val="0"/>
        <w:spacing w:before="0" w:after="0"/>
        <w:ind w:left="-1134" w:firstLine="2880"/>
        <w:rPr>
          <w:rFonts w:eastAsia="Calibri"/>
          <w:i/>
          <w:color w:val="000000"/>
        </w:rPr>
      </w:pPr>
      <w:r w:rsidRPr="007C28E8">
        <w:rPr>
          <w:rFonts w:eastAsia="Calibri"/>
          <w:i/>
          <w:color w:val="000000"/>
        </w:rPr>
        <w:t>51063 Cologne</w:t>
      </w:r>
    </w:p>
    <w:p w14:paraId="6D42F6E0" w14:textId="77777777" w:rsidR="00047621" w:rsidRPr="007C28E8" w:rsidRDefault="00047621" w:rsidP="0051267B">
      <w:pPr>
        <w:autoSpaceDE w:val="0"/>
        <w:autoSpaceDN w:val="0"/>
        <w:adjustRightInd w:val="0"/>
        <w:spacing w:before="0" w:after="0"/>
        <w:ind w:left="-1134" w:firstLine="2880"/>
        <w:rPr>
          <w:rFonts w:eastAsia="Calibri"/>
          <w:i/>
          <w:color w:val="000000"/>
        </w:rPr>
      </w:pPr>
      <w:r w:rsidRPr="007C28E8">
        <w:rPr>
          <w:rFonts w:eastAsia="Calibri"/>
          <w:i/>
          <w:color w:val="000000"/>
        </w:rPr>
        <w:t>Phone: 0221 /1680260</w:t>
      </w:r>
    </w:p>
    <w:p w14:paraId="3D05D79A" w14:textId="77777777" w:rsidR="00047621" w:rsidRPr="007C28E8" w:rsidRDefault="00047621" w:rsidP="0051267B">
      <w:pPr>
        <w:autoSpaceDE w:val="0"/>
        <w:autoSpaceDN w:val="0"/>
        <w:adjustRightInd w:val="0"/>
        <w:spacing w:before="0" w:after="0"/>
        <w:ind w:left="-1134" w:firstLine="2880"/>
        <w:rPr>
          <w:rFonts w:eastAsia="Calibri"/>
          <w:i/>
          <w:color w:val="000000"/>
        </w:rPr>
      </w:pPr>
      <w:r w:rsidRPr="007C28E8">
        <w:rPr>
          <w:rFonts w:eastAsia="Calibri"/>
          <w:i/>
          <w:color w:val="000000"/>
        </w:rPr>
        <w:t xml:space="preserve">E-mail address: info@dualdeutschland.com </w:t>
      </w:r>
    </w:p>
    <w:p w14:paraId="242CFBE6" w14:textId="77777777" w:rsidR="00047621" w:rsidRPr="007C28E8" w:rsidRDefault="00047621" w:rsidP="0051267B">
      <w:pPr>
        <w:autoSpaceDE w:val="0"/>
        <w:autoSpaceDN w:val="0"/>
        <w:adjustRightInd w:val="0"/>
        <w:spacing w:after="0"/>
        <w:ind w:left="-1134"/>
        <w:rPr>
          <w:rFonts w:eastAsia="Calibri"/>
          <w:i/>
          <w:color w:val="000000"/>
        </w:rPr>
      </w:pPr>
      <w:r w:rsidRPr="007C28E8">
        <w:rPr>
          <w:rFonts w:eastAsia="Calibri"/>
          <w:i/>
          <w:color w:val="000000"/>
        </w:rPr>
        <w:t xml:space="preserve">You can contact our data protection officer at the above address or at: </w:t>
      </w:r>
    </w:p>
    <w:p w14:paraId="6CC86EEF" w14:textId="77777777" w:rsidR="00047621" w:rsidRPr="007C28E8" w:rsidRDefault="00047621" w:rsidP="0051267B">
      <w:pPr>
        <w:autoSpaceDE w:val="0"/>
        <w:autoSpaceDN w:val="0"/>
        <w:adjustRightInd w:val="0"/>
        <w:spacing w:before="0" w:after="0"/>
        <w:ind w:left="-1134"/>
        <w:rPr>
          <w:rFonts w:eastAsia="Calibri"/>
          <w:i/>
          <w:color w:val="000000"/>
        </w:rPr>
      </w:pPr>
      <w:hyperlink r:id="rId11" w:history="1">
        <w:r w:rsidRPr="007C28E8">
          <w:rPr>
            <w:rFonts w:eastAsia="Calibri"/>
            <w:i/>
            <w:color w:val="0563C1"/>
            <w:u w:val="single"/>
          </w:rPr>
          <w:t>datenschutzbeauftragter@dualdeutschland.com</w:t>
        </w:r>
      </w:hyperlink>
    </w:p>
    <w:p w14:paraId="6054B27F" w14:textId="77777777" w:rsidR="00047621" w:rsidRPr="007C28E8" w:rsidRDefault="00047621" w:rsidP="0051267B">
      <w:pPr>
        <w:widowControl w:val="0"/>
        <w:autoSpaceDE w:val="0"/>
        <w:autoSpaceDN w:val="0"/>
        <w:adjustRightInd w:val="0"/>
        <w:spacing w:after="0"/>
        <w:ind w:left="-1134"/>
        <w:rPr>
          <w:rFonts w:eastAsia="Calibri"/>
          <w:b/>
          <w:bCs/>
          <w:i/>
          <w:color w:val="000000"/>
        </w:rPr>
      </w:pPr>
      <w:r w:rsidRPr="007C28E8">
        <w:rPr>
          <w:rFonts w:eastAsia="Calibri"/>
          <w:b/>
          <w:bCs/>
          <w:i/>
          <w:color w:val="000000"/>
        </w:rPr>
        <w:t>Purposes and legal basis of your data processing:</w:t>
      </w:r>
    </w:p>
    <w:p w14:paraId="2C508CBA" w14:textId="77777777"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 xml:space="preserve">We process your personal data in compliance with the General Data Protection Regulation (GPDR), the respective national laws, as well as the provisions of the Insurance Contract Act (VVG) relevant to data protection law and all other relevant laws. </w:t>
      </w:r>
    </w:p>
    <w:p w14:paraId="29338633" w14:textId="77777777"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 xml:space="preserve">If you want to insure yourself with us, we need your data for the conclusion of the contract and for risk assessment. If the insurance contract is concluded, we process this data in order to issue you the policy or to send you an invoice. We need information in claims and benefits to check how you have secured yourself in detail and what benefits you will receive from us. The conclusion or execution of the insurance contract is not possible without the processing of your data. </w:t>
      </w:r>
    </w:p>
    <w:p w14:paraId="38B02912" w14:textId="77777777"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 xml:space="preserve">The legal basis for such processing of personal data for pre-contractual and contractual purposes is Art. 6 para. 1 b) GDPR. If special categories of personal data, e.g., your health data, are required for this, we obtain your consent in accordance with Art. 9 (2) a) in conjunction with Art. 7 GDPR. </w:t>
      </w:r>
    </w:p>
    <w:p w14:paraId="59246982" w14:textId="77777777"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 xml:space="preserve">We also process your data or the data provided by you to third parties in order to protect legitimate interests of us or of third parties (Art. 6 Para. 1 f) GDPR). This may be necessary, for example: </w:t>
      </w:r>
    </w:p>
    <w:p w14:paraId="64F0957D" w14:textId="5B0C9625"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w:t>
      </w:r>
      <w:r w:rsidR="00F67205" w:rsidRPr="007C28E8">
        <w:rPr>
          <w:rFonts w:eastAsia="Calibri"/>
          <w:bCs/>
          <w:i/>
          <w:color w:val="000000"/>
        </w:rPr>
        <w:t xml:space="preserve"> </w:t>
      </w:r>
      <w:r w:rsidRPr="007C28E8">
        <w:rPr>
          <w:rFonts w:eastAsia="Calibri"/>
          <w:bCs/>
          <w:i/>
          <w:color w:val="000000"/>
        </w:rPr>
        <w:t xml:space="preserve">to ensure IT security and operation, </w:t>
      </w:r>
    </w:p>
    <w:p w14:paraId="7CA3C083" w14:textId="29024277"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w:t>
      </w:r>
      <w:r w:rsidR="00F67205" w:rsidRPr="007C28E8">
        <w:rPr>
          <w:rFonts w:eastAsia="Calibri"/>
          <w:bCs/>
          <w:i/>
          <w:color w:val="000000"/>
        </w:rPr>
        <w:t xml:space="preserve"> </w:t>
      </w:r>
      <w:r w:rsidRPr="007C28E8">
        <w:rPr>
          <w:rFonts w:eastAsia="Calibri"/>
          <w:bCs/>
          <w:i/>
          <w:color w:val="000000"/>
        </w:rPr>
        <w:t>for risk assessment</w:t>
      </w:r>
    </w:p>
    <w:p w14:paraId="311D5535" w14:textId="200EBE82" w:rsidR="00047621" w:rsidRPr="007C28E8" w:rsidRDefault="00047621" w:rsidP="0051267B">
      <w:pPr>
        <w:widowControl w:val="0"/>
        <w:autoSpaceDE w:val="0"/>
        <w:autoSpaceDN w:val="0"/>
        <w:adjustRightInd w:val="0"/>
        <w:spacing w:after="0"/>
        <w:ind w:left="-1134"/>
        <w:rPr>
          <w:rFonts w:eastAsia="Calibri"/>
          <w:bCs/>
          <w:i/>
          <w:color w:val="000000"/>
        </w:rPr>
      </w:pPr>
      <w:r w:rsidRPr="007C28E8">
        <w:rPr>
          <w:rFonts w:eastAsia="Calibri"/>
          <w:bCs/>
          <w:i/>
          <w:color w:val="000000"/>
        </w:rPr>
        <w:t>-</w:t>
      </w:r>
      <w:r w:rsidR="00F67205" w:rsidRPr="007C28E8">
        <w:rPr>
          <w:rFonts w:eastAsia="Calibri"/>
          <w:bCs/>
          <w:i/>
          <w:color w:val="000000"/>
        </w:rPr>
        <w:t xml:space="preserve"> </w:t>
      </w:r>
      <w:r w:rsidRPr="007C28E8">
        <w:rPr>
          <w:rFonts w:eastAsia="Calibri"/>
          <w:bCs/>
          <w:i/>
          <w:color w:val="000000"/>
        </w:rPr>
        <w:t xml:space="preserve">to prevent and investigate criminal offences, in particular we use data analyses to identify evidence that could indicate insurance abuse. </w:t>
      </w:r>
    </w:p>
    <w:p w14:paraId="4D5A9038" w14:textId="77777777" w:rsidR="00047621" w:rsidRPr="007C28E8" w:rsidRDefault="00047621" w:rsidP="0051267B">
      <w:pPr>
        <w:widowControl w:val="0"/>
        <w:autoSpaceDE w:val="0"/>
        <w:autoSpaceDN w:val="0"/>
        <w:adjustRightInd w:val="0"/>
        <w:spacing w:after="0"/>
        <w:ind w:left="-1134"/>
        <w:rPr>
          <w:rFonts w:eastAsia="Calibri"/>
          <w:b/>
          <w:i/>
        </w:rPr>
      </w:pPr>
      <w:r w:rsidRPr="007C28E8">
        <w:rPr>
          <w:rFonts w:eastAsia="Calibri"/>
          <w:b/>
          <w:i/>
        </w:rPr>
        <w:t>Right of objection</w:t>
      </w:r>
    </w:p>
    <w:p w14:paraId="265B9680" w14:textId="77777777" w:rsidR="00047621" w:rsidRPr="007C28E8" w:rsidRDefault="00047621" w:rsidP="0051267B">
      <w:pPr>
        <w:widowControl w:val="0"/>
        <w:autoSpaceDE w:val="0"/>
        <w:autoSpaceDN w:val="0"/>
        <w:adjustRightInd w:val="0"/>
        <w:spacing w:after="0"/>
        <w:ind w:left="-1134"/>
        <w:rPr>
          <w:rFonts w:eastAsia="Calibri"/>
          <w:b/>
          <w:i/>
        </w:rPr>
      </w:pPr>
      <w:r w:rsidRPr="007C28E8">
        <w:rPr>
          <w:rFonts w:eastAsia="Calibri"/>
          <w:b/>
          <w:i/>
        </w:rPr>
        <w:t>If we process your data to protect legitimate interests, you can object to such processing if your particular situation gives rise to reasons which speak against the processing of the data.</w:t>
      </w:r>
    </w:p>
    <w:p w14:paraId="22A98465" w14:textId="77777777" w:rsidR="00047621" w:rsidRPr="007C28E8" w:rsidRDefault="00047621" w:rsidP="0051267B">
      <w:pPr>
        <w:autoSpaceDE w:val="0"/>
        <w:autoSpaceDN w:val="0"/>
        <w:adjustRightInd w:val="0"/>
        <w:spacing w:after="0"/>
        <w:ind w:left="-1134"/>
        <w:rPr>
          <w:rFonts w:eastAsia="Calibri"/>
          <w:i/>
        </w:rPr>
      </w:pPr>
      <w:r w:rsidRPr="007C28E8">
        <w:rPr>
          <w:rFonts w:eastAsia="Calibri"/>
          <w:i/>
        </w:rPr>
        <w:t>In addition, we process your personal data to fulfil legal obligations. These include, for example, regulatory requirements, commercial and tax retention obligations or our duty to advise. In this case, the legal basis for processing is the respective statutory provisions in conjunction with Art. 6 para. 1 c) GDPR.</w:t>
      </w:r>
    </w:p>
    <w:p w14:paraId="5C48CCA3"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Recipient of personal data</w:t>
      </w:r>
    </w:p>
    <w:p w14:paraId="6FDF8106" w14:textId="77777777" w:rsidR="00047621" w:rsidRPr="007C28E8" w:rsidRDefault="00047621" w:rsidP="0051267B">
      <w:pPr>
        <w:autoSpaceDE w:val="0"/>
        <w:autoSpaceDN w:val="0"/>
        <w:adjustRightInd w:val="0"/>
        <w:spacing w:after="0"/>
        <w:ind w:left="-1134"/>
        <w:rPr>
          <w:rFonts w:eastAsia="Calibri"/>
          <w:bCs/>
          <w:i/>
          <w:u w:val="single"/>
        </w:rPr>
      </w:pPr>
      <w:r w:rsidRPr="007C28E8">
        <w:rPr>
          <w:rFonts w:eastAsia="Calibri"/>
          <w:bCs/>
          <w:i/>
          <w:u w:val="single"/>
        </w:rPr>
        <w:t>Capacity providers:</w:t>
      </w:r>
    </w:p>
    <w:p w14:paraId="6C65AE06" w14:textId="77777777" w:rsidR="00047621" w:rsidRPr="007C28E8" w:rsidRDefault="00047621" w:rsidP="0051267B">
      <w:pPr>
        <w:autoSpaceDE w:val="0"/>
        <w:autoSpaceDN w:val="0"/>
        <w:adjustRightInd w:val="0"/>
        <w:spacing w:after="0"/>
        <w:ind w:left="-1134"/>
        <w:rPr>
          <w:rFonts w:eastAsia="Calibri"/>
          <w:bCs/>
          <w:i/>
        </w:rPr>
      </w:pPr>
      <w:r w:rsidRPr="007C28E8">
        <w:rPr>
          <w:rFonts w:eastAsia="Calibri"/>
          <w:bCs/>
          <w:i/>
        </w:rPr>
        <w:t xml:space="preserve">As an authorized underwriter agency (MGA - Managing General Agent), we work with insurance companies that provide insurance capacity for your contracts. In order to do this, it may be necessary to transfer your contract and, if applicable, loss data to this insurance company so that it can form its own picture of the risk or the insured event. In addition, it is possible for the insurance company to support our company in risk or performance assessment and in the evaluation of procedures on the basis of its special expertise. We transmit your data to the insurance company only to the extent necessary for the fulfilment of our insurance contract with you or to the extent necessary to protect our legitimate interests. </w:t>
      </w:r>
    </w:p>
    <w:p w14:paraId="13D21D49"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t>Co-insurer:</w:t>
      </w:r>
    </w:p>
    <w:p w14:paraId="7EBA2BCB" w14:textId="77777777" w:rsidR="00047621" w:rsidRPr="007C28E8" w:rsidRDefault="00047621" w:rsidP="008F5311">
      <w:pPr>
        <w:autoSpaceDE w:val="0"/>
        <w:autoSpaceDN w:val="0"/>
        <w:adjustRightInd w:val="0"/>
        <w:ind w:left="-1134"/>
        <w:rPr>
          <w:rFonts w:eastAsia="Calibri"/>
          <w:i/>
        </w:rPr>
      </w:pPr>
      <w:r w:rsidRPr="007C28E8">
        <w:rPr>
          <w:rFonts w:eastAsia="Calibri"/>
          <w:i/>
        </w:rPr>
        <w:t>We insure risks assumed by us in individual cases together with other insurers (co-insurers). For this purpose, it may be necessary to transfer your contract and, if applicable, loss data to a co-insurer so that the latter can form its own picture of the risk or the insured event. In addition, it is possible that the co-insurer(s) may support our company in the risk or performance assessment and in the evaluation of procedures on the basis of his (their) special expertise.</w:t>
      </w:r>
    </w:p>
    <w:p w14:paraId="472F0661" w14:textId="77777777" w:rsidR="00047621" w:rsidRPr="007C28E8" w:rsidRDefault="00047621" w:rsidP="008F5311">
      <w:pPr>
        <w:autoSpaceDE w:val="0"/>
        <w:autoSpaceDN w:val="0"/>
        <w:adjustRightInd w:val="0"/>
        <w:ind w:left="-1134"/>
        <w:rPr>
          <w:rFonts w:eastAsia="Calibri"/>
          <w:i/>
        </w:rPr>
      </w:pPr>
      <w:r w:rsidRPr="007C28E8">
        <w:rPr>
          <w:rFonts w:eastAsia="Calibri"/>
          <w:i/>
        </w:rPr>
        <w:t>We transfer your data to the co-insurer(s) only insofar as this is necessary for the fulfilment of our insurance contract with you.</w:t>
      </w:r>
    </w:p>
    <w:p w14:paraId="721485FC"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lastRenderedPageBreak/>
        <w:t xml:space="preserve">Broker: </w:t>
      </w:r>
    </w:p>
    <w:p w14:paraId="18651115" w14:textId="77777777" w:rsidR="00047621" w:rsidRPr="007C28E8" w:rsidRDefault="00047621" w:rsidP="0051267B">
      <w:pPr>
        <w:autoSpaceDE w:val="0"/>
        <w:autoSpaceDN w:val="0"/>
        <w:adjustRightInd w:val="0"/>
        <w:spacing w:after="0"/>
        <w:ind w:left="-1134"/>
        <w:rPr>
          <w:rFonts w:eastAsia="Calibri"/>
          <w:i/>
        </w:rPr>
      </w:pPr>
      <w:r w:rsidRPr="007C28E8">
        <w:rPr>
          <w:rFonts w:eastAsia="Calibri"/>
          <w:i/>
        </w:rPr>
        <w:t>If you are supervised by broker, the broker processes the data required to conclude and execute the contract. The broker passes this data on to us. We also transmit data to your broker if the broker requires this information for your support and advice in your insurance matters.</w:t>
      </w:r>
    </w:p>
    <w:p w14:paraId="784D01E8"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t xml:space="preserve">Data processing in the DUAL: </w:t>
      </w:r>
    </w:p>
    <w:p w14:paraId="3D4F12B9"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rPr>
        <w:t>Within DUAL, certain tasks in data processing are performed centrally. If you are insured with one or more DUAL companies, your data can therefore be processed by a DUAL company. For example, to manage addresses, for customer service, for marketing purposes, for contract and service processing, for collections and disbursements or for joint mail processing</w:t>
      </w:r>
      <w:r w:rsidRPr="007C28E8">
        <w:rPr>
          <w:rFonts w:eastAsia="Calibri"/>
          <w:i/>
          <w:u w:val="single"/>
        </w:rPr>
        <w:t>.</w:t>
      </w:r>
    </w:p>
    <w:p w14:paraId="1D8E1D59"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t>External service providers</w:t>
      </w:r>
    </w:p>
    <w:p w14:paraId="7008A683" w14:textId="77777777" w:rsidR="00047621" w:rsidRPr="007C28E8" w:rsidRDefault="00047621" w:rsidP="0051267B">
      <w:pPr>
        <w:autoSpaceDE w:val="0"/>
        <w:autoSpaceDN w:val="0"/>
        <w:adjustRightInd w:val="0"/>
        <w:spacing w:after="0"/>
        <w:ind w:left="-1134"/>
        <w:rPr>
          <w:rFonts w:eastAsia="Calibri"/>
          <w:i/>
        </w:rPr>
      </w:pPr>
      <w:r w:rsidRPr="007C28E8">
        <w:rPr>
          <w:rFonts w:eastAsia="Calibri"/>
          <w:i/>
        </w:rPr>
        <w:t>We work together with selected external service providers to fulfil our contractual and legal obligations. This may be necessary, for example, in the context of claims settlement for legal reasons.</w:t>
      </w:r>
    </w:p>
    <w:p w14:paraId="16E8DEDC"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t xml:space="preserve">Other recipients: </w:t>
      </w:r>
    </w:p>
    <w:p w14:paraId="7EBA6DB8"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i/>
        </w:rPr>
        <w:t>In addition, we may be obliged to transfer your personal data to other recipients, such as public authorities to fulfil legal notification obligations (e.g. social insurance carriers or tax authorities).</w:t>
      </w:r>
    </w:p>
    <w:p w14:paraId="511016D7"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Sources of data</w:t>
      </w:r>
    </w:p>
    <w:p w14:paraId="71491EA1" w14:textId="77777777" w:rsidR="00047621" w:rsidRPr="007C28E8" w:rsidRDefault="00047621" w:rsidP="0051267B">
      <w:pPr>
        <w:autoSpaceDE w:val="0"/>
        <w:autoSpaceDN w:val="0"/>
        <w:adjustRightInd w:val="0"/>
        <w:spacing w:after="0"/>
        <w:ind w:left="-1134"/>
        <w:rPr>
          <w:rFonts w:eastAsia="Calibri"/>
          <w:bCs/>
          <w:i/>
          <w:u w:val="single"/>
        </w:rPr>
      </w:pPr>
      <w:r w:rsidRPr="007C28E8">
        <w:rPr>
          <w:rFonts w:eastAsia="Calibri"/>
          <w:bCs/>
          <w:i/>
          <w:u w:val="single"/>
        </w:rPr>
        <w:t>General</w:t>
      </w:r>
    </w:p>
    <w:p w14:paraId="1D28EF3E" w14:textId="77777777" w:rsidR="00047621" w:rsidRPr="007C28E8" w:rsidRDefault="00047621" w:rsidP="0051267B">
      <w:pPr>
        <w:autoSpaceDE w:val="0"/>
        <w:autoSpaceDN w:val="0"/>
        <w:adjustRightInd w:val="0"/>
        <w:spacing w:after="0"/>
        <w:ind w:left="-1134"/>
        <w:rPr>
          <w:rFonts w:eastAsia="Calibri"/>
          <w:bCs/>
          <w:i/>
        </w:rPr>
      </w:pPr>
      <w:r w:rsidRPr="007C28E8">
        <w:rPr>
          <w:rFonts w:eastAsia="Calibri"/>
          <w:bCs/>
          <w:i/>
        </w:rPr>
        <w:t>For the purpose of risk assessment, contract settlement or claims settlement, personal data may be processed from various sources. The source may be, for example, the broker, the policyholder, the insured person, a claimant, the Internet, sanctions lists, other insurance market participants, lawyers, authorities or credit bureaus.</w:t>
      </w:r>
    </w:p>
    <w:p w14:paraId="466ECE9A" w14:textId="77777777" w:rsidR="00047621" w:rsidRPr="007C28E8" w:rsidRDefault="00047621" w:rsidP="0051267B">
      <w:pPr>
        <w:autoSpaceDE w:val="0"/>
        <w:autoSpaceDN w:val="0"/>
        <w:adjustRightInd w:val="0"/>
        <w:spacing w:after="0"/>
        <w:ind w:left="-1134"/>
        <w:rPr>
          <w:rFonts w:eastAsia="Calibri"/>
          <w:i/>
          <w:u w:val="single"/>
        </w:rPr>
      </w:pPr>
      <w:r w:rsidRPr="007C28E8">
        <w:rPr>
          <w:rFonts w:eastAsia="Calibri"/>
          <w:i/>
          <w:u w:val="single"/>
        </w:rPr>
        <w:t xml:space="preserve">Data exchange with your employer </w:t>
      </w:r>
    </w:p>
    <w:p w14:paraId="23F8C2D0" w14:textId="77777777" w:rsidR="00047621" w:rsidRPr="007C28E8" w:rsidRDefault="00047621" w:rsidP="0051267B">
      <w:pPr>
        <w:autoSpaceDE w:val="0"/>
        <w:autoSpaceDN w:val="0"/>
        <w:adjustRightInd w:val="0"/>
        <w:spacing w:after="0"/>
        <w:ind w:left="-1134"/>
        <w:rPr>
          <w:rFonts w:eastAsia="Calibri"/>
          <w:i/>
        </w:rPr>
      </w:pPr>
      <w:r w:rsidRPr="007C28E8">
        <w:rPr>
          <w:rFonts w:eastAsia="Calibri"/>
          <w:i/>
        </w:rPr>
        <w:t>If your employer takes out group insurance with us for you as an employee, he registers you for insurance. He will tell us your name, your address, your date of birth and your bad.</w:t>
      </w:r>
    </w:p>
    <w:p w14:paraId="19566960"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 xml:space="preserve">Transmission of personal data outside Europe </w:t>
      </w:r>
    </w:p>
    <w:p w14:paraId="23154A1D" w14:textId="77777777" w:rsidR="00047621" w:rsidRPr="007C28E8" w:rsidRDefault="00047621" w:rsidP="0051267B">
      <w:pPr>
        <w:autoSpaceDE w:val="0"/>
        <w:autoSpaceDN w:val="0"/>
        <w:adjustRightInd w:val="0"/>
        <w:spacing w:after="0"/>
        <w:ind w:left="-1134"/>
        <w:rPr>
          <w:rFonts w:eastAsia="Calibri"/>
          <w:bCs/>
          <w:i/>
        </w:rPr>
      </w:pPr>
      <w:r w:rsidRPr="007C28E8">
        <w:rPr>
          <w:rFonts w:eastAsia="Calibri"/>
          <w:bCs/>
          <w:i/>
        </w:rPr>
        <w:t>Should we transfer personal data to service providers outside the European Economic Area (EEA), this will only take place if the third country has been confirmed an appropriate level of data protection by the EU Commission. In addition, this is permitted if other appropriate data protection guarantees (e.g. binding internal company data protection regulations or EU standard contractual clauses) exist.</w:t>
      </w:r>
    </w:p>
    <w:p w14:paraId="02C903E5"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Storage of personal data</w:t>
      </w:r>
    </w:p>
    <w:p w14:paraId="74A714FF" w14:textId="77777777" w:rsidR="00047621" w:rsidRPr="007C28E8" w:rsidRDefault="00047621" w:rsidP="0051267B">
      <w:pPr>
        <w:autoSpaceDE w:val="0"/>
        <w:autoSpaceDN w:val="0"/>
        <w:adjustRightInd w:val="0"/>
        <w:spacing w:after="0"/>
        <w:ind w:left="-1134"/>
        <w:rPr>
          <w:rFonts w:eastAsia="Calibri"/>
          <w:bCs/>
          <w:i/>
        </w:rPr>
      </w:pPr>
      <w:r w:rsidRPr="007C28E8">
        <w:rPr>
          <w:rFonts w:eastAsia="Calibri"/>
          <w:bCs/>
          <w:i/>
        </w:rPr>
        <w:t xml:space="preserve">We store your data during the term of your contract. Furthermore, we store your personal data for the fulfilment of legal proof and storage obligations. These are derived from the German Commercial Code, the Tax Code and the Money Laundering Act, among others. The retention periods are up to ten years. If the insurance contract is not concluded, we will delete your application data three years after submission of the application. In the case of temporary storage, the storage period is 10 years. </w:t>
      </w:r>
    </w:p>
    <w:p w14:paraId="48DD6C4E"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Rights of the person concerned</w:t>
      </w:r>
    </w:p>
    <w:p w14:paraId="7190CBDE" w14:textId="77777777" w:rsidR="00047621" w:rsidRPr="007C28E8" w:rsidRDefault="00047621" w:rsidP="0051267B">
      <w:pPr>
        <w:autoSpaceDE w:val="0"/>
        <w:autoSpaceDN w:val="0"/>
        <w:adjustRightInd w:val="0"/>
        <w:spacing w:after="0"/>
        <w:ind w:left="-1134"/>
        <w:rPr>
          <w:rFonts w:eastAsia="Calibri"/>
          <w:i/>
        </w:rPr>
      </w:pPr>
      <w:r w:rsidRPr="007C28E8">
        <w:rPr>
          <w:rFonts w:eastAsia="Calibri"/>
          <w:bCs/>
          <w:i/>
        </w:rPr>
        <w:t>In addition to the right of objection, you have a right to information, correction and deletion of your data and to restriction of processing. On request, we provide you with the data provided by you in a structured, common and machine-readable format. If you wish to view data or change anything, please contact the above address.</w:t>
      </w:r>
      <w:r w:rsidRPr="007C28E8">
        <w:rPr>
          <w:rFonts w:eastAsia="Calibri"/>
          <w:i/>
        </w:rPr>
        <w:t xml:space="preserve"> </w:t>
      </w:r>
    </w:p>
    <w:p w14:paraId="5AE9F430" w14:textId="77777777" w:rsidR="00047621" w:rsidRPr="007C28E8" w:rsidRDefault="00047621" w:rsidP="0051267B">
      <w:pPr>
        <w:autoSpaceDE w:val="0"/>
        <w:autoSpaceDN w:val="0"/>
        <w:adjustRightInd w:val="0"/>
        <w:spacing w:after="0"/>
        <w:ind w:left="-1134"/>
        <w:rPr>
          <w:rFonts w:eastAsia="Calibri"/>
          <w:b/>
          <w:bCs/>
          <w:i/>
        </w:rPr>
      </w:pPr>
      <w:r w:rsidRPr="007C28E8">
        <w:rPr>
          <w:rFonts w:eastAsia="Calibri"/>
          <w:b/>
          <w:bCs/>
          <w:i/>
        </w:rPr>
        <w:t>Right of appeal</w:t>
      </w:r>
    </w:p>
    <w:p w14:paraId="5C49CF0B" w14:textId="77777777" w:rsidR="00047621" w:rsidRPr="007C28E8" w:rsidRDefault="00047621" w:rsidP="0051267B">
      <w:pPr>
        <w:autoSpaceDE w:val="0"/>
        <w:autoSpaceDN w:val="0"/>
        <w:adjustRightInd w:val="0"/>
        <w:spacing w:after="0"/>
        <w:ind w:left="-1134"/>
        <w:rPr>
          <w:rFonts w:eastAsia="Calibri"/>
          <w:bCs/>
          <w:i/>
        </w:rPr>
      </w:pPr>
      <w:r w:rsidRPr="007C28E8">
        <w:rPr>
          <w:rFonts w:eastAsia="Calibri"/>
          <w:bCs/>
          <w:i/>
        </w:rPr>
        <w:t xml:space="preserve">You have the option of contacting the data protection officer mentioned above or a data protection supervisory authority. The data protection supervisory authority responsible for us is: </w:t>
      </w:r>
    </w:p>
    <w:p w14:paraId="1698D1A2" w14:textId="77777777" w:rsidR="00047621" w:rsidRPr="007C28E8" w:rsidRDefault="00047621" w:rsidP="0051267B">
      <w:pPr>
        <w:autoSpaceDE w:val="0"/>
        <w:autoSpaceDN w:val="0"/>
        <w:adjustRightInd w:val="0"/>
        <w:spacing w:before="0" w:after="0"/>
        <w:ind w:left="-1134"/>
        <w:rPr>
          <w:rFonts w:eastAsia="Calibri"/>
          <w:bCs/>
          <w:i/>
        </w:rPr>
      </w:pPr>
    </w:p>
    <w:p w14:paraId="7FAEF842" w14:textId="77777777" w:rsidR="00047621" w:rsidRPr="007C28E8" w:rsidRDefault="00047621" w:rsidP="0051267B">
      <w:pPr>
        <w:autoSpaceDE w:val="0"/>
        <w:autoSpaceDN w:val="0"/>
        <w:adjustRightInd w:val="0"/>
        <w:spacing w:before="0" w:after="0"/>
        <w:ind w:left="-1134"/>
        <w:rPr>
          <w:rFonts w:eastAsia="Calibri"/>
          <w:bCs/>
          <w:i/>
        </w:rPr>
      </w:pPr>
      <w:r w:rsidRPr="007C28E8">
        <w:rPr>
          <w:rFonts w:eastAsia="Calibri"/>
          <w:bCs/>
          <w:i/>
        </w:rPr>
        <w:t xml:space="preserve">State Commissioner for Data Protection and Freedom of Information </w:t>
      </w:r>
    </w:p>
    <w:p w14:paraId="7676F5F5" w14:textId="77777777" w:rsidR="00047621" w:rsidRPr="007C28E8" w:rsidRDefault="00047621" w:rsidP="0051267B">
      <w:pPr>
        <w:autoSpaceDE w:val="0"/>
        <w:autoSpaceDN w:val="0"/>
        <w:adjustRightInd w:val="0"/>
        <w:spacing w:before="0" w:after="0"/>
        <w:ind w:left="-1134"/>
        <w:rPr>
          <w:rFonts w:eastAsia="Calibri"/>
          <w:bCs/>
          <w:i/>
        </w:rPr>
      </w:pPr>
      <w:r w:rsidRPr="007C28E8">
        <w:rPr>
          <w:rFonts w:eastAsia="Calibri"/>
          <w:bCs/>
          <w:i/>
        </w:rPr>
        <w:t xml:space="preserve">North Rhine-Westphalia </w:t>
      </w:r>
    </w:p>
    <w:p w14:paraId="4CC6AD1E" w14:textId="77777777" w:rsidR="00047621" w:rsidRPr="007C28E8" w:rsidRDefault="00047621" w:rsidP="0051267B">
      <w:pPr>
        <w:autoSpaceDE w:val="0"/>
        <w:autoSpaceDN w:val="0"/>
        <w:adjustRightInd w:val="0"/>
        <w:spacing w:before="0" w:after="0"/>
        <w:ind w:left="-1134"/>
        <w:rPr>
          <w:sz w:val="22"/>
          <w:szCs w:val="22"/>
        </w:rPr>
      </w:pPr>
      <w:r w:rsidRPr="007C28E8">
        <w:rPr>
          <w:rFonts w:eastAsia="Calibri"/>
          <w:bCs/>
          <w:i/>
        </w:rPr>
        <w:t>Kavalleriestraße 2-4, 40213 Düsseldorf, Germany</w:t>
      </w:r>
    </w:p>
    <w:p w14:paraId="7CEC2E23" w14:textId="77777777" w:rsidR="00047621" w:rsidRPr="007C28E8" w:rsidRDefault="00047621" w:rsidP="008F5311">
      <w:pPr>
        <w:pStyle w:val="KeyMsgHead"/>
        <w:ind w:left="-1134"/>
        <w:rPr>
          <w:rFonts w:asciiTheme="minorHAnsi" w:hAnsiTheme="minorHAnsi"/>
          <w:szCs w:val="20"/>
        </w:rPr>
      </w:pPr>
    </w:p>
    <w:p w14:paraId="22AAE37F" w14:textId="77777777" w:rsidR="00980B53" w:rsidRPr="006029CF" w:rsidRDefault="00980B53" w:rsidP="005221FB">
      <w:pPr>
        <w:ind w:left="-851"/>
        <w:rPr>
          <w:lang w:val="de-DE"/>
        </w:rPr>
      </w:pPr>
    </w:p>
    <w:sectPr w:rsidR="00980B53" w:rsidRPr="006029CF" w:rsidSect="00B30733">
      <w:footerReference w:type="default" r:id="rId12"/>
      <w:pgSz w:w="11906" w:h="16838" w:code="9"/>
      <w:pgMar w:top="1021" w:right="1134" w:bottom="1701" w:left="2268"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8057" w14:textId="77777777" w:rsidR="00020846" w:rsidRPr="007C28E8" w:rsidRDefault="00020846" w:rsidP="00B7403B">
      <w:pPr>
        <w:spacing w:line="240" w:lineRule="auto"/>
      </w:pPr>
      <w:r w:rsidRPr="007C28E8">
        <w:separator/>
      </w:r>
    </w:p>
  </w:endnote>
  <w:endnote w:type="continuationSeparator" w:id="0">
    <w:p w14:paraId="2A9D756C" w14:textId="77777777" w:rsidR="00020846" w:rsidRPr="007C28E8" w:rsidRDefault="00020846" w:rsidP="00B7403B">
      <w:pPr>
        <w:spacing w:line="240" w:lineRule="auto"/>
      </w:pPr>
      <w:r w:rsidRPr="007C2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1559" w:type="dxa"/>
      <w:tblBorders>
        <w:top w:val="single" w:sz="48" w:space="0" w:color="F9423A" w:themeColor="accent2"/>
      </w:tblBorders>
      <w:tblLayout w:type="fixed"/>
      <w:tblCellMar>
        <w:top w:w="85" w:type="dxa"/>
        <w:left w:w="0" w:type="dxa"/>
        <w:right w:w="0" w:type="dxa"/>
      </w:tblCellMar>
      <w:tblLook w:val="04A0" w:firstRow="1" w:lastRow="0" w:firstColumn="1" w:lastColumn="0" w:noHBand="0" w:noVBand="1"/>
    </w:tblPr>
    <w:tblGrid>
      <w:gridCol w:w="9640"/>
      <w:gridCol w:w="851"/>
    </w:tblGrid>
    <w:tr w:rsidR="00914A7B" w:rsidRPr="007C28E8" w14:paraId="38930C17" w14:textId="77777777" w:rsidTr="00B30733">
      <w:tc>
        <w:tcPr>
          <w:tcW w:w="9640" w:type="dxa"/>
        </w:tcPr>
        <w:p w14:paraId="69F4F650" w14:textId="76295C7E" w:rsidR="00914A7B" w:rsidRPr="007C28E8" w:rsidRDefault="00914A7B" w:rsidP="00B35C88">
          <w:pPr>
            <w:pStyle w:val="Zpat"/>
            <w:rPr>
              <w:lang w:val="en-US"/>
            </w:rPr>
          </w:pPr>
          <w:r w:rsidRPr="007C28E8">
            <w:rPr>
              <w:lang w:val="en-US"/>
            </w:rPr>
            <w:t>DUAL</w:t>
          </w:r>
          <w:r w:rsidRPr="007C28E8">
            <w:rPr>
              <w:lang w:val="en-US"/>
            </w:rPr>
            <w:fldChar w:fldCharType="begin"/>
          </w:r>
          <w:r w:rsidRPr="007C28E8">
            <w:rPr>
              <w:lang w:val="en-US"/>
            </w:rPr>
            <w:instrText xml:space="preserve"> IF "</w:instrText>
          </w:r>
          <w:r w:rsidR="00B06C47" w:rsidRPr="007C28E8">
            <w:rPr>
              <w:lang w:val="en-US"/>
            </w:rPr>
            <w:fldChar w:fldCharType="begin"/>
          </w:r>
          <w:r w:rsidR="00B06C47" w:rsidRPr="007C28E8">
            <w:rPr>
              <w:lang w:val="en-US"/>
            </w:rPr>
            <w:instrText xml:space="preserve"> STYLEREF  ±CoverTitle  </w:instrText>
          </w:r>
          <w:r w:rsidR="00B06C47" w:rsidRPr="007C28E8">
            <w:rPr>
              <w:lang w:val="en-US"/>
            </w:rPr>
            <w:fldChar w:fldCharType="separate"/>
          </w:r>
          <w:r w:rsidR="00C17E61">
            <w:rPr>
              <w:noProof/>
              <w:lang w:val="en-US"/>
            </w:rPr>
            <w:instrText>D&amp;O pojistná smlouva (Insurance Policy)</w:instrText>
          </w:r>
          <w:r w:rsidR="00B06C47" w:rsidRPr="007C28E8">
            <w:rPr>
              <w:lang w:val="en-US"/>
            </w:rPr>
            <w:fldChar w:fldCharType="end"/>
          </w:r>
          <w:r w:rsidRPr="007C28E8">
            <w:rPr>
              <w:lang w:val="en-US"/>
            </w:rPr>
            <w:instrText xml:space="preserve">" = "Error*" "" "  </w:instrText>
          </w:r>
          <w:r w:rsidRPr="007C28E8">
            <w:rPr>
              <w:rFonts w:cstheme="minorHAnsi"/>
              <w:lang w:val="en-US"/>
            </w:rPr>
            <w:instrText>│</w:instrText>
          </w:r>
          <w:r w:rsidRPr="007C28E8">
            <w:rPr>
              <w:lang w:val="en-US"/>
            </w:rPr>
            <w:instrText xml:space="preserve">  </w:instrText>
          </w:r>
          <w:r w:rsidR="00B06C47" w:rsidRPr="007C28E8">
            <w:rPr>
              <w:lang w:val="en-US"/>
            </w:rPr>
            <w:fldChar w:fldCharType="begin"/>
          </w:r>
          <w:r w:rsidR="00B06C47" w:rsidRPr="007C28E8">
            <w:rPr>
              <w:lang w:val="en-US"/>
            </w:rPr>
            <w:instrText xml:space="preserve"> STYLEREF  ±CoverTitle  </w:instrText>
          </w:r>
          <w:r w:rsidR="00B06C47" w:rsidRPr="007C28E8">
            <w:rPr>
              <w:lang w:val="en-US"/>
            </w:rPr>
            <w:fldChar w:fldCharType="separate"/>
          </w:r>
          <w:r w:rsidR="00C17E61">
            <w:rPr>
              <w:noProof/>
              <w:lang w:val="en-US"/>
            </w:rPr>
            <w:instrText>D&amp;O pojistná smlouva (Insurance Policy)</w:instrText>
          </w:r>
          <w:r w:rsidR="00B06C47" w:rsidRPr="007C28E8">
            <w:rPr>
              <w:lang w:val="en-US"/>
            </w:rPr>
            <w:fldChar w:fldCharType="end"/>
          </w:r>
          <w:r w:rsidRPr="007C28E8">
            <w:rPr>
              <w:lang w:val="en-US"/>
            </w:rPr>
            <w:instrText xml:space="preserve">" </w:instrText>
          </w:r>
          <w:r w:rsidRPr="007C28E8">
            <w:rPr>
              <w:lang w:val="en-US"/>
            </w:rPr>
            <w:fldChar w:fldCharType="separate"/>
          </w:r>
          <w:r w:rsidR="00C17E61" w:rsidRPr="007C28E8">
            <w:rPr>
              <w:noProof/>
              <w:lang w:val="en-US"/>
            </w:rPr>
            <w:t xml:space="preserve">  </w:t>
          </w:r>
          <w:r w:rsidR="00C17E61" w:rsidRPr="007C28E8">
            <w:rPr>
              <w:rFonts w:cstheme="minorHAnsi"/>
              <w:noProof/>
              <w:lang w:val="en-US"/>
            </w:rPr>
            <w:t>│</w:t>
          </w:r>
          <w:r w:rsidR="00C17E61" w:rsidRPr="007C28E8">
            <w:rPr>
              <w:noProof/>
              <w:lang w:val="en-US"/>
            </w:rPr>
            <w:t xml:space="preserve">  </w:t>
          </w:r>
          <w:r w:rsidR="00C17E61">
            <w:rPr>
              <w:noProof/>
              <w:lang w:val="en-US"/>
            </w:rPr>
            <w:t>D&amp;O pojistná smlouva (Insurance Policy)</w:t>
          </w:r>
          <w:r w:rsidRPr="007C28E8">
            <w:rPr>
              <w:lang w:val="en-US"/>
            </w:rPr>
            <w:fldChar w:fldCharType="end"/>
          </w:r>
          <w:r w:rsidR="00220999" w:rsidRPr="007C28E8">
            <w:rPr>
              <w:lang w:val="en-US"/>
            </w:rPr>
            <w:t xml:space="preserve"> </w:t>
          </w:r>
          <w:r w:rsidR="00220999" w:rsidRPr="007C28E8">
            <w:rPr>
              <w:lang w:val="en-US"/>
            </w:rPr>
            <w:fldChar w:fldCharType="begin"/>
          </w:r>
          <w:r w:rsidR="00220999" w:rsidRPr="007C28E8">
            <w:rPr>
              <w:lang w:val="en-US"/>
            </w:rPr>
            <w:instrText xml:space="preserve"> STYLEREF  "Číslo Smlouvy"  \* MERGEFORMAT </w:instrText>
          </w:r>
          <w:r w:rsidR="00220999" w:rsidRPr="007C28E8">
            <w:rPr>
              <w:lang w:val="en-US"/>
            </w:rPr>
            <w:fldChar w:fldCharType="separate"/>
          </w:r>
          <w:r w:rsidR="00C17E61">
            <w:rPr>
              <w:noProof/>
              <w:lang w:val="en-US"/>
            </w:rPr>
            <w:t>DD1004220</w:t>
          </w:r>
          <w:r w:rsidR="00220999" w:rsidRPr="007C28E8">
            <w:rPr>
              <w:lang w:val="en-US"/>
            </w:rPr>
            <w:fldChar w:fldCharType="end"/>
          </w:r>
          <w:r w:rsidR="00450D28" w:rsidRPr="007C28E8">
            <w:rPr>
              <w:lang w:val="en-US"/>
            </w:rPr>
            <w:t xml:space="preserve"> </w:t>
          </w:r>
        </w:p>
      </w:tc>
      <w:tc>
        <w:tcPr>
          <w:tcW w:w="851" w:type="dxa"/>
        </w:tcPr>
        <w:p w14:paraId="759A393F" w14:textId="77777777" w:rsidR="00914A7B" w:rsidRPr="007C28E8" w:rsidRDefault="00914A7B" w:rsidP="00705E79">
          <w:pPr>
            <w:pStyle w:val="Zpat"/>
            <w:jc w:val="right"/>
            <w:rPr>
              <w:lang w:val="en-US"/>
            </w:rPr>
          </w:pPr>
          <w:r w:rsidRPr="007C28E8">
            <w:rPr>
              <w:lang w:val="en-US"/>
            </w:rPr>
            <w:fldChar w:fldCharType="begin"/>
          </w:r>
          <w:r w:rsidRPr="007C28E8">
            <w:rPr>
              <w:lang w:val="en-US"/>
            </w:rPr>
            <w:instrText xml:space="preserve"> PAGE   \* MERGEFORMAT </w:instrText>
          </w:r>
          <w:r w:rsidRPr="007C28E8">
            <w:rPr>
              <w:lang w:val="en-US"/>
            </w:rPr>
            <w:fldChar w:fldCharType="separate"/>
          </w:r>
          <w:r w:rsidRPr="007C28E8">
            <w:rPr>
              <w:lang w:val="en-US"/>
            </w:rPr>
            <w:t>17</w:t>
          </w:r>
          <w:r w:rsidRPr="007C28E8">
            <w:rPr>
              <w:lang w:val="en-US"/>
            </w:rPr>
            <w:fldChar w:fldCharType="end"/>
          </w:r>
        </w:p>
      </w:tc>
    </w:tr>
  </w:tbl>
  <w:p w14:paraId="7C439EE6" w14:textId="77777777" w:rsidR="00914A7B" w:rsidRPr="007C28E8" w:rsidRDefault="00914A7B" w:rsidP="00B35C88">
    <w:pPr>
      <w:pStyle w:val="Zpa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C75A0" w14:textId="77777777" w:rsidR="00020846" w:rsidRPr="007C28E8" w:rsidRDefault="00020846" w:rsidP="00B7403B">
      <w:pPr>
        <w:spacing w:line="240" w:lineRule="auto"/>
        <w:rPr>
          <w:color w:val="9D9D9D" w:themeColor="text2"/>
        </w:rPr>
      </w:pPr>
      <w:r w:rsidRPr="007C28E8">
        <w:rPr>
          <w:color w:val="9D9D9D" w:themeColor="text2"/>
        </w:rPr>
        <w:separator/>
      </w:r>
    </w:p>
  </w:footnote>
  <w:footnote w:type="continuationSeparator" w:id="0">
    <w:p w14:paraId="54FF065A" w14:textId="77777777" w:rsidR="00020846" w:rsidRPr="007C28E8" w:rsidRDefault="00020846" w:rsidP="00B7403B">
      <w:pPr>
        <w:spacing w:line="240" w:lineRule="auto"/>
        <w:rPr>
          <w:color w:val="9D9D9D" w:themeColor="text2"/>
        </w:rPr>
      </w:pPr>
      <w:r w:rsidRPr="007C28E8">
        <w:rPr>
          <w:color w:val="9D9D9D" w:themeColor="text2"/>
        </w:rPr>
        <w:continuationSeparator/>
      </w:r>
    </w:p>
  </w:footnote>
  <w:footnote w:type="continuationNotice" w:id="1">
    <w:p w14:paraId="599373C7" w14:textId="77777777" w:rsidR="00020846" w:rsidRPr="007C28E8" w:rsidRDefault="00020846">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040"/>
    <w:multiLevelType w:val="hybridMultilevel"/>
    <w:tmpl w:val="2648F81E"/>
    <w:lvl w:ilvl="0" w:tplc="9128534E">
      <w:start w:val="1"/>
      <w:numFmt w:val="decimal"/>
      <w:lvlText w:val="%1."/>
      <w:lvlJc w:val="left"/>
      <w:pPr>
        <w:ind w:left="-1908" w:hanging="360"/>
      </w:pPr>
      <w:rPr>
        <w:rFonts w:hint="default"/>
      </w:rPr>
    </w:lvl>
    <w:lvl w:ilvl="1" w:tplc="04050019" w:tentative="1">
      <w:start w:val="1"/>
      <w:numFmt w:val="lowerLetter"/>
      <w:lvlText w:val="%2."/>
      <w:lvlJc w:val="left"/>
      <w:pPr>
        <w:ind w:left="306" w:hanging="360"/>
      </w:pPr>
    </w:lvl>
    <w:lvl w:ilvl="2" w:tplc="0405001B" w:tentative="1">
      <w:start w:val="1"/>
      <w:numFmt w:val="lowerRoman"/>
      <w:lvlText w:val="%3."/>
      <w:lvlJc w:val="right"/>
      <w:pPr>
        <w:ind w:left="1026" w:hanging="180"/>
      </w:pPr>
    </w:lvl>
    <w:lvl w:ilvl="3" w:tplc="0405000F" w:tentative="1">
      <w:start w:val="1"/>
      <w:numFmt w:val="decimal"/>
      <w:lvlText w:val="%4."/>
      <w:lvlJc w:val="left"/>
      <w:pPr>
        <w:ind w:left="1746" w:hanging="360"/>
      </w:pPr>
    </w:lvl>
    <w:lvl w:ilvl="4" w:tplc="04050019" w:tentative="1">
      <w:start w:val="1"/>
      <w:numFmt w:val="lowerLetter"/>
      <w:lvlText w:val="%5."/>
      <w:lvlJc w:val="left"/>
      <w:pPr>
        <w:ind w:left="2466" w:hanging="360"/>
      </w:pPr>
    </w:lvl>
    <w:lvl w:ilvl="5" w:tplc="0405001B" w:tentative="1">
      <w:start w:val="1"/>
      <w:numFmt w:val="lowerRoman"/>
      <w:lvlText w:val="%6."/>
      <w:lvlJc w:val="right"/>
      <w:pPr>
        <w:ind w:left="3186" w:hanging="180"/>
      </w:pPr>
    </w:lvl>
    <w:lvl w:ilvl="6" w:tplc="0405000F" w:tentative="1">
      <w:start w:val="1"/>
      <w:numFmt w:val="decimal"/>
      <w:lvlText w:val="%7."/>
      <w:lvlJc w:val="left"/>
      <w:pPr>
        <w:ind w:left="3906" w:hanging="360"/>
      </w:pPr>
    </w:lvl>
    <w:lvl w:ilvl="7" w:tplc="04050019" w:tentative="1">
      <w:start w:val="1"/>
      <w:numFmt w:val="lowerLetter"/>
      <w:lvlText w:val="%8."/>
      <w:lvlJc w:val="left"/>
      <w:pPr>
        <w:ind w:left="4626" w:hanging="360"/>
      </w:pPr>
    </w:lvl>
    <w:lvl w:ilvl="8" w:tplc="0405001B" w:tentative="1">
      <w:start w:val="1"/>
      <w:numFmt w:val="lowerRoman"/>
      <w:lvlText w:val="%9."/>
      <w:lvlJc w:val="right"/>
      <w:pPr>
        <w:ind w:left="5346" w:hanging="180"/>
      </w:pPr>
    </w:lvl>
  </w:abstractNum>
  <w:abstractNum w:abstractNumId="1" w15:restartNumberingAfterBreak="0">
    <w:nsid w:val="04AE45A2"/>
    <w:multiLevelType w:val="multilevel"/>
    <w:tmpl w:val="EE62BAD8"/>
    <w:numStyleLink w:val="AppListStyle"/>
  </w:abstractNum>
  <w:abstractNum w:abstractNumId="2" w15:restartNumberingAfterBreak="0">
    <w:nsid w:val="08B82FB0"/>
    <w:multiLevelType w:val="multilevel"/>
    <w:tmpl w:val="7F16DF7C"/>
    <w:lvl w:ilvl="0">
      <w:start w:val="2"/>
      <w:numFmt w:val="decimal"/>
      <w:lvlText w:val="%1"/>
      <w:lvlJc w:val="left"/>
      <w:pPr>
        <w:ind w:left="375" w:hanging="375"/>
      </w:pPr>
      <w:rPr>
        <w:rFonts w:hint="default"/>
      </w:rPr>
    </w:lvl>
    <w:lvl w:ilvl="1">
      <w:start w:val="11"/>
      <w:numFmt w:val="decimal"/>
      <w:lvlText w:val="%1.%2"/>
      <w:lvlJc w:val="left"/>
      <w:pPr>
        <w:ind w:left="1185"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3" w15:restartNumberingAfterBreak="0">
    <w:nsid w:val="0D2F0939"/>
    <w:multiLevelType w:val="multilevel"/>
    <w:tmpl w:val="A8181944"/>
    <w:name w:val="SecHeadList6"/>
    <w:numStyleLink w:val="SecListStyle"/>
  </w:abstractNum>
  <w:abstractNum w:abstractNumId="4" w15:restartNumberingAfterBreak="0">
    <w:nsid w:val="12405159"/>
    <w:multiLevelType w:val="multilevel"/>
    <w:tmpl w:val="CA7C81FA"/>
    <w:lvl w:ilvl="0">
      <w:start w:val="1"/>
      <w:numFmt w:val="bullet"/>
      <w:lvlText w:val="•"/>
      <w:lvlJc w:val="left"/>
      <w:pPr>
        <w:tabs>
          <w:tab w:val="num" w:pos="170"/>
        </w:tabs>
        <w:ind w:left="170" w:hanging="170"/>
      </w:pPr>
      <w:rPr>
        <w:rFonts w:ascii="Aptos" w:hAnsi="Aptos" w:hint="default"/>
      </w:rPr>
    </w:lvl>
    <w:lvl w:ilvl="1">
      <w:start w:val="1"/>
      <w:numFmt w:val="bullet"/>
      <w:lvlText w:val="◦"/>
      <w:lvlJc w:val="left"/>
      <w:pPr>
        <w:tabs>
          <w:tab w:val="num" w:pos="340"/>
        </w:tabs>
        <w:ind w:left="340" w:hanging="170"/>
      </w:pPr>
      <w:rPr>
        <w:rFonts w:ascii="Arial" w:hAnsi="Arial" w:hint="default"/>
        <w:color w:val="000000" w:themeColor="text1"/>
      </w:rPr>
    </w:lvl>
    <w:lvl w:ilvl="2">
      <w:start w:val="1"/>
      <w:numFmt w:val="bullet"/>
      <w:lvlText w:val="▪"/>
      <w:lvlJc w:val="left"/>
      <w:pPr>
        <w:tabs>
          <w:tab w:val="num" w:pos="510"/>
        </w:tabs>
        <w:ind w:left="510" w:hanging="170"/>
      </w:pPr>
      <w:rPr>
        <w:rFonts w:ascii="Arial Narrow" w:hAnsi="Arial Narrow" w:hint="default"/>
        <w:color w:val="000000" w:themeColor="text1"/>
      </w:rPr>
    </w:lvl>
    <w:lvl w:ilvl="3">
      <w:start w:val="1"/>
      <w:numFmt w:val="bullet"/>
      <w:lvlText w:val="–"/>
      <w:lvlJc w:val="left"/>
      <w:pPr>
        <w:tabs>
          <w:tab w:val="num" w:pos="680"/>
        </w:tabs>
        <w:ind w:left="680" w:hanging="170"/>
      </w:pPr>
      <w:rPr>
        <w:rFonts w:ascii="Arial" w:hAnsi="Arial" w:hint="default"/>
        <w:color w:val="000000" w:themeColor="text1"/>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5" w15:restartNumberingAfterBreak="0">
    <w:nsid w:val="13C81562"/>
    <w:multiLevelType w:val="hybridMultilevel"/>
    <w:tmpl w:val="1E90BD1E"/>
    <w:lvl w:ilvl="0" w:tplc="D78EE40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EE2057"/>
    <w:multiLevelType w:val="multilevel"/>
    <w:tmpl w:val="A8181944"/>
    <w:name w:val="SecHeadList4"/>
    <w:numStyleLink w:val="SecListStyle"/>
  </w:abstractNum>
  <w:abstractNum w:abstractNumId="7" w15:restartNumberingAfterBreak="0">
    <w:nsid w:val="1A030C50"/>
    <w:multiLevelType w:val="multilevel"/>
    <w:tmpl w:val="A8181944"/>
    <w:numStyleLink w:val="SecListStyle"/>
  </w:abstractNum>
  <w:abstractNum w:abstractNumId="8" w15:restartNumberingAfterBreak="0">
    <w:nsid w:val="1A6D0294"/>
    <w:multiLevelType w:val="multilevel"/>
    <w:tmpl w:val="D9A418E2"/>
    <w:lvl w:ilvl="0">
      <w:start w:val="1"/>
      <w:numFmt w:val="bullet"/>
      <w:lvlText w:val="●"/>
      <w:lvlJc w:val="left"/>
      <w:pPr>
        <w:tabs>
          <w:tab w:val="num" w:pos="170"/>
        </w:tabs>
        <w:ind w:left="170" w:hanging="170"/>
      </w:pPr>
      <w:rPr>
        <w:rFonts w:ascii="Arial" w:hAnsi="Arial" w:hint="default"/>
      </w:rPr>
    </w:lvl>
    <w:lvl w:ilvl="1">
      <w:start w:val="1"/>
      <w:numFmt w:val="bullet"/>
      <w:lvlText w:val="•"/>
      <w:lvlJc w:val="left"/>
      <w:pPr>
        <w:tabs>
          <w:tab w:val="num" w:pos="340"/>
        </w:tabs>
        <w:ind w:left="340" w:hanging="170"/>
      </w:pPr>
      <w:rPr>
        <w:rFonts w:ascii="Arial" w:hAnsi="Arial" w:hint="default"/>
        <w:color w:val="3C0F11" w:themeColor="accent1"/>
      </w:rPr>
    </w:lvl>
    <w:lvl w:ilvl="2">
      <w:start w:val="1"/>
      <w:numFmt w:val="bullet"/>
      <w:lvlText w:val="–"/>
      <w:lvlJc w:val="left"/>
      <w:pPr>
        <w:tabs>
          <w:tab w:val="num" w:pos="510"/>
        </w:tabs>
        <w:ind w:left="510" w:hanging="170"/>
      </w:pPr>
      <w:rPr>
        <w:rFonts w:ascii="Arial" w:hAnsi="Arial" w:hint="default"/>
        <w:color w:val="3C0F11"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9" w15:restartNumberingAfterBreak="0">
    <w:nsid w:val="1F7163F6"/>
    <w:multiLevelType w:val="hybridMultilevel"/>
    <w:tmpl w:val="6408FD98"/>
    <w:lvl w:ilvl="0" w:tplc="0407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3C4344"/>
    <w:multiLevelType w:val="hybridMultilevel"/>
    <w:tmpl w:val="AB44C690"/>
    <w:lvl w:ilvl="0" w:tplc="FFDA158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CB1CFB"/>
    <w:multiLevelType w:val="hybridMultilevel"/>
    <w:tmpl w:val="3A72A91C"/>
    <w:lvl w:ilvl="0" w:tplc="ECA4F12A">
      <w:start w:val="1"/>
      <w:numFmt w:val="lowerRoman"/>
      <w:lvlText w:val="(%1)"/>
      <w:lvlJc w:val="left"/>
      <w:pPr>
        <w:ind w:left="1080" w:hanging="720"/>
      </w:pPr>
      <w:rPr>
        <w:rFonts w:hint="default"/>
      </w:rPr>
    </w:lvl>
    <w:lvl w:ilvl="1" w:tplc="ECA4F12A">
      <w:start w:val="1"/>
      <w:numFmt w:val="lowerRoman"/>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372B38"/>
    <w:multiLevelType w:val="multilevel"/>
    <w:tmpl w:val="E2824310"/>
    <w:lvl w:ilvl="0">
      <w:start w:val="1"/>
      <w:numFmt w:val="bullet"/>
      <w:lvlText w:val="●"/>
      <w:lvlJc w:val="left"/>
      <w:pPr>
        <w:tabs>
          <w:tab w:val="num" w:pos="340"/>
        </w:tabs>
        <w:ind w:left="340" w:hanging="340"/>
      </w:pPr>
      <w:rPr>
        <w:rFonts w:ascii="Arial" w:hAnsi="Aria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1"/>
        </w:tabs>
        <w:ind w:left="1021" w:hanging="341"/>
      </w:pPr>
      <w:rPr>
        <w:rFonts w:ascii="Times New Roman" w:hAnsi="Times New Roman" w:cs="Times New Roman"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E4004E6"/>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10F39B8"/>
    <w:multiLevelType w:val="hybridMultilevel"/>
    <w:tmpl w:val="ED7AEBA2"/>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15" w15:restartNumberingAfterBreak="0">
    <w:nsid w:val="341F40A0"/>
    <w:multiLevelType w:val="multilevel"/>
    <w:tmpl w:val="EF7892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363C682F"/>
    <w:multiLevelType w:val="hybridMultilevel"/>
    <w:tmpl w:val="5EFEA05A"/>
    <w:lvl w:ilvl="0" w:tplc="ECA4F12A">
      <w:start w:val="1"/>
      <w:numFmt w:val="lowerRoman"/>
      <w:lvlText w:val="(%1)"/>
      <w:lvlJc w:val="left"/>
      <w:pPr>
        <w:ind w:left="-131" w:hanging="360"/>
      </w:pPr>
      <w:rPr>
        <w:rFonts w:hint="default"/>
      </w:rPr>
    </w:lvl>
    <w:lvl w:ilvl="1" w:tplc="04050019" w:tentative="1">
      <w:start w:val="1"/>
      <w:numFmt w:val="lowerLetter"/>
      <w:lvlText w:val="%2."/>
      <w:lvlJc w:val="left"/>
      <w:pPr>
        <w:ind w:left="589" w:hanging="360"/>
      </w:pPr>
    </w:lvl>
    <w:lvl w:ilvl="2" w:tplc="0405001B" w:tentative="1">
      <w:start w:val="1"/>
      <w:numFmt w:val="lowerRoman"/>
      <w:lvlText w:val="%3."/>
      <w:lvlJc w:val="right"/>
      <w:pPr>
        <w:ind w:left="1309" w:hanging="180"/>
      </w:pPr>
    </w:lvl>
    <w:lvl w:ilvl="3" w:tplc="0405000F" w:tentative="1">
      <w:start w:val="1"/>
      <w:numFmt w:val="decimal"/>
      <w:lvlText w:val="%4."/>
      <w:lvlJc w:val="left"/>
      <w:pPr>
        <w:ind w:left="2029" w:hanging="360"/>
      </w:pPr>
    </w:lvl>
    <w:lvl w:ilvl="4" w:tplc="04050019" w:tentative="1">
      <w:start w:val="1"/>
      <w:numFmt w:val="lowerLetter"/>
      <w:lvlText w:val="%5."/>
      <w:lvlJc w:val="left"/>
      <w:pPr>
        <w:ind w:left="2749" w:hanging="360"/>
      </w:pPr>
    </w:lvl>
    <w:lvl w:ilvl="5" w:tplc="0405001B" w:tentative="1">
      <w:start w:val="1"/>
      <w:numFmt w:val="lowerRoman"/>
      <w:lvlText w:val="%6."/>
      <w:lvlJc w:val="right"/>
      <w:pPr>
        <w:ind w:left="3469" w:hanging="180"/>
      </w:pPr>
    </w:lvl>
    <w:lvl w:ilvl="6" w:tplc="0405000F" w:tentative="1">
      <w:start w:val="1"/>
      <w:numFmt w:val="decimal"/>
      <w:lvlText w:val="%7."/>
      <w:lvlJc w:val="left"/>
      <w:pPr>
        <w:ind w:left="4189" w:hanging="360"/>
      </w:pPr>
    </w:lvl>
    <w:lvl w:ilvl="7" w:tplc="04050019" w:tentative="1">
      <w:start w:val="1"/>
      <w:numFmt w:val="lowerLetter"/>
      <w:lvlText w:val="%8."/>
      <w:lvlJc w:val="left"/>
      <w:pPr>
        <w:ind w:left="4909" w:hanging="360"/>
      </w:pPr>
    </w:lvl>
    <w:lvl w:ilvl="8" w:tplc="0405001B" w:tentative="1">
      <w:start w:val="1"/>
      <w:numFmt w:val="lowerRoman"/>
      <w:lvlText w:val="%9."/>
      <w:lvlJc w:val="right"/>
      <w:pPr>
        <w:ind w:left="5629" w:hanging="180"/>
      </w:pPr>
    </w:lvl>
  </w:abstractNum>
  <w:abstractNum w:abstractNumId="17" w15:restartNumberingAfterBreak="0">
    <w:nsid w:val="39A06DBE"/>
    <w:multiLevelType w:val="multilevel"/>
    <w:tmpl w:val="2614100C"/>
    <w:lvl w:ilvl="0">
      <w:start w:val="1"/>
      <w:numFmt w:val="bullet"/>
      <w:lvlText w:val="●"/>
      <w:lvlJc w:val="left"/>
      <w:pPr>
        <w:tabs>
          <w:tab w:val="num" w:pos="170"/>
        </w:tabs>
        <w:ind w:left="170" w:hanging="170"/>
      </w:pPr>
      <w:rPr>
        <w:rFonts w:ascii="Arial" w:hAnsi="Arial" w:hint="default"/>
      </w:rPr>
    </w:lvl>
    <w:lvl w:ilvl="1">
      <w:start w:val="1"/>
      <w:numFmt w:val="bullet"/>
      <w:lvlText w:val="•"/>
      <w:lvlJc w:val="left"/>
      <w:pPr>
        <w:tabs>
          <w:tab w:val="num" w:pos="340"/>
        </w:tabs>
        <w:ind w:left="340" w:hanging="170"/>
      </w:pPr>
      <w:rPr>
        <w:rFonts w:ascii="Arial" w:hAnsi="Arial" w:hint="default"/>
        <w:color w:val="000000" w:themeColor="text1"/>
      </w:rPr>
    </w:lvl>
    <w:lvl w:ilvl="2">
      <w:start w:val="1"/>
      <w:numFmt w:val="bullet"/>
      <w:lvlText w:val="–"/>
      <w:lvlJc w:val="left"/>
      <w:pPr>
        <w:tabs>
          <w:tab w:val="num" w:pos="510"/>
        </w:tabs>
        <w:ind w:left="510" w:hanging="170"/>
      </w:pPr>
      <w:rPr>
        <w:rFonts w:ascii="Arial" w:hAnsi="Arial" w:hint="default"/>
        <w:color w:val="000000" w:themeColor="tex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8" w15:restartNumberingAfterBreak="0">
    <w:nsid w:val="3E2E2202"/>
    <w:multiLevelType w:val="multilevel"/>
    <w:tmpl w:val="EE62BAD8"/>
    <w:name w:val="AppHeadList"/>
    <w:styleLink w:val="AppListStyle"/>
    <w:lvl w:ilvl="0">
      <w:start w:val="1"/>
      <w:numFmt w:val="upperLetter"/>
      <w:pStyle w:val="AppHead1"/>
      <w:lvlText w:val="%1"/>
      <w:lvlJc w:val="right"/>
      <w:pPr>
        <w:ind w:left="0" w:hanging="284"/>
      </w:pPr>
      <w:rPr>
        <w:rFonts w:hint="default"/>
      </w:rPr>
    </w:lvl>
    <w:lvl w:ilvl="1">
      <w:start w:val="1"/>
      <w:numFmt w:val="decimal"/>
      <w:pStyle w:val="AppHead2"/>
      <w:lvlText w:val="%1.%2"/>
      <w:lvlJc w:val="right"/>
      <w:pPr>
        <w:ind w:left="0" w:hanging="284"/>
      </w:pPr>
      <w:rPr>
        <w:rFonts w:hint="default"/>
      </w:rPr>
    </w:lvl>
    <w:lvl w:ilvl="2">
      <w:start w:val="1"/>
      <w:numFmt w:val="decimal"/>
      <w:pStyle w:val="AppHead3"/>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FEC0195"/>
    <w:multiLevelType w:val="hybridMultilevel"/>
    <w:tmpl w:val="E750883C"/>
    <w:lvl w:ilvl="0" w:tplc="0405000F">
      <w:start w:val="1"/>
      <w:numFmt w:val="decimal"/>
      <w:lvlText w:val="%1."/>
      <w:lvlJc w:val="left"/>
      <w:pPr>
        <w:ind w:left="-414" w:hanging="360"/>
      </w:pPr>
    </w:lvl>
    <w:lvl w:ilvl="1" w:tplc="04050019" w:tentative="1">
      <w:start w:val="1"/>
      <w:numFmt w:val="lowerLetter"/>
      <w:lvlText w:val="%2."/>
      <w:lvlJc w:val="left"/>
      <w:pPr>
        <w:ind w:left="306" w:hanging="360"/>
      </w:pPr>
    </w:lvl>
    <w:lvl w:ilvl="2" w:tplc="0405001B" w:tentative="1">
      <w:start w:val="1"/>
      <w:numFmt w:val="lowerRoman"/>
      <w:lvlText w:val="%3."/>
      <w:lvlJc w:val="right"/>
      <w:pPr>
        <w:ind w:left="1026" w:hanging="180"/>
      </w:pPr>
    </w:lvl>
    <w:lvl w:ilvl="3" w:tplc="0405000F" w:tentative="1">
      <w:start w:val="1"/>
      <w:numFmt w:val="decimal"/>
      <w:lvlText w:val="%4."/>
      <w:lvlJc w:val="left"/>
      <w:pPr>
        <w:ind w:left="1746" w:hanging="360"/>
      </w:pPr>
    </w:lvl>
    <w:lvl w:ilvl="4" w:tplc="04050019" w:tentative="1">
      <w:start w:val="1"/>
      <w:numFmt w:val="lowerLetter"/>
      <w:lvlText w:val="%5."/>
      <w:lvlJc w:val="left"/>
      <w:pPr>
        <w:ind w:left="2466" w:hanging="360"/>
      </w:pPr>
    </w:lvl>
    <w:lvl w:ilvl="5" w:tplc="0405001B" w:tentative="1">
      <w:start w:val="1"/>
      <w:numFmt w:val="lowerRoman"/>
      <w:lvlText w:val="%6."/>
      <w:lvlJc w:val="right"/>
      <w:pPr>
        <w:ind w:left="3186" w:hanging="180"/>
      </w:pPr>
    </w:lvl>
    <w:lvl w:ilvl="6" w:tplc="0405000F" w:tentative="1">
      <w:start w:val="1"/>
      <w:numFmt w:val="decimal"/>
      <w:lvlText w:val="%7."/>
      <w:lvlJc w:val="left"/>
      <w:pPr>
        <w:ind w:left="3906" w:hanging="360"/>
      </w:pPr>
    </w:lvl>
    <w:lvl w:ilvl="7" w:tplc="04050019" w:tentative="1">
      <w:start w:val="1"/>
      <w:numFmt w:val="lowerLetter"/>
      <w:lvlText w:val="%8."/>
      <w:lvlJc w:val="left"/>
      <w:pPr>
        <w:ind w:left="4626" w:hanging="360"/>
      </w:pPr>
    </w:lvl>
    <w:lvl w:ilvl="8" w:tplc="0405001B" w:tentative="1">
      <w:start w:val="1"/>
      <w:numFmt w:val="lowerRoman"/>
      <w:lvlText w:val="%9."/>
      <w:lvlJc w:val="right"/>
      <w:pPr>
        <w:ind w:left="5346" w:hanging="180"/>
      </w:pPr>
    </w:lvl>
  </w:abstractNum>
  <w:abstractNum w:abstractNumId="20" w15:restartNumberingAfterBreak="0">
    <w:nsid w:val="44F522C7"/>
    <w:multiLevelType w:val="multilevel"/>
    <w:tmpl w:val="A8181944"/>
    <w:name w:val="SecHeadList"/>
    <w:styleLink w:val="SecListStyle"/>
    <w:lvl w:ilvl="0">
      <w:start w:val="1"/>
      <w:numFmt w:val="decimal"/>
      <w:lvlRestart w:val="0"/>
      <w:pStyle w:val="Nadpis1"/>
      <w:lvlText w:val="%1"/>
      <w:lvlJc w:val="right"/>
      <w:pPr>
        <w:tabs>
          <w:tab w:val="num" w:pos="0"/>
        </w:tabs>
        <w:ind w:left="0" w:hanging="284"/>
      </w:pPr>
      <w:rPr>
        <w:rFonts w:hint="default"/>
      </w:rPr>
    </w:lvl>
    <w:lvl w:ilvl="1">
      <w:start w:val="1"/>
      <w:numFmt w:val="decimal"/>
      <w:pStyle w:val="Nadpis2"/>
      <w:lvlText w:val="%1.%2"/>
      <w:lvlJc w:val="right"/>
      <w:pPr>
        <w:tabs>
          <w:tab w:val="num" w:pos="0"/>
        </w:tabs>
        <w:ind w:left="0" w:hanging="284"/>
      </w:pPr>
      <w:rPr>
        <w:rFonts w:hint="default"/>
      </w:rPr>
    </w:lvl>
    <w:lvl w:ilvl="2">
      <w:start w:val="1"/>
      <w:numFmt w:val="decimal"/>
      <w:pStyle w:val="Nadpis3"/>
      <w:lvlText w:val="%1.%2.%3"/>
      <w:lvlJc w:val="right"/>
      <w:pPr>
        <w:tabs>
          <w:tab w:val="num" w:pos="0"/>
        </w:tabs>
        <w:ind w:left="0" w:hanging="284"/>
      </w:pPr>
      <w:rPr>
        <w:rFonts w:hint="default"/>
      </w:rPr>
    </w:lvl>
    <w:lvl w:ilvl="3">
      <w:start w:val="1"/>
      <w:numFmt w:val="decimal"/>
      <w:pStyle w:val="Nadpis4"/>
      <w:lvlText w:val="%1.%2.%3.%4"/>
      <w:lvlJc w:val="right"/>
      <w:pPr>
        <w:tabs>
          <w:tab w:val="num" w:pos="0"/>
        </w:tabs>
        <w:ind w:left="0" w:hanging="284"/>
      </w:pPr>
      <w:rPr>
        <w:rFonts w:hint="default"/>
      </w:rPr>
    </w:lvl>
    <w:lvl w:ilvl="4">
      <w:start w:val="1"/>
      <w:numFmt w:val="decimal"/>
      <w:pStyle w:val="Nadpis5"/>
      <w:lvlText w:val="%1.%2.%3.%4.%5"/>
      <w:lvlJc w:val="right"/>
      <w:pPr>
        <w:tabs>
          <w:tab w:val="num" w:pos="0"/>
        </w:tabs>
        <w:ind w:left="0" w:hanging="284"/>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21" w15:restartNumberingAfterBreak="0">
    <w:nsid w:val="4A0744BE"/>
    <w:multiLevelType w:val="multilevel"/>
    <w:tmpl w:val="09D696DA"/>
    <w:lvl w:ilvl="0">
      <w:start w:val="1"/>
      <w:numFmt w:val="bullet"/>
      <w:pStyle w:val="SymbolBullet1"/>
      <w:lvlText w:val="•"/>
      <w:lvlJc w:val="left"/>
      <w:pPr>
        <w:tabs>
          <w:tab w:val="num" w:pos="340"/>
        </w:tabs>
        <w:ind w:left="340" w:hanging="340"/>
      </w:pPr>
      <w:rPr>
        <w:rFonts w:ascii="Arial" w:hAnsi="Arial" w:hint="default"/>
      </w:rPr>
    </w:lvl>
    <w:lvl w:ilvl="1">
      <w:start w:val="1"/>
      <w:numFmt w:val="bullet"/>
      <w:pStyle w:val="SymbolBullet2"/>
      <w:lvlText w:val="◦"/>
      <w:lvlJc w:val="left"/>
      <w:pPr>
        <w:tabs>
          <w:tab w:val="num" w:pos="680"/>
        </w:tabs>
        <w:ind w:left="680" w:hanging="340"/>
      </w:pPr>
      <w:rPr>
        <w:rFonts w:ascii="Arial" w:hAnsi="Arial" w:hint="default"/>
      </w:rPr>
    </w:lvl>
    <w:lvl w:ilvl="2">
      <w:start w:val="1"/>
      <w:numFmt w:val="bullet"/>
      <w:pStyle w:val="SymbolBullet3"/>
      <w:lvlText w:val="▪"/>
      <w:lvlJc w:val="left"/>
      <w:pPr>
        <w:tabs>
          <w:tab w:val="num" w:pos="1021"/>
        </w:tabs>
        <w:ind w:left="1021" w:hanging="341"/>
      </w:pPr>
      <w:rPr>
        <w:rFonts w:ascii="Arial Narrow" w:hAnsi="Arial Narrow" w:hint="default"/>
      </w:rPr>
    </w:lvl>
    <w:lvl w:ilvl="3">
      <w:start w:val="1"/>
      <w:numFmt w:val="bullet"/>
      <w:pStyle w:val="SymbolBullet4"/>
      <w:lvlText w:val="–"/>
      <w:lvlJc w:val="left"/>
      <w:pPr>
        <w:tabs>
          <w:tab w:val="num" w:pos="1361"/>
        </w:tabs>
        <w:ind w:left="1361" w:hanging="340"/>
      </w:pPr>
      <w:rPr>
        <w:rFonts w:ascii="Arial" w:hAnsi="Aria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BF35E1C"/>
    <w:multiLevelType w:val="multilevel"/>
    <w:tmpl w:val="A8181944"/>
    <w:name w:val="SecHeadList3"/>
    <w:numStyleLink w:val="SecListStyle"/>
  </w:abstractNum>
  <w:abstractNum w:abstractNumId="23" w15:restartNumberingAfterBreak="0">
    <w:nsid w:val="5741118D"/>
    <w:multiLevelType w:val="hybridMultilevel"/>
    <w:tmpl w:val="7C3ECB84"/>
    <w:lvl w:ilvl="0" w:tplc="BF165870">
      <w:start w:val="1"/>
      <w:numFmt w:val="decimal"/>
      <w:lvlText w:val="%1.0"/>
      <w:lvlJc w:val="right"/>
      <w:pPr>
        <w:ind w:left="7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BF28FD"/>
    <w:multiLevelType w:val="hybridMultilevel"/>
    <w:tmpl w:val="4380EE98"/>
    <w:lvl w:ilvl="0" w:tplc="9128534E">
      <w:start w:val="1"/>
      <w:numFmt w:val="decimal"/>
      <w:lvlText w:val="%1."/>
      <w:lvlJc w:val="left"/>
      <w:pPr>
        <w:ind w:left="-774" w:hanging="360"/>
      </w:pPr>
      <w:rPr>
        <w:rFonts w:hint="default"/>
      </w:rPr>
    </w:lvl>
    <w:lvl w:ilvl="1" w:tplc="04050019" w:tentative="1">
      <w:start w:val="1"/>
      <w:numFmt w:val="lowerLetter"/>
      <w:lvlText w:val="%2."/>
      <w:lvlJc w:val="left"/>
      <w:pPr>
        <w:ind w:left="-54" w:hanging="360"/>
      </w:pPr>
    </w:lvl>
    <w:lvl w:ilvl="2" w:tplc="0405001B" w:tentative="1">
      <w:start w:val="1"/>
      <w:numFmt w:val="lowerRoman"/>
      <w:lvlText w:val="%3."/>
      <w:lvlJc w:val="right"/>
      <w:pPr>
        <w:ind w:left="666" w:hanging="180"/>
      </w:pPr>
    </w:lvl>
    <w:lvl w:ilvl="3" w:tplc="0405000F" w:tentative="1">
      <w:start w:val="1"/>
      <w:numFmt w:val="decimal"/>
      <w:lvlText w:val="%4."/>
      <w:lvlJc w:val="left"/>
      <w:pPr>
        <w:ind w:left="1386" w:hanging="360"/>
      </w:pPr>
    </w:lvl>
    <w:lvl w:ilvl="4" w:tplc="04050019" w:tentative="1">
      <w:start w:val="1"/>
      <w:numFmt w:val="lowerLetter"/>
      <w:lvlText w:val="%5."/>
      <w:lvlJc w:val="left"/>
      <w:pPr>
        <w:ind w:left="2106" w:hanging="360"/>
      </w:pPr>
    </w:lvl>
    <w:lvl w:ilvl="5" w:tplc="0405001B" w:tentative="1">
      <w:start w:val="1"/>
      <w:numFmt w:val="lowerRoman"/>
      <w:lvlText w:val="%6."/>
      <w:lvlJc w:val="right"/>
      <w:pPr>
        <w:ind w:left="2826" w:hanging="180"/>
      </w:pPr>
    </w:lvl>
    <w:lvl w:ilvl="6" w:tplc="0405000F" w:tentative="1">
      <w:start w:val="1"/>
      <w:numFmt w:val="decimal"/>
      <w:lvlText w:val="%7."/>
      <w:lvlJc w:val="left"/>
      <w:pPr>
        <w:ind w:left="3546" w:hanging="360"/>
      </w:pPr>
    </w:lvl>
    <w:lvl w:ilvl="7" w:tplc="04050019" w:tentative="1">
      <w:start w:val="1"/>
      <w:numFmt w:val="lowerLetter"/>
      <w:lvlText w:val="%8."/>
      <w:lvlJc w:val="left"/>
      <w:pPr>
        <w:ind w:left="4266" w:hanging="360"/>
      </w:pPr>
    </w:lvl>
    <w:lvl w:ilvl="8" w:tplc="0405001B" w:tentative="1">
      <w:start w:val="1"/>
      <w:numFmt w:val="lowerRoman"/>
      <w:lvlText w:val="%9."/>
      <w:lvlJc w:val="right"/>
      <w:pPr>
        <w:ind w:left="4986" w:hanging="180"/>
      </w:pPr>
    </w:lvl>
  </w:abstractNum>
  <w:abstractNum w:abstractNumId="25" w15:restartNumberingAfterBreak="0">
    <w:nsid w:val="5B3C4A52"/>
    <w:multiLevelType w:val="hybridMultilevel"/>
    <w:tmpl w:val="F920F9F2"/>
    <w:lvl w:ilvl="0" w:tplc="6C70725C">
      <w:start w:val="1"/>
      <w:numFmt w:val="decimal"/>
      <w:pStyle w:val="L1H1"/>
      <w:lvlText w:val="%1."/>
      <w:lvlJc w:val="left"/>
      <w:pPr>
        <w:ind w:left="360" w:hanging="360"/>
      </w:pPr>
      <w:rPr>
        <w:rFonts w:ascii="Arial" w:hAnsi="Arial" w:cs="Arial" w:hint="default"/>
        <w:b w:val="0"/>
        <w:bCs/>
        <w:i w:val="0"/>
        <w:iCs/>
        <w:sz w:val="20"/>
        <w:szCs w:val="20"/>
      </w:rPr>
    </w:lvl>
    <w:lvl w:ilvl="1" w:tplc="AE28ADE4">
      <w:start w:val="1"/>
      <w:numFmt w:val="bullet"/>
      <w:lvlText w:val="-"/>
      <w:lvlJc w:val="left"/>
      <w:pPr>
        <w:ind w:left="1080" w:hanging="360"/>
      </w:pPr>
      <w:rPr>
        <w:rFonts w:ascii="Arial" w:hAnsi="Arial" w:cs="Times New Roman" w:hint="default"/>
      </w:rPr>
    </w:lvl>
    <w:lvl w:ilvl="2" w:tplc="0407001B">
      <w:start w:val="1"/>
      <w:numFmt w:val="lowerRoman"/>
      <w:lvlText w:val="%3."/>
      <w:lvlJc w:val="right"/>
      <w:pPr>
        <w:ind w:left="1800" w:hanging="180"/>
      </w:pPr>
    </w:lvl>
    <w:lvl w:ilvl="3" w:tplc="DCA2DCA0">
      <w:start w:val="2"/>
      <w:numFmt w:val="lowerLetter"/>
      <w:lvlText w:val="%4)"/>
      <w:lvlJc w:val="left"/>
      <w:pPr>
        <w:ind w:left="2520" w:hanging="360"/>
      </w:pPr>
      <w:rPr>
        <w:rFonts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1A658ED"/>
    <w:multiLevelType w:val="multilevel"/>
    <w:tmpl w:val="E86040AE"/>
    <w:styleLink w:val="Wording-Vorlage"/>
    <w:lvl w:ilvl="0">
      <w:start w:val="1"/>
      <w:numFmt w:val="bullet"/>
      <w:lvlText w:val=""/>
      <w:lvlJc w:val="left"/>
      <w:pPr>
        <w:ind w:left="1068"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1D31683"/>
    <w:multiLevelType w:val="multilevel"/>
    <w:tmpl w:val="298663D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0D5881"/>
    <w:multiLevelType w:val="hybridMultilevel"/>
    <w:tmpl w:val="1A267402"/>
    <w:name w:val="SecHeadList5"/>
    <w:lvl w:ilvl="0" w:tplc="DAF21B8E">
      <w:start w:val="1"/>
      <w:numFmt w:val="decimal"/>
      <w:pStyle w:val="DividerHeading"/>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6D2C2B"/>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3C0F11" w:themeColor="accent1"/>
      </w:rPr>
    </w:lvl>
    <w:lvl w:ilvl="2">
      <w:start w:val="1"/>
      <w:numFmt w:val="bullet"/>
      <w:lvlText w:val="–"/>
      <w:lvlJc w:val="left"/>
      <w:pPr>
        <w:tabs>
          <w:tab w:val="num" w:pos="510"/>
        </w:tabs>
        <w:ind w:left="510" w:hanging="170"/>
      </w:pPr>
      <w:rPr>
        <w:rFonts w:hint="default"/>
        <w:color w:val="3C0F11"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0" w15:restartNumberingAfterBreak="0">
    <w:nsid w:val="6B486B99"/>
    <w:multiLevelType w:val="hybridMultilevel"/>
    <w:tmpl w:val="239A466E"/>
    <w:lvl w:ilvl="0" w:tplc="68C8322E">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642473"/>
    <w:multiLevelType w:val="multilevel"/>
    <w:tmpl w:val="4260DC20"/>
    <w:lvl w:ilvl="0">
      <w:start w:val="1"/>
      <w:numFmt w:val="bullet"/>
      <w:lvlText w:val="●"/>
      <w:lvlJc w:val="left"/>
      <w:pPr>
        <w:tabs>
          <w:tab w:val="num" w:pos="340"/>
        </w:tabs>
        <w:ind w:left="340" w:hanging="340"/>
      </w:pPr>
      <w:rPr>
        <w:rFonts w:ascii="Arial" w:hAnsi="Aria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1"/>
        </w:tabs>
        <w:ind w:left="1021" w:hanging="341"/>
      </w:pPr>
      <w:rPr>
        <w:rFonts w:ascii="Times New Roman" w:hAnsi="Times New Roman" w:cs="Times New Roman"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6EE3444F"/>
    <w:multiLevelType w:val="multilevel"/>
    <w:tmpl w:val="1794E06C"/>
    <w:lvl w:ilvl="0">
      <w:start w:val="1"/>
      <w:numFmt w:val="bullet"/>
      <w:pStyle w:val="TableBullet1"/>
      <w:lvlText w:val="•"/>
      <w:lvlJc w:val="left"/>
      <w:pPr>
        <w:tabs>
          <w:tab w:val="num" w:pos="227"/>
        </w:tabs>
        <w:ind w:left="227" w:hanging="227"/>
      </w:pPr>
      <w:rPr>
        <w:rFonts w:ascii="Aptos" w:hAnsi="Aptos" w:hint="default"/>
      </w:rPr>
    </w:lvl>
    <w:lvl w:ilvl="1">
      <w:start w:val="1"/>
      <w:numFmt w:val="bullet"/>
      <w:pStyle w:val="TableBullet2"/>
      <w:lvlText w:val="◦"/>
      <w:lvlJc w:val="left"/>
      <w:pPr>
        <w:tabs>
          <w:tab w:val="num" w:pos="454"/>
        </w:tabs>
        <w:ind w:left="454" w:hanging="227"/>
      </w:pPr>
      <w:rPr>
        <w:rFonts w:ascii="Arial" w:hAnsi="Arial" w:hint="default"/>
        <w:color w:val="000000" w:themeColor="text1"/>
      </w:rPr>
    </w:lvl>
    <w:lvl w:ilvl="2">
      <w:start w:val="1"/>
      <w:numFmt w:val="bullet"/>
      <w:pStyle w:val="TableBullet3"/>
      <w:lvlText w:val="▪"/>
      <w:lvlJc w:val="left"/>
      <w:pPr>
        <w:tabs>
          <w:tab w:val="num" w:pos="680"/>
        </w:tabs>
        <w:ind w:left="680" w:hanging="226"/>
      </w:pPr>
      <w:rPr>
        <w:rFonts w:ascii="Arial Narrow" w:hAnsi="Arial Narrow" w:hint="default"/>
        <w:color w:val="000000" w:themeColor="text1"/>
      </w:rPr>
    </w:lvl>
    <w:lvl w:ilvl="3">
      <w:start w:val="1"/>
      <w:numFmt w:val="bullet"/>
      <w:pStyle w:val="TableBullet4"/>
      <w:lvlText w:val="–"/>
      <w:lvlJc w:val="left"/>
      <w:pPr>
        <w:tabs>
          <w:tab w:val="num" w:pos="907"/>
        </w:tabs>
        <w:ind w:left="907" w:hanging="227"/>
      </w:pPr>
      <w:rPr>
        <w:rFonts w:ascii="Arial" w:hAnsi="Arial" w:hint="default"/>
        <w:color w:val="000000" w:themeColor="text1"/>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3" w15:restartNumberingAfterBreak="0">
    <w:nsid w:val="796A3518"/>
    <w:multiLevelType w:val="multilevel"/>
    <w:tmpl w:val="58644A62"/>
    <w:lvl w:ilvl="0">
      <w:start w:val="1"/>
      <w:numFmt w:val="decimal"/>
      <w:pStyle w:val="AlphaNumBullet1"/>
      <w:lvlText w:val="%1."/>
      <w:lvlJc w:val="left"/>
      <w:pPr>
        <w:tabs>
          <w:tab w:val="num" w:pos="340"/>
        </w:tabs>
        <w:ind w:left="340" w:hanging="340"/>
      </w:pPr>
      <w:rPr>
        <w:rFonts w:hint="default"/>
      </w:rPr>
    </w:lvl>
    <w:lvl w:ilvl="1">
      <w:start w:val="1"/>
      <w:numFmt w:val="lowerLetter"/>
      <w:pStyle w:val="AlphaNumBullet2"/>
      <w:lvlText w:val="%2."/>
      <w:lvlJc w:val="left"/>
      <w:pPr>
        <w:tabs>
          <w:tab w:val="num" w:pos="680"/>
        </w:tabs>
        <w:ind w:left="680" w:hanging="340"/>
      </w:pPr>
      <w:rPr>
        <w:rFonts w:hint="default"/>
      </w:rPr>
    </w:lvl>
    <w:lvl w:ilvl="2">
      <w:start w:val="1"/>
      <w:numFmt w:val="lowerRoman"/>
      <w:pStyle w:val="AlphaNumBullet3"/>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A810097"/>
    <w:multiLevelType w:val="multilevel"/>
    <w:tmpl w:val="A8181944"/>
    <w:name w:val="SecHeadList2"/>
    <w:numStyleLink w:val="SecListStyle"/>
  </w:abstractNum>
  <w:num w:numId="1" w16cid:durableId="1729962878">
    <w:abstractNumId w:val="18"/>
  </w:num>
  <w:num w:numId="2" w16cid:durableId="1833329528">
    <w:abstractNumId w:val="21"/>
  </w:num>
  <w:num w:numId="3" w16cid:durableId="104426094">
    <w:abstractNumId w:val="33"/>
  </w:num>
  <w:num w:numId="4" w16cid:durableId="1861122338">
    <w:abstractNumId w:val="20"/>
  </w:num>
  <w:num w:numId="5" w16cid:durableId="1036782510">
    <w:abstractNumId w:val="32"/>
  </w:num>
  <w:num w:numId="6" w16cid:durableId="163787735">
    <w:abstractNumId w:val="1"/>
  </w:num>
  <w:num w:numId="7" w16cid:durableId="97877325">
    <w:abstractNumId w:val="34"/>
  </w:num>
  <w:num w:numId="8" w16cid:durableId="951059224">
    <w:abstractNumId w:val="13"/>
  </w:num>
  <w:num w:numId="9" w16cid:durableId="1426682053">
    <w:abstractNumId w:val="29"/>
  </w:num>
  <w:num w:numId="10" w16cid:durableId="433939764">
    <w:abstractNumId w:val="8"/>
  </w:num>
  <w:num w:numId="11" w16cid:durableId="1106539395">
    <w:abstractNumId w:val="30"/>
  </w:num>
  <w:num w:numId="12" w16cid:durableId="256911885">
    <w:abstractNumId w:val="23"/>
  </w:num>
  <w:num w:numId="13" w16cid:durableId="325137221">
    <w:abstractNumId w:val="22"/>
  </w:num>
  <w:num w:numId="14" w16cid:durableId="499547802">
    <w:abstractNumId w:val="6"/>
  </w:num>
  <w:num w:numId="15" w16cid:durableId="1608348487">
    <w:abstractNumId w:val="7"/>
  </w:num>
  <w:num w:numId="16" w16cid:durableId="1979529100">
    <w:abstractNumId w:val="12"/>
  </w:num>
  <w:num w:numId="17" w16cid:durableId="345710596">
    <w:abstractNumId w:val="31"/>
  </w:num>
  <w:num w:numId="18" w16cid:durableId="484246796">
    <w:abstractNumId w:val="17"/>
  </w:num>
  <w:num w:numId="19" w16cid:durableId="745306026">
    <w:abstractNumId w:val="4"/>
  </w:num>
  <w:num w:numId="20" w16cid:durableId="1442533102">
    <w:abstractNumId w:val="28"/>
  </w:num>
  <w:num w:numId="21" w16cid:durableId="779841351">
    <w:abstractNumId w:val="27"/>
  </w:num>
  <w:num w:numId="22" w16cid:durableId="604849253">
    <w:abstractNumId w:val="3"/>
  </w:num>
  <w:num w:numId="23" w16cid:durableId="766190846">
    <w:abstractNumId w:val="10"/>
  </w:num>
  <w:num w:numId="24" w16cid:durableId="494998452">
    <w:abstractNumId w:val="26"/>
  </w:num>
  <w:num w:numId="25" w16cid:durableId="534923811">
    <w:abstractNumId w:val="14"/>
  </w:num>
  <w:num w:numId="26" w16cid:durableId="98836835">
    <w:abstractNumId w:val="25"/>
  </w:num>
  <w:num w:numId="27" w16cid:durableId="947540485">
    <w:abstractNumId w:val="15"/>
  </w:num>
  <w:num w:numId="28" w16cid:durableId="15355793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5905577">
    <w:abstractNumId w:val="2"/>
  </w:num>
  <w:num w:numId="30" w16cid:durableId="1346639534">
    <w:abstractNumId w:val="11"/>
  </w:num>
  <w:num w:numId="31" w16cid:durableId="354693369">
    <w:abstractNumId w:val="16"/>
  </w:num>
  <w:num w:numId="32" w16cid:durableId="574247101">
    <w:abstractNumId w:val="9"/>
  </w:num>
  <w:num w:numId="33" w16cid:durableId="1827551612">
    <w:abstractNumId w:val="5"/>
  </w:num>
  <w:num w:numId="34" w16cid:durableId="1815290335">
    <w:abstractNumId w:val="19"/>
  </w:num>
  <w:num w:numId="35" w16cid:durableId="1773163067">
    <w:abstractNumId w:val="24"/>
  </w:num>
  <w:num w:numId="36" w16cid:durableId="103661523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78"/>
    <w:rsid w:val="0000176C"/>
    <w:rsid w:val="00002D04"/>
    <w:rsid w:val="0000309D"/>
    <w:rsid w:val="00006AEA"/>
    <w:rsid w:val="00006DF8"/>
    <w:rsid w:val="0001251F"/>
    <w:rsid w:val="00017736"/>
    <w:rsid w:val="00020846"/>
    <w:rsid w:val="00023F04"/>
    <w:rsid w:val="0003074B"/>
    <w:rsid w:val="0003497D"/>
    <w:rsid w:val="000467A1"/>
    <w:rsid w:val="00047621"/>
    <w:rsid w:val="00053CDF"/>
    <w:rsid w:val="00053DFA"/>
    <w:rsid w:val="00055EEE"/>
    <w:rsid w:val="00060232"/>
    <w:rsid w:val="00063BBA"/>
    <w:rsid w:val="000702C7"/>
    <w:rsid w:val="00072A72"/>
    <w:rsid w:val="00073E9D"/>
    <w:rsid w:val="00082722"/>
    <w:rsid w:val="00083A48"/>
    <w:rsid w:val="000905A9"/>
    <w:rsid w:val="0009133F"/>
    <w:rsid w:val="0009490B"/>
    <w:rsid w:val="000A0A08"/>
    <w:rsid w:val="000A291E"/>
    <w:rsid w:val="000A504F"/>
    <w:rsid w:val="000A65CE"/>
    <w:rsid w:val="000A6F27"/>
    <w:rsid w:val="000B2CB2"/>
    <w:rsid w:val="000B2E4B"/>
    <w:rsid w:val="000C090C"/>
    <w:rsid w:val="000C2D03"/>
    <w:rsid w:val="000C3C1D"/>
    <w:rsid w:val="000C5005"/>
    <w:rsid w:val="000C66BA"/>
    <w:rsid w:val="000D0FDF"/>
    <w:rsid w:val="000D24C2"/>
    <w:rsid w:val="000D4AC8"/>
    <w:rsid w:val="000D5299"/>
    <w:rsid w:val="000D61C2"/>
    <w:rsid w:val="000E0B25"/>
    <w:rsid w:val="000E4B04"/>
    <w:rsid w:val="000E6022"/>
    <w:rsid w:val="000F2848"/>
    <w:rsid w:val="000F3CEB"/>
    <w:rsid w:val="000F464D"/>
    <w:rsid w:val="00101E79"/>
    <w:rsid w:val="00103C3E"/>
    <w:rsid w:val="00107540"/>
    <w:rsid w:val="00111DCF"/>
    <w:rsid w:val="00112564"/>
    <w:rsid w:val="00121BBB"/>
    <w:rsid w:val="00133A9E"/>
    <w:rsid w:val="0013538C"/>
    <w:rsid w:val="00136C44"/>
    <w:rsid w:val="001372D4"/>
    <w:rsid w:val="0014243D"/>
    <w:rsid w:val="00142451"/>
    <w:rsid w:val="00142E02"/>
    <w:rsid w:val="00145728"/>
    <w:rsid w:val="001471C1"/>
    <w:rsid w:val="00151A5C"/>
    <w:rsid w:val="001526CA"/>
    <w:rsid w:val="0015561B"/>
    <w:rsid w:val="001559EF"/>
    <w:rsid w:val="00157054"/>
    <w:rsid w:val="001575C0"/>
    <w:rsid w:val="00161484"/>
    <w:rsid w:val="00161C52"/>
    <w:rsid w:val="00165C10"/>
    <w:rsid w:val="00166690"/>
    <w:rsid w:val="001716DB"/>
    <w:rsid w:val="0017325A"/>
    <w:rsid w:val="001759E6"/>
    <w:rsid w:val="00182148"/>
    <w:rsid w:val="0018439C"/>
    <w:rsid w:val="00184599"/>
    <w:rsid w:val="001846A9"/>
    <w:rsid w:val="00185CC0"/>
    <w:rsid w:val="00187226"/>
    <w:rsid w:val="001931D4"/>
    <w:rsid w:val="00197E8C"/>
    <w:rsid w:val="001A4A06"/>
    <w:rsid w:val="001A5CE9"/>
    <w:rsid w:val="001B2BBB"/>
    <w:rsid w:val="001B4C80"/>
    <w:rsid w:val="001B7940"/>
    <w:rsid w:val="001C2B87"/>
    <w:rsid w:val="001C6A87"/>
    <w:rsid w:val="001D2BB2"/>
    <w:rsid w:val="001D5D01"/>
    <w:rsid w:val="001D71F4"/>
    <w:rsid w:val="001D7F2A"/>
    <w:rsid w:val="001E10A9"/>
    <w:rsid w:val="001E3840"/>
    <w:rsid w:val="001F0323"/>
    <w:rsid w:val="001F2C07"/>
    <w:rsid w:val="001F32D2"/>
    <w:rsid w:val="001F401C"/>
    <w:rsid w:val="001F52C9"/>
    <w:rsid w:val="001F7B10"/>
    <w:rsid w:val="00202615"/>
    <w:rsid w:val="00204ADD"/>
    <w:rsid w:val="00206764"/>
    <w:rsid w:val="00207AE0"/>
    <w:rsid w:val="00207B70"/>
    <w:rsid w:val="00211315"/>
    <w:rsid w:val="00211D1F"/>
    <w:rsid w:val="002133B6"/>
    <w:rsid w:val="0021405A"/>
    <w:rsid w:val="00214CA9"/>
    <w:rsid w:val="0022019F"/>
    <w:rsid w:val="00220999"/>
    <w:rsid w:val="002213BC"/>
    <w:rsid w:val="00221BAD"/>
    <w:rsid w:val="002243C9"/>
    <w:rsid w:val="00226F09"/>
    <w:rsid w:val="002277DA"/>
    <w:rsid w:val="00231CAA"/>
    <w:rsid w:val="002322B1"/>
    <w:rsid w:val="00232B8A"/>
    <w:rsid w:val="002335B5"/>
    <w:rsid w:val="00234D2C"/>
    <w:rsid w:val="002353BD"/>
    <w:rsid w:val="002370BF"/>
    <w:rsid w:val="00241E12"/>
    <w:rsid w:val="00242EA7"/>
    <w:rsid w:val="00243A30"/>
    <w:rsid w:val="00243EB5"/>
    <w:rsid w:val="00243FD5"/>
    <w:rsid w:val="002454BE"/>
    <w:rsid w:val="00257B2B"/>
    <w:rsid w:val="00257F0A"/>
    <w:rsid w:val="002650B4"/>
    <w:rsid w:val="00266B57"/>
    <w:rsid w:val="00271B13"/>
    <w:rsid w:val="00274240"/>
    <w:rsid w:val="00277504"/>
    <w:rsid w:val="00277A17"/>
    <w:rsid w:val="00280E88"/>
    <w:rsid w:val="0028367C"/>
    <w:rsid w:val="00285A1A"/>
    <w:rsid w:val="0028733A"/>
    <w:rsid w:val="00290508"/>
    <w:rsid w:val="0029158C"/>
    <w:rsid w:val="00294609"/>
    <w:rsid w:val="00294D79"/>
    <w:rsid w:val="002A0083"/>
    <w:rsid w:val="002A1099"/>
    <w:rsid w:val="002A50DC"/>
    <w:rsid w:val="002A626D"/>
    <w:rsid w:val="002B0AAB"/>
    <w:rsid w:val="002B1BFC"/>
    <w:rsid w:val="002B280B"/>
    <w:rsid w:val="002B28AE"/>
    <w:rsid w:val="002C4CC5"/>
    <w:rsid w:val="002C5858"/>
    <w:rsid w:val="002C6E59"/>
    <w:rsid w:val="002D0F16"/>
    <w:rsid w:val="002D1248"/>
    <w:rsid w:val="002D4A36"/>
    <w:rsid w:val="002D4DC5"/>
    <w:rsid w:val="002D6ED2"/>
    <w:rsid w:val="002D7F47"/>
    <w:rsid w:val="002E3EA3"/>
    <w:rsid w:val="002F16CA"/>
    <w:rsid w:val="002F6AE6"/>
    <w:rsid w:val="00302594"/>
    <w:rsid w:val="00303F44"/>
    <w:rsid w:val="00311B13"/>
    <w:rsid w:val="00314208"/>
    <w:rsid w:val="0031430D"/>
    <w:rsid w:val="00315876"/>
    <w:rsid w:val="00320C40"/>
    <w:rsid w:val="00321091"/>
    <w:rsid w:val="00321D2E"/>
    <w:rsid w:val="00323EE5"/>
    <w:rsid w:val="00324718"/>
    <w:rsid w:val="00334B65"/>
    <w:rsid w:val="00334E02"/>
    <w:rsid w:val="00342836"/>
    <w:rsid w:val="00345771"/>
    <w:rsid w:val="00351DCB"/>
    <w:rsid w:val="00361703"/>
    <w:rsid w:val="0036603E"/>
    <w:rsid w:val="0036782A"/>
    <w:rsid w:val="003719C7"/>
    <w:rsid w:val="003729E5"/>
    <w:rsid w:val="00380252"/>
    <w:rsid w:val="00382F74"/>
    <w:rsid w:val="00383963"/>
    <w:rsid w:val="003918CA"/>
    <w:rsid w:val="003966A3"/>
    <w:rsid w:val="00397C54"/>
    <w:rsid w:val="003A094C"/>
    <w:rsid w:val="003A3323"/>
    <w:rsid w:val="003A5E4F"/>
    <w:rsid w:val="003A6003"/>
    <w:rsid w:val="003A65CD"/>
    <w:rsid w:val="003B26DB"/>
    <w:rsid w:val="003B29FE"/>
    <w:rsid w:val="003B4B70"/>
    <w:rsid w:val="003C28C7"/>
    <w:rsid w:val="003C36A5"/>
    <w:rsid w:val="003C44BC"/>
    <w:rsid w:val="003C4C0D"/>
    <w:rsid w:val="003D6521"/>
    <w:rsid w:val="003D6978"/>
    <w:rsid w:val="003D6AB7"/>
    <w:rsid w:val="003D70CB"/>
    <w:rsid w:val="003E07B4"/>
    <w:rsid w:val="003E1F9A"/>
    <w:rsid w:val="003E7F8C"/>
    <w:rsid w:val="0040108B"/>
    <w:rsid w:val="004014FC"/>
    <w:rsid w:val="00402DB6"/>
    <w:rsid w:val="004137A3"/>
    <w:rsid w:val="00414B31"/>
    <w:rsid w:val="00415BEB"/>
    <w:rsid w:val="004176A7"/>
    <w:rsid w:val="00420AFB"/>
    <w:rsid w:val="00423BE7"/>
    <w:rsid w:val="004255DD"/>
    <w:rsid w:val="00425E47"/>
    <w:rsid w:val="00426D5A"/>
    <w:rsid w:val="00434E5B"/>
    <w:rsid w:val="00436F37"/>
    <w:rsid w:val="00437CAD"/>
    <w:rsid w:val="004456F4"/>
    <w:rsid w:val="00446C25"/>
    <w:rsid w:val="004477D7"/>
    <w:rsid w:val="00447F87"/>
    <w:rsid w:val="00450D28"/>
    <w:rsid w:val="0045142D"/>
    <w:rsid w:val="0045584A"/>
    <w:rsid w:val="004578FE"/>
    <w:rsid w:val="0046081F"/>
    <w:rsid w:val="004638B0"/>
    <w:rsid w:val="00463D60"/>
    <w:rsid w:val="00466C4C"/>
    <w:rsid w:val="0047567D"/>
    <w:rsid w:val="004763ED"/>
    <w:rsid w:val="00477779"/>
    <w:rsid w:val="00481E25"/>
    <w:rsid w:val="00485992"/>
    <w:rsid w:val="004860A6"/>
    <w:rsid w:val="0048710E"/>
    <w:rsid w:val="00487B1C"/>
    <w:rsid w:val="00487BD8"/>
    <w:rsid w:val="004922EE"/>
    <w:rsid w:val="0049308A"/>
    <w:rsid w:val="004A02FF"/>
    <w:rsid w:val="004A449B"/>
    <w:rsid w:val="004A5CEF"/>
    <w:rsid w:val="004A6091"/>
    <w:rsid w:val="004B2C90"/>
    <w:rsid w:val="004B4143"/>
    <w:rsid w:val="004B423C"/>
    <w:rsid w:val="004B4A8D"/>
    <w:rsid w:val="004C2F81"/>
    <w:rsid w:val="004C49DE"/>
    <w:rsid w:val="004C5845"/>
    <w:rsid w:val="004E117E"/>
    <w:rsid w:val="004F6B5F"/>
    <w:rsid w:val="004F731C"/>
    <w:rsid w:val="005071FB"/>
    <w:rsid w:val="00507AFF"/>
    <w:rsid w:val="00511308"/>
    <w:rsid w:val="0051267B"/>
    <w:rsid w:val="005221FB"/>
    <w:rsid w:val="00523573"/>
    <w:rsid w:val="0052457C"/>
    <w:rsid w:val="00526601"/>
    <w:rsid w:val="00527A7A"/>
    <w:rsid w:val="00535017"/>
    <w:rsid w:val="00535D27"/>
    <w:rsid w:val="005375FC"/>
    <w:rsid w:val="0053775C"/>
    <w:rsid w:val="00537DCC"/>
    <w:rsid w:val="005411FB"/>
    <w:rsid w:val="005475EE"/>
    <w:rsid w:val="00547B3D"/>
    <w:rsid w:val="00551DBC"/>
    <w:rsid w:val="005550CE"/>
    <w:rsid w:val="0056302B"/>
    <w:rsid w:val="00563E78"/>
    <w:rsid w:val="0056661F"/>
    <w:rsid w:val="00567720"/>
    <w:rsid w:val="00575935"/>
    <w:rsid w:val="005765E5"/>
    <w:rsid w:val="0058224D"/>
    <w:rsid w:val="0059061A"/>
    <w:rsid w:val="005929C1"/>
    <w:rsid w:val="00592FB8"/>
    <w:rsid w:val="00595645"/>
    <w:rsid w:val="00595C2D"/>
    <w:rsid w:val="005968DD"/>
    <w:rsid w:val="005A4AF7"/>
    <w:rsid w:val="005A60CA"/>
    <w:rsid w:val="005A7863"/>
    <w:rsid w:val="005B0023"/>
    <w:rsid w:val="005B0BE1"/>
    <w:rsid w:val="005B1196"/>
    <w:rsid w:val="005B35EE"/>
    <w:rsid w:val="005B7476"/>
    <w:rsid w:val="005C07B5"/>
    <w:rsid w:val="005C3D90"/>
    <w:rsid w:val="005C4E79"/>
    <w:rsid w:val="005C58FD"/>
    <w:rsid w:val="005C676E"/>
    <w:rsid w:val="005D1A3C"/>
    <w:rsid w:val="005D69A2"/>
    <w:rsid w:val="005E1805"/>
    <w:rsid w:val="005E2DCF"/>
    <w:rsid w:val="005E557D"/>
    <w:rsid w:val="005E5D4F"/>
    <w:rsid w:val="005E6971"/>
    <w:rsid w:val="005E6E18"/>
    <w:rsid w:val="005E74BB"/>
    <w:rsid w:val="005F1B09"/>
    <w:rsid w:val="005F2074"/>
    <w:rsid w:val="005F3B18"/>
    <w:rsid w:val="005F4FF7"/>
    <w:rsid w:val="00602164"/>
    <w:rsid w:val="006029CF"/>
    <w:rsid w:val="00602D69"/>
    <w:rsid w:val="00607FD5"/>
    <w:rsid w:val="006116BD"/>
    <w:rsid w:val="006159B6"/>
    <w:rsid w:val="00616FCE"/>
    <w:rsid w:val="00626EA6"/>
    <w:rsid w:val="0063124A"/>
    <w:rsid w:val="00636CC1"/>
    <w:rsid w:val="006448BA"/>
    <w:rsid w:val="006452A4"/>
    <w:rsid w:val="00646ED7"/>
    <w:rsid w:val="00647A1F"/>
    <w:rsid w:val="00647E4A"/>
    <w:rsid w:val="006507E5"/>
    <w:rsid w:val="006530C6"/>
    <w:rsid w:val="006544F2"/>
    <w:rsid w:val="0065464E"/>
    <w:rsid w:val="006564EE"/>
    <w:rsid w:val="00660747"/>
    <w:rsid w:val="00662F61"/>
    <w:rsid w:val="00663E50"/>
    <w:rsid w:val="00666FF6"/>
    <w:rsid w:val="006717A6"/>
    <w:rsid w:val="00681569"/>
    <w:rsid w:val="006817ED"/>
    <w:rsid w:val="00687F3F"/>
    <w:rsid w:val="00690E3F"/>
    <w:rsid w:val="006922D1"/>
    <w:rsid w:val="00692A8C"/>
    <w:rsid w:val="00692B27"/>
    <w:rsid w:val="00694556"/>
    <w:rsid w:val="006A2000"/>
    <w:rsid w:val="006A2463"/>
    <w:rsid w:val="006A3B60"/>
    <w:rsid w:val="006A7575"/>
    <w:rsid w:val="006B097E"/>
    <w:rsid w:val="006B266A"/>
    <w:rsid w:val="006B3A7A"/>
    <w:rsid w:val="006B6067"/>
    <w:rsid w:val="006C1585"/>
    <w:rsid w:val="006C1BD4"/>
    <w:rsid w:val="006D1162"/>
    <w:rsid w:val="006D368D"/>
    <w:rsid w:val="006D4EF5"/>
    <w:rsid w:val="006D5710"/>
    <w:rsid w:val="006E04C0"/>
    <w:rsid w:val="006E1D76"/>
    <w:rsid w:val="006E464B"/>
    <w:rsid w:val="006F33D7"/>
    <w:rsid w:val="006F4376"/>
    <w:rsid w:val="006F5BD5"/>
    <w:rsid w:val="0070018A"/>
    <w:rsid w:val="00700921"/>
    <w:rsid w:val="0070571D"/>
    <w:rsid w:val="00705E3A"/>
    <w:rsid w:val="00705E79"/>
    <w:rsid w:val="0070749D"/>
    <w:rsid w:val="00713803"/>
    <w:rsid w:val="0072053C"/>
    <w:rsid w:val="007211BC"/>
    <w:rsid w:val="00733C77"/>
    <w:rsid w:val="00740042"/>
    <w:rsid w:val="00740594"/>
    <w:rsid w:val="00742543"/>
    <w:rsid w:val="007468DE"/>
    <w:rsid w:val="00746BA9"/>
    <w:rsid w:val="007473D7"/>
    <w:rsid w:val="00750450"/>
    <w:rsid w:val="00751053"/>
    <w:rsid w:val="007533F9"/>
    <w:rsid w:val="00754AF7"/>
    <w:rsid w:val="00765DCE"/>
    <w:rsid w:val="007664A8"/>
    <w:rsid w:val="00766B3B"/>
    <w:rsid w:val="00773874"/>
    <w:rsid w:val="00776791"/>
    <w:rsid w:val="00791D05"/>
    <w:rsid w:val="00791FC1"/>
    <w:rsid w:val="00793288"/>
    <w:rsid w:val="007A014B"/>
    <w:rsid w:val="007A2987"/>
    <w:rsid w:val="007A44FD"/>
    <w:rsid w:val="007A4A17"/>
    <w:rsid w:val="007B0649"/>
    <w:rsid w:val="007B0938"/>
    <w:rsid w:val="007B15C6"/>
    <w:rsid w:val="007B234C"/>
    <w:rsid w:val="007B47CA"/>
    <w:rsid w:val="007C28E8"/>
    <w:rsid w:val="007C4DF9"/>
    <w:rsid w:val="007D1D4E"/>
    <w:rsid w:val="007D3023"/>
    <w:rsid w:val="007D459A"/>
    <w:rsid w:val="007E5C97"/>
    <w:rsid w:val="007E7759"/>
    <w:rsid w:val="007F01CB"/>
    <w:rsid w:val="007F4869"/>
    <w:rsid w:val="007F53D4"/>
    <w:rsid w:val="007F5AA0"/>
    <w:rsid w:val="00800CBF"/>
    <w:rsid w:val="008040E6"/>
    <w:rsid w:val="0081250F"/>
    <w:rsid w:val="008151E6"/>
    <w:rsid w:val="0081628F"/>
    <w:rsid w:val="00817F72"/>
    <w:rsid w:val="00826317"/>
    <w:rsid w:val="00831870"/>
    <w:rsid w:val="00832F0F"/>
    <w:rsid w:val="008368D9"/>
    <w:rsid w:val="00842887"/>
    <w:rsid w:val="00850456"/>
    <w:rsid w:val="0085224C"/>
    <w:rsid w:val="008551F3"/>
    <w:rsid w:val="00860128"/>
    <w:rsid w:val="008631CF"/>
    <w:rsid w:val="008632A6"/>
    <w:rsid w:val="00871178"/>
    <w:rsid w:val="0087461C"/>
    <w:rsid w:val="00882A2E"/>
    <w:rsid w:val="00885B84"/>
    <w:rsid w:val="0088741C"/>
    <w:rsid w:val="00892790"/>
    <w:rsid w:val="008A0FE9"/>
    <w:rsid w:val="008A260D"/>
    <w:rsid w:val="008A4601"/>
    <w:rsid w:val="008A508F"/>
    <w:rsid w:val="008A71B0"/>
    <w:rsid w:val="008A7883"/>
    <w:rsid w:val="008B2ECA"/>
    <w:rsid w:val="008C08AB"/>
    <w:rsid w:val="008C13FA"/>
    <w:rsid w:val="008C2A80"/>
    <w:rsid w:val="008C36DB"/>
    <w:rsid w:val="008C4B60"/>
    <w:rsid w:val="008D0405"/>
    <w:rsid w:val="008D2DFF"/>
    <w:rsid w:val="008D5FAD"/>
    <w:rsid w:val="008D66AF"/>
    <w:rsid w:val="008D6F3E"/>
    <w:rsid w:val="008E5A9D"/>
    <w:rsid w:val="008E776B"/>
    <w:rsid w:val="008F44E3"/>
    <w:rsid w:val="008F5311"/>
    <w:rsid w:val="008F6D2E"/>
    <w:rsid w:val="00900687"/>
    <w:rsid w:val="00903542"/>
    <w:rsid w:val="00904E76"/>
    <w:rsid w:val="009063EC"/>
    <w:rsid w:val="00906972"/>
    <w:rsid w:val="0091169F"/>
    <w:rsid w:val="00914A7B"/>
    <w:rsid w:val="009252B1"/>
    <w:rsid w:val="009326AA"/>
    <w:rsid w:val="00935538"/>
    <w:rsid w:val="00935A08"/>
    <w:rsid w:val="00937E84"/>
    <w:rsid w:val="0094100E"/>
    <w:rsid w:val="009478C2"/>
    <w:rsid w:val="00954B0C"/>
    <w:rsid w:val="009566D8"/>
    <w:rsid w:val="00957A66"/>
    <w:rsid w:val="00960A6D"/>
    <w:rsid w:val="009639D3"/>
    <w:rsid w:val="00963B8C"/>
    <w:rsid w:val="00971072"/>
    <w:rsid w:val="009724CD"/>
    <w:rsid w:val="00975F58"/>
    <w:rsid w:val="00976AF4"/>
    <w:rsid w:val="009806C6"/>
    <w:rsid w:val="00980B53"/>
    <w:rsid w:val="00982E4D"/>
    <w:rsid w:val="00984FB2"/>
    <w:rsid w:val="00990618"/>
    <w:rsid w:val="0099119C"/>
    <w:rsid w:val="009923CC"/>
    <w:rsid w:val="00994854"/>
    <w:rsid w:val="009A76A2"/>
    <w:rsid w:val="009B0C8D"/>
    <w:rsid w:val="009B234E"/>
    <w:rsid w:val="009B39DA"/>
    <w:rsid w:val="009B50C5"/>
    <w:rsid w:val="009B7D09"/>
    <w:rsid w:val="009C0B68"/>
    <w:rsid w:val="009C19B0"/>
    <w:rsid w:val="009C1D3F"/>
    <w:rsid w:val="009D170B"/>
    <w:rsid w:val="009D3DA6"/>
    <w:rsid w:val="009D6E4B"/>
    <w:rsid w:val="009E0D98"/>
    <w:rsid w:val="009E1FF2"/>
    <w:rsid w:val="009E2061"/>
    <w:rsid w:val="009E25B4"/>
    <w:rsid w:val="009E3B5F"/>
    <w:rsid w:val="009E72F0"/>
    <w:rsid w:val="009F1D3F"/>
    <w:rsid w:val="009F5297"/>
    <w:rsid w:val="009F7D6F"/>
    <w:rsid w:val="00A01C74"/>
    <w:rsid w:val="00A02489"/>
    <w:rsid w:val="00A06B1D"/>
    <w:rsid w:val="00A07C17"/>
    <w:rsid w:val="00A10335"/>
    <w:rsid w:val="00A10EE8"/>
    <w:rsid w:val="00A123B5"/>
    <w:rsid w:val="00A129BE"/>
    <w:rsid w:val="00A129F0"/>
    <w:rsid w:val="00A159F8"/>
    <w:rsid w:val="00A15BAB"/>
    <w:rsid w:val="00A2176E"/>
    <w:rsid w:val="00A24BB5"/>
    <w:rsid w:val="00A24F13"/>
    <w:rsid w:val="00A25B7A"/>
    <w:rsid w:val="00A2655F"/>
    <w:rsid w:val="00A30933"/>
    <w:rsid w:val="00A31645"/>
    <w:rsid w:val="00A33F23"/>
    <w:rsid w:val="00A34C4C"/>
    <w:rsid w:val="00A35312"/>
    <w:rsid w:val="00A36E34"/>
    <w:rsid w:val="00A40EE0"/>
    <w:rsid w:val="00A4694F"/>
    <w:rsid w:val="00A5235D"/>
    <w:rsid w:val="00A540BB"/>
    <w:rsid w:val="00A55B5C"/>
    <w:rsid w:val="00A61418"/>
    <w:rsid w:val="00A73661"/>
    <w:rsid w:val="00A80459"/>
    <w:rsid w:val="00A816A4"/>
    <w:rsid w:val="00A8713A"/>
    <w:rsid w:val="00A94A08"/>
    <w:rsid w:val="00A97132"/>
    <w:rsid w:val="00AA0089"/>
    <w:rsid w:val="00AA2EBC"/>
    <w:rsid w:val="00AA3FB0"/>
    <w:rsid w:val="00AB1103"/>
    <w:rsid w:val="00AB1B75"/>
    <w:rsid w:val="00AC0043"/>
    <w:rsid w:val="00AC0697"/>
    <w:rsid w:val="00AC2A52"/>
    <w:rsid w:val="00AC52C8"/>
    <w:rsid w:val="00AC535E"/>
    <w:rsid w:val="00AC5C4A"/>
    <w:rsid w:val="00AC5FEF"/>
    <w:rsid w:val="00AD0DEB"/>
    <w:rsid w:val="00AD3026"/>
    <w:rsid w:val="00AD42FB"/>
    <w:rsid w:val="00AD4B74"/>
    <w:rsid w:val="00AD6C13"/>
    <w:rsid w:val="00AF0EF0"/>
    <w:rsid w:val="00AF6239"/>
    <w:rsid w:val="00AF67A4"/>
    <w:rsid w:val="00AF764E"/>
    <w:rsid w:val="00B04059"/>
    <w:rsid w:val="00B0641F"/>
    <w:rsid w:val="00B06C25"/>
    <w:rsid w:val="00B06C47"/>
    <w:rsid w:val="00B06D81"/>
    <w:rsid w:val="00B12377"/>
    <w:rsid w:val="00B13171"/>
    <w:rsid w:val="00B1318C"/>
    <w:rsid w:val="00B15AE2"/>
    <w:rsid w:val="00B163EB"/>
    <w:rsid w:val="00B17101"/>
    <w:rsid w:val="00B17678"/>
    <w:rsid w:val="00B2080F"/>
    <w:rsid w:val="00B2089E"/>
    <w:rsid w:val="00B261D4"/>
    <w:rsid w:val="00B2719A"/>
    <w:rsid w:val="00B27C95"/>
    <w:rsid w:val="00B30733"/>
    <w:rsid w:val="00B35592"/>
    <w:rsid w:val="00B35C88"/>
    <w:rsid w:val="00B36182"/>
    <w:rsid w:val="00B41EDE"/>
    <w:rsid w:val="00B46417"/>
    <w:rsid w:val="00B5272B"/>
    <w:rsid w:val="00B6083F"/>
    <w:rsid w:val="00B62096"/>
    <w:rsid w:val="00B66E39"/>
    <w:rsid w:val="00B7403B"/>
    <w:rsid w:val="00B7492D"/>
    <w:rsid w:val="00B85734"/>
    <w:rsid w:val="00B85AA8"/>
    <w:rsid w:val="00BA640A"/>
    <w:rsid w:val="00BA7933"/>
    <w:rsid w:val="00BC17A2"/>
    <w:rsid w:val="00BC3B09"/>
    <w:rsid w:val="00BC656F"/>
    <w:rsid w:val="00BD17A9"/>
    <w:rsid w:val="00BD2111"/>
    <w:rsid w:val="00BD2C23"/>
    <w:rsid w:val="00BD3B31"/>
    <w:rsid w:val="00BD4DFA"/>
    <w:rsid w:val="00BD67B2"/>
    <w:rsid w:val="00BD6C6E"/>
    <w:rsid w:val="00BE0875"/>
    <w:rsid w:val="00BE2FDB"/>
    <w:rsid w:val="00BE3C24"/>
    <w:rsid w:val="00BE7BA3"/>
    <w:rsid w:val="00BE7F72"/>
    <w:rsid w:val="00BF0EA3"/>
    <w:rsid w:val="00BF2F63"/>
    <w:rsid w:val="00BF5712"/>
    <w:rsid w:val="00C002FE"/>
    <w:rsid w:val="00C003B1"/>
    <w:rsid w:val="00C02E2A"/>
    <w:rsid w:val="00C02F96"/>
    <w:rsid w:val="00C120ED"/>
    <w:rsid w:val="00C120F3"/>
    <w:rsid w:val="00C13D7C"/>
    <w:rsid w:val="00C14961"/>
    <w:rsid w:val="00C17E61"/>
    <w:rsid w:val="00C201A2"/>
    <w:rsid w:val="00C2548B"/>
    <w:rsid w:val="00C33F22"/>
    <w:rsid w:val="00C34486"/>
    <w:rsid w:val="00C348D7"/>
    <w:rsid w:val="00C35D06"/>
    <w:rsid w:val="00C36CA4"/>
    <w:rsid w:val="00C409DF"/>
    <w:rsid w:val="00C41D09"/>
    <w:rsid w:val="00C42AFB"/>
    <w:rsid w:val="00C42C28"/>
    <w:rsid w:val="00C4378D"/>
    <w:rsid w:val="00C43C05"/>
    <w:rsid w:val="00C44793"/>
    <w:rsid w:val="00C460CA"/>
    <w:rsid w:val="00C50F94"/>
    <w:rsid w:val="00C52921"/>
    <w:rsid w:val="00C54B6D"/>
    <w:rsid w:val="00C54DC9"/>
    <w:rsid w:val="00C5523B"/>
    <w:rsid w:val="00C55446"/>
    <w:rsid w:val="00C56840"/>
    <w:rsid w:val="00C5749A"/>
    <w:rsid w:val="00C602B3"/>
    <w:rsid w:val="00C63B38"/>
    <w:rsid w:val="00C64230"/>
    <w:rsid w:val="00C647B8"/>
    <w:rsid w:val="00C672A4"/>
    <w:rsid w:val="00C70F88"/>
    <w:rsid w:val="00C75ABF"/>
    <w:rsid w:val="00C765D7"/>
    <w:rsid w:val="00C77952"/>
    <w:rsid w:val="00C825BB"/>
    <w:rsid w:val="00C83A6F"/>
    <w:rsid w:val="00C849F5"/>
    <w:rsid w:val="00C8711C"/>
    <w:rsid w:val="00C90B87"/>
    <w:rsid w:val="00C9106A"/>
    <w:rsid w:val="00C92470"/>
    <w:rsid w:val="00C95DAF"/>
    <w:rsid w:val="00C965EB"/>
    <w:rsid w:val="00CA0979"/>
    <w:rsid w:val="00CB6B57"/>
    <w:rsid w:val="00CC0428"/>
    <w:rsid w:val="00CC5191"/>
    <w:rsid w:val="00CC5221"/>
    <w:rsid w:val="00CD3C27"/>
    <w:rsid w:val="00CD68A3"/>
    <w:rsid w:val="00CE0500"/>
    <w:rsid w:val="00CE0B7F"/>
    <w:rsid w:val="00CE1DD1"/>
    <w:rsid w:val="00CE39A5"/>
    <w:rsid w:val="00CE4E5E"/>
    <w:rsid w:val="00CE64C5"/>
    <w:rsid w:val="00CF0387"/>
    <w:rsid w:val="00CF0D1F"/>
    <w:rsid w:val="00CF1400"/>
    <w:rsid w:val="00CF1469"/>
    <w:rsid w:val="00CF235F"/>
    <w:rsid w:val="00CF2709"/>
    <w:rsid w:val="00CF6EAF"/>
    <w:rsid w:val="00D041E1"/>
    <w:rsid w:val="00D04F48"/>
    <w:rsid w:val="00D107D8"/>
    <w:rsid w:val="00D16266"/>
    <w:rsid w:val="00D16591"/>
    <w:rsid w:val="00D1685A"/>
    <w:rsid w:val="00D27607"/>
    <w:rsid w:val="00D32058"/>
    <w:rsid w:val="00D3241E"/>
    <w:rsid w:val="00D34491"/>
    <w:rsid w:val="00D35258"/>
    <w:rsid w:val="00D40F88"/>
    <w:rsid w:val="00D463F1"/>
    <w:rsid w:val="00D52160"/>
    <w:rsid w:val="00D62706"/>
    <w:rsid w:val="00D656B8"/>
    <w:rsid w:val="00D714EA"/>
    <w:rsid w:val="00D735A9"/>
    <w:rsid w:val="00D76096"/>
    <w:rsid w:val="00D77CE6"/>
    <w:rsid w:val="00D81196"/>
    <w:rsid w:val="00D826BE"/>
    <w:rsid w:val="00D93A60"/>
    <w:rsid w:val="00D94654"/>
    <w:rsid w:val="00DA00BB"/>
    <w:rsid w:val="00DA1216"/>
    <w:rsid w:val="00DA4EF0"/>
    <w:rsid w:val="00DB301A"/>
    <w:rsid w:val="00DB4CC2"/>
    <w:rsid w:val="00DB7B3F"/>
    <w:rsid w:val="00DC4E97"/>
    <w:rsid w:val="00DD1F85"/>
    <w:rsid w:val="00DD3918"/>
    <w:rsid w:val="00DD4A9E"/>
    <w:rsid w:val="00DD5907"/>
    <w:rsid w:val="00DD7785"/>
    <w:rsid w:val="00DE244B"/>
    <w:rsid w:val="00DE56F4"/>
    <w:rsid w:val="00DE71BC"/>
    <w:rsid w:val="00DF0D5C"/>
    <w:rsid w:val="00DF3127"/>
    <w:rsid w:val="00E11D48"/>
    <w:rsid w:val="00E15339"/>
    <w:rsid w:val="00E24021"/>
    <w:rsid w:val="00E243D6"/>
    <w:rsid w:val="00E47CC8"/>
    <w:rsid w:val="00E53367"/>
    <w:rsid w:val="00E540ED"/>
    <w:rsid w:val="00E54C6B"/>
    <w:rsid w:val="00E56584"/>
    <w:rsid w:val="00E569A2"/>
    <w:rsid w:val="00E7059A"/>
    <w:rsid w:val="00E86EFC"/>
    <w:rsid w:val="00E92BA7"/>
    <w:rsid w:val="00E934FA"/>
    <w:rsid w:val="00E93837"/>
    <w:rsid w:val="00E94FF8"/>
    <w:rsid w:val="00EA3F84"/>
    <w:rsid w:val="00EA5EC7"/>
    <w:rsid w:val="00EB20D9"/>
    <w:rsid w:val="00EB49F2"/>
    <w:rsid w:val="00EC1F96"/>
    <w:rsid w:val="00ED1C19"/>
    <w:rsid w:val="00EE35D7"/>
    <w:rsid w:val="00EF2409"/>
    <w:rsid w:val="00EF2D5A"/>
    <w:rsid w:val="00EF4BB9"/>
    <w:rsid w:val="00EF5E33"/>
    <w:rsid w:val="00EF6932"/>
    <w:rsid w:val="00F16AAF"/>
    <w:rsid w:val="00F22DCD"/>
    <w:rsid w:val="00F25D4F"/>
    <w:rsid w:val="00F274BB"/>
    <w:rsid w:val="00F31AF0"/>
    <w:rsid w:val="00F31F2F"/>
    <w:rsid w:val="00F36481"/>
    <w:rsid w:val="00F432EF"/>
    <w:rsid w:val="00F43FB1"/>
    <w:rsid w:val="00F447FA"/>
    <w:rsid w:val="00F50A19"/>
    <w:rsid w:val="00F52555"/>
    <w:rsid w:val="00F537E8"/>
    <w:rsid w:val="00F549C8"/>
    <w:rsid w:val="00F54E9B"/>
    <w:rsid w:val="00F62858"/>
    <w:rsid w:val="00F6360F"/>
    <w:rsid w:val="00F668C3"/>
    <w:rsid w:val="00F67205"/>
    <w:rsid w:val="00F73F31"/>
    <w:rsid w:val="00F77964"/>
    <w:rsid w:val="00F814D0"/>
    <w:rsid w:val="00F81E10"/>
    <w:rsid w:val="00F87E42"/>
    <w:rsid w:val="00F92119"/>
    <w:rsid w:val="00F97ADE"/>
    <w:rsid w:val="00FA171F"/>
    <w:rsid w:val="00FA37D0"/>
    <w:rsid w:val="00FA384A"/>
    <w:rsid w:val="00FA4ABD"/>
    <w:rsid w:val="00FA4CF5"/>
    <w:rsid w:val="00FA6DB7"/>
    <w:rsid w:val="00FA70C1"/>
    <w:rsid w:val="00FB195E"/>
    <w:rsid w:val="00FC2194"/>
    <w:rsid w:val="00FC5676"/>
    <w:rsid w:val="00FD49E6"/>
    <w:rsid w:val="00FD53F0"/>
    <w:rsid w:val="00FD5E3F"/>
    <w:rsid w:val="00FD652E"/>
    <w:rsid w:val="00FD6B8A"/>
    <w:rsid w:val="00FE0B0E"/>
    <w:rsid w:val="00FE1941"/>
    <w:rsid w:val="00FE2A31"/>
    <w:rsid w:val="00FF2C37"/>
    <w:rsid w:val="00FF4E5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13F8B"/>
  <w15:docId w15:val="{DE36D5BF-CC6C-46E5-814E-1BEB68D0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18"/>
        <w:lang w:val="en-GB" w:eastAsia="en-US"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5" w:unhideWhenUsed="1" w:qFormat="1"/>
    <w:lsdException w:name="heading 6" w:semiHidden="1" w:uiPriority="5" w:unhideWhenUsed="1" w:qFormat="1"/>
    <w:lsdException w:name="heading 7" w:semiHidden="1" w:uiPriority="5" w:unhideWhenUsed="1" w:qFormat="1"/>
    <w:lsdException w:name="heading 8" w:semiHidden="1" w:uiPriority="5" w:unhideWhenUsed="1" w:qFormat="1"/>
    <w:lsdException w:name="heading 9" w:semiHidden="1" w:uiPriority="5"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8"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ln">
    <w:name w:val="Normal"/>
    <w:aliases w:val="±BodyText"/>
    <w:qFormat/>
    <w:rsid w:val="00C92470"/>
    <w:pPr>
      <w:spacing w:after="200"/>
      <w:ind w:left="862"/>
      <w:jc w:val="both"/>
    </w:pPr>
    <w:rPr>
      <w:lang w:val="en-US"/>
    </w:rPr>
  </w:style>
  <w:style w:type="paragraph" w:styleId="Nadpis1">
    <w:name w:val="heading 1"/>
    <w:aliases w:val="±Head1"/>
    <w:basedOn w:val="Head1NonToc"/>
    <w:next w:val="Normln"/>
    <w:link w:val="Nadpis1Char"/>
    <w:uiPriority w:val="4"/>
    <w:qFormat/>
    <w:rsid w:val="005375FC"/>
    <w:pPr>
      <w:numPr>
        <w:numId w:val="22"/>
      </w:numPr>
    </w:pPr>
    <w:rPr>
      <w:sz w:val="36"/>
      <w:szCs w:val="36"/>
    </w:rPr>
  </w:style>
  <w:style w:type="paragraph" w:styleId="Nadpis2">
    <w:name w:val="heading 2"/>
    <w:aliases w:val="±Head2"/>
    <w:basedOn w:val="NoNumSubHead"/>
    <w:next w:val="Normln"/>
    <w:link w:val="Nadpis2Char"/>
    <w:uiPriority w:val="4"/>
    <w:qFormat/>
    <w:rsid w:val="005375FC"/>
    <w:pPr>
      <w:numPr>
        <w:ilvl w:val="1"/>
        <w:numId w:val="22"/>
      </w:numPr>
    </w:pPr>
    <w:rPr>
      <w:sz w:val="32"/>
      <w:szCs w:val="32"/>
    </w:rPr>
  </w:style>
  <w:style w:type="paragraph" w:styleId="Nadpis3">
    <w:name w:val="heading 3"/>
    <w:aliases w:val="±Head3"/>
    <w:basedOn w:val="NoNumSubHead"/>
    <w:next w:val="Normln"/>
    <w:link w:val="Nadpis3Char"/>
    <w:uiPriority w:val="4"/>
    <w:qFormat/>
    <w:rsid w:val="005375FC"/>
    <w:pPr>
      <w:numPr>
        <w:ilvl w:val="2"/>
        <w:numId w:val="22"/>
      </w:numPr>
      <w:outlineLvl w:val="2"/>
    </w:pPr>
    <w:rPr>
      <w:sz w:val="28"/>
      <w:szCs w:val="28"/>
    </w:rPr>
  </w:style>
  <w:style w:type="paragraph" w:styleId="Nadpis4">
    <w:name w:val="heading 4"/>
    <w:aliases w:val="±Head4"/>
    <w:basedOn w:val="NoNumSubHead"/>
    <w:next w:val="Normln"/>
    <w:link w:val="Nadpis4Char"/>
    <w:uiPriority w:val="4"/>
    <w:qFormat/>
    <w:rsid w:val="005375FC"/>
    <w:pPr>
      <w:numPr>
        <w:ilvl w:val="3"/>
        <w:numId w:val="22"/>
      </w:numPr>
      <w:outlineLvl w:val="3"/>
    </w:pPr>
    <w:rPr>
      <w:rFonts w:asciiTheme="minorHAnsi" w:hAnsiTheme="minorHAnsi" w:cstheme="minorHAnsi"/>
      <w:color w:val="auto"/>
      <w:sz w:val="20"/>
    </w:rPr>
  </w:style>
  <w:style w:type="paragraph" w:styleId="Nadpis5">
    <w:name w:val="heading 5"/>
    <w:aliases w:val="±Head5"/>
    <w:basedOn w:val="NoNumSubHead"/>
    <w:next w:val="Normln"/>
    <w:link w:val="Nadpis5Char"/>
    <w:uiPriority w:val="4"/>
    <w:qFormat/>
    <w:rsid w:val="005375FC"/>
    <w:pPr>
      <w:keepLines/>
      <w:numPr>
        <w:ilvl w:val="4"/>
        <w:numId w:val="22"/>
      </w:numPr>
      <w:outlineLvl w:val="4"/>
    </w:pPr>
    <w:rPr>
      <w:rFonts w:asciiTheme="minorHAnsi" w:eastAsiaTheme="majorEastAsia" w:hAnsiTheme="minorHAnsi" w:cstheme="minorHAnsi"/>
      <w:sz w:val="20"/>
    </w:rPr>
  </w:style>
  <w:style w:type="paragraph" w:styleId="Nadpis6">
    <w:name w:val="heading 6"/>
    <w:aliases w:val="±Head6"/>
    <w:basedOn w:val="NoNumSubHead"/>
    <w:next w:val="Normln"/>
    <w:link w:val="Nadpis6Char"/>
    <w:uiPriority w:val="4"/>
    <w:semiHidden/>
    <w:rsid w:val="00E934FA"/>
    <w:pPr>
      <w:keepLines/>
      <w:outlineLvl w:val="5"/>
    </w:pPr>
    <w:rPr>
      <w:rFonts w:eastAsiaTheme="majorEastAsia" w:cstheme="majorBidi"/>
      <w:b/>
      <w:i/>
      <w:iCs/>
    </w:rPr>
  </w:style>
  <w:style w:type="paragraph" w:styleId="Nadpis7">
    <w:name w:val="heading 7"/>
    <w:aliases w:val="±Head7"/>
    <w:basedOn w:val="NoNumSubHead"/>
    <w:next w:val="Normln"/>
    <w:link w:val="Nadpis7Char"/>
    <w:uiPriority w:val="4"/>
    <w:semiHidden/>
    <w:rsid w:val="00E934FA"/>
    <w:pPr>
      <w:keepLines/>
      <w:outlineLvl w:val="6"/>
    </w:pPr>
    <w:rPr>
      <w:rFonts w:eastAsiaTheme="majorEastAsia" w:cstheme="majorBidi"/>
      <w:b/>
      <w:iCs/>
    </w:rPr>
  </w:style>
  <w:style w:type="paragraph" w:styleId="Nadpis8">
    <w:name w:val="heading 8"/>
    <w:aliases w:val="±Head8"/>
    <w:basedOn w:val="NoNumSubHead"/>
    <w:next w:val="Normln"/>
    <w:link w:val="Nadpis8Char"/>
    <w:uiPriority w:val="4"/>
    <w:semiHidden/>
    <w:rsid w:val="00E934FA"/>
    <w:pPr>
      <w:keepLines/>
      <w:outlineLvl w:val="7"/>
    </w:pPr>
    <w:rPr>
      <w:rFonts w:eastAsiaTheme="majorEastAsia" w:cstheme="majorBidi"/>
    </w:rPr>
  </w:style>
  <w:style w:type="paragraph" w:styleId="Nadpis9">
    <w:name w:val="heading 9"/>
    <w:aliases w:val="±Head9"/>
    <w:basedOn w:val="NoNumSubHead"/>
    <w:next w:val="Normln"/>
    <w:link w:val="Nadpis9Char"/>
    <w:uiPriority w:val="4"/>
    <w:semiHidden/>
    <w:rsid w:val="00E934FA"/>
    <w:pPr>
      <w:keepLines/>
      <w:outlineLvl w:val="8"/>
    </w:pPr>
    <w:rPr>
      <w:rFonts w:eastAsiaTheme="majorEastAsia" w:cstheme="majorBid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ppBodyTextNum">
    <w:name w:val="±AppBodyTextNum"/>
    <w:basedOn w:val="Normln"/>
    <w:uiPriority w:val="28"/>
    <w:semiHidden/>
    <w:qFormat/>
    <w:rsid w:val="00E934FA"/>
  </w:style>
  <w:style w:type="paragraph" w:styleId="Bezmezer">
    <w:name w:val="No Spacing"/>
    <w:aliases w:val="±BaseStyle"/>
    <w:rsid w:val="00C849F5"/>
    <w:pPr>
      <w:spacing w:before="0" w:line="240" w:lineRule="auto"/>
    </w:pPr>
    <w:rPr>
      <w:rFonts w:cs="Arial"/>
      <w:lang w:val="de-DE"/>
    </w:rPr>
  </w:style>
  <w:style w:type="paragraph" w:customStyle="1" w:styleId="Head1NonToc">
    <w:name w:val="±Head1NonToc"/>
    <w:basedOn w:val="Bezmezer"/>
    <w:next w:val="Normln"/>
    <w:uiPriority w:val="3"/>
    <w:semiHidden/>
    <w:qFormat/>
    <w:rsid w:val="007468DE"/>
    <w:pPr>
      <w:keepNext/>
      <w:spacing w:before="360" w:after="120"/>
      <w:outlineLvl w:val="0"/>
    </w:pPr>
    <w:rPr>
      <w:rFonts w:asciiTheme="majorHAnsi" w:hAnsiTheme="majorHAnsi"/>
      <w:color w:val="3C0F11" w:themeColor="accent1"/>
      <w:sz w:val="54"/>
    </w:rPr>
  </w:style>
  <w:style w:type="paragraph" w:customStyle="1" w:styleId="DividerHeading">
    <w:name w:val="±DividerHeading"/>
    <w:basedOn w:val="Head1NonToc"/>
    <w:next w:val="Normln"/>
    <w:uiPriority w:val="6"/>
    <w:semiHidden/>
    <w:rsid w:val="00324718"/>
    <w:pPr>
      <w:numPr>
        <w:numId w:val="20"/>
      </w:numPr>
      <w:tabs>
        <w:tab w:val="left" w:pos="2268"/>
      </w:tabs>
      <w:spacing w:before="2040" w:after="0" w:line="216" w:lineRule="auto"/>
      <w:ind w:left="2268" w:hanging="2268"/>
    </w:pPr>
    <w:rPr>
      <w:color w:val="F9423A" w:themeColor="accent2"/>
      <w:sz w:val="108"/>
    </w:rPr>
  </w:style>
  <w:style w:type="paragraph" w:customStyle="1" w:styleId="AppHead1">
    <w:name w:val="±AppHead1"/>
    <w:basedOn w:val="Head1NonToc"/>
    <w:next w:val="Normln"/>
    <w:uiPriority w:val="5"/>
    <w:semiHidden/>
    <w:rsid w:val="00F62858"/>
    <w:pPr>
      <w:numPr>
        <w:numId w:val="6"/>
      </w:numPr>
    </w:pPr>
  </w:style>
  <w:style w:type="numbering" w:customStyle="1" w:styleId="AppListStyle">
    <w:name w:val="±AppListStyle"/>
    <w:uiPriority w:val="99"/>
    <w:rsid w:val="00E934FA"/>
    <w:pPr>
      <w:numPr>
        <w:numId w:val="1"/>
      </w:numPr>
    </w:pPr>
  </w:style>
  <w:style w:type="paragraph" w:customStyle="1" w:styleId="AppHead3">
    <w:name w:val="±AppHead3"/>
    <w:basedOn w:val="Head2NonToc"/>
    <w:next w:val="Normln"/>
    <w:uiPriority w:val="5"/>
    <w:semiHidden/>
    <w:rsid w:val="00D3241E"/>
    <w:pPr>
      <w:numPr>
        <w:ilvl w:val="2"/>
        <w:numId w:val="6"/>
      </w:numPr>
      <w:tabs>
        <w:tab w:val="num" w:pos="360"/>
      </w:tabs>
      <w:ind w:left="862" w:firstLine="0"/>
      <w:outlineLvl w:val="2"/>
    </w:pPr>
    <w:rPr>
      <w:sz w:val="32"/>
    </w:rPr>
  </w:style>
  <w:style w:type="paragraph" w:customStyle="1" w:styleId="AppAlphaNumBullet1">
    <w:name w:val="±AppAlphaNumBullet1"/>
    <w:basedOn w:val="AppBodyTextNum"/>
    <w:uiPriority w:val="28"/>
    <w:semiHidden/>
    <w:qFormat/>
    <w:rsid w:val="00E934FA"/>
  </w:style>
  <w:style w:type="paragraph" w:customStyle="1" w:styleId="AppAlphaNumBullet2">
    <w:name w:val="±AppAlphaNumBullet2"/>
    <w:basedOn w:val="AppBodyTextNum"/>
    <w:uiPriority w:val="28"/>
    <w:semiHidden/>
    <w:qFormat/>
    <w:rsid w:val="00E934FA"/>
  </w:style>
  <w:style w:type="paragraph" w:customStyle="1" w:styleId="AppAlphaNumBullet3">
    <w:name w:val="±AppAlphaNumBullet3"/>
    <w:basedOn w:val="AppBodyTextNum"/>
    <w:uiPriority w:val="28"/>
    <w:semiHidden/>
    <w:qFormat/>
    <w:rsid w:val="00E934FA"/>
  </w:style>
  <w:style w:type="paragraph" w:customStyle="1" w:styleId="AppHead2">
    <w:name w:val="±AppHead2"/>
    <w:basedOn w:val="Head2NonToc"/>
    <w:next w:val="Normln"/>
    <w:uiPriority w:val="5"/>
    <w:semiHidden/>
    <w:rsid w:val="008A508F"/>
    <w:pPr>
      <w:numPr>
        <w:ilvl w:val="1"/>
        <w:numId w:val="6"/>
      </w:numPr>
    </w:pPr>
  </w:style>
  <w:style w:type="paragraph" w:customStyle="1" w:styleId="BodyHeading">
    <w:name w:val="±BodyHeading"/>
    <w:basedOn w:val="Normln"/>
    <w:next w:val="Normln"/>
    <w:uiPriority w:val="2"/>
    <w:qFormat/>
    <w:rsid w:val="00D32058"/>
    <w:pPr>
      <w:keepNext/>
      <w:spacing w:before="240" w:line="240" w:lineRule="auto"/>
    </w:pPr>
    <w:rPr>
      <w:b/>
      <w:color w:val="3C0F11" w:themeColor="accent1"/>
    </w:rPr>
  </w:style>
  <w:style w:type="paragraph" w:customStyle="1" w:styleId="BodyTextNum">
    <w:name w:val="±BodyTextNum"/>
    <w:basedOn w:val="Normln"/>
    <w:uiPriority w:val="28"/>
    <w:semiHidden/>
    <w:rsid w:val="00E934FA"/>
  </w:style>
  <w:style w:type="paragraph" w:customStyle="1" w:styleId="SymbolBullet1">
    <w:name w:val="±SymbolBullet1"/>
    <w:basedOn w:val="Normln"/>
    <w:uiPriority w:val="1"/>
    <w:qFormat/>
    <w:rsid w:val="00E934FA"/>
    <w:pPr>
      <w:numPr>
        <w:numId w:val="2"/>
      </w:numPr>
      <w:spacing w:before="60" w:after="60"/>
    </w:pPr>
    <w:rPr>
      <w:rFonts w:eastAsia="Calibri"/>
    </w:rPr>
  </w:style>
  <w:style w:type="paragraph" w:customStyle="1" w:styleId="SymbolBullet2">
    <w:name w:val="±SymbolBullet2"/>
    <w:basedOn w:val="Normln"/>
    <w:uiPriority w:val="1"/>
    <w:rsid w:val="00E934FA"/>
    <w:pPr>
      <w:numPr>
        <w:ilvl w:val="1"/>
        <w:numId w:val="2"/>
      </w:numPr>
      <w:spacing w:before="60" w:after="60"/>
    </w:pPr>
  </w:style>
  <w:style w:type="paragraph" w:customStyle="1" w:styleId="SymbolBullet3">
    <w:name w:val="±SymbolBullet3"/>
    <w:basedOn w:val="Normln"/>
    <w:uiPriority w:val="1"/>
    <w:rsid w:val="00E934FA"/>
    <w:pPr>
      <w:numPr>
        <w:ilvl w:val="2"/>
        <w:numId w:val="2"/>
      </w:numPr>
      <w:spacing w:before="60" w:after="60"/>
    </w:pPr>
  </w:style>
  <w:style w:type="paragraph" w:styleId="Titulek">
    <w:name w:val="caption"/>
    <w:aliases w:val="±Caption"/>
    <w:basedOn w:val="BodyHeading"/>
    <w:next w:val="Normln"/>
    <w:link w:val="TitulekChar"/>
    <w:uiPriority w:val="29"/>
    <w:rsid w:val="007B234C"/>
    <w:pPr>
      <w:spacing w:before="360" w:after="60"/>
    </w:pPr>
    <w:rPr>
      <w:rFonts w:eastAsia="Calibri"/>
    </w:rPr>
  </w:style>
  <w:style w:type="character" w:customStyle="1" w:styleId="TitulekChar">
    <w:name w:val="Titulek Char"/>
    <w:aliases w:val="±Caption Char"/>
    <w:basedOn w:val="Standardnpsmoodstavce"/>
    <w:link w:val="Titulek"/>
    <w:uiPriority w:val="29"/>
    <w:rsid w:val="007B234C"/>
    <w:rPr>
      <w:rFonts w:eastAsia="Calibri"/>
      <w:b/>
      <w:color w:val="3C0F11" w:themeColor="accent1"/>
    </w:rPr>
  </w:style>
  <w:style w:type="paragraph" w:customStyle="1" w:styleId="CaptionWide">
    <w:name w:val="±CaptionWide"/>
    <w:basedOn w:val="Titulek"/>
    <w:next w:val="Normln"/>
    <w:uiPriority w:val="29"/>
    <w:semiHidden/>
    <w:rsid w:val="007B234C"/>
    <w:pPr>
      <w:ind w:left="-1134"/>
    </w:pPr>
    <w:rPr>
      <w:bCs/>
    </w:rPr>
  </w:style>
  <w:style w:type="paragraph" w:customStyle="1" w:styleId="CoverDraft">
    <w:name w:val="±CoverDraft"/>
    <w:basedOn w:val="Bezmezer"/>
    <w:uiPriority w:val="34"/>
    <w:semiHidden/>
    <w:rsid w:val="00E7059A"/>
    <w:pPr>
      <w:spacing w:after="120"/>
    </w:pPr>
    <w:rPr>
      <w:rFonts w:asciiTheme="majorHAnsi" w:hAnsiTheme="majorHAnsi"/>
      <w:color w:val="FFFFFF" w:themeColor="background1"/>
      <w:sz w:val="30"/>
    </w:rPr>
  </w:style>
  <w:style w:type="paragraph" w:customStyle="1" w:styleId="CoverClient">
    <w:name w:val="±CoverClient"/>
    <w:basedOn w:val="Bezmezer"/>
    <w:uiPriority w:val="34"/>
    <w:semiHidden/>
    <w:rsid w:val="00E7059A"/>
    <w:pPr>
      <w:spacing w:before="480" w:after="180"/>
      <w:jc w:val="right"/>
    </w:pPr>
    <w:rPr>
      <w:color w:val="FFFFFF" w:themeColor="background1"/>
      <w:sz w:val="27"/>
    </w:rPr>
  </w:style>
  <w:style w:type="paragraph" w:customStyle="1" w:styleId="CoverDate">
    <w:name w:val="±CoverDate"/>
    <w:basedOn w:val="Bezmezer"/>
    <w:uiPriority w:val="34"/>
    <w:semiHidden/>
    <w:rsid w:val="00E7059A"/>
    <w:rPr>
      <w:color w:val="F9423A" w:themeColor="accent2"/>
      <w:sz w:val="27"/>
    </w:rPr>
  </w:style>
  <w:style w:type="paragraph" w:customStyle="1" w:styleId="CoverSubTitle">
    <w:name w:val="±CoverSubTitle"/>
    <w:basedOn w:val="Bezmezer"/>
    <w:uiPriority w:val="34"/>
    <w:semiHidden/>
    <w:rsid w:val="006564EE"/>
    <w:rPr>
      <w:sz w:val="26"/>
    </w:rPr>
  </w:style>
  <w:style w:type="paragraph" w:customStyle="1" w:styleId="CoverTitle">
    <w:name w:val="±CoverTitle"/>
    <w:basedOn w:val="Bezmezer"/>
    <w:uiPriority w:val="34"/>
    <w:semiHidden/>
    <w:rsid w:val="00D93A60"/>
    <w:pPr>
      <w:spacing w:after="60"/>
    </w:pPr>
    <w:rPr>
      <w:rFonts w:asciiTheme="majorHAnsi" w:hAnsiTheme="majorHAnsi"/>
      <w:color w:val="3C0F11" w:themeColor="accent1"/>
      <w:sz w:val="54"/>
    </w:rPr>
  </w:style>
  <w:style w:type="paragraph" w:customStyle="1" w:styleId="CoverType">
    <w:name w:val="±CoverType"/>
    <w:basedOn w:val="Bezmezer"/>
    <w:uiPriority w:val="34"/>
    <w:semiHidden/>
    <w:rsid w:val="00F537E8"/>
    <w:pPr>
      <w:spacing w:after="120"/>
    </w:pPr>
    <w:rPr>
      <w:rFonts w:asciiTheme="majorHAnsi" w:hAnsiTheme="majorHAnsi"/>
      <w:color w:val="3C0F11" w:themeColor="accent1"/>
      <w:sz w:val="54"/>
    </w:rPr>
  </w:style>
  <w:style w:type="paragraph" w:customStyle="1" w:styleId="CoverInformation">
    <w:name w:val="±CoverInformation"/>
    <w:basedOn w:val="Bezmezer"/>
    <w:uiPriority w:val="34"/>
    <w:semiHidden/>
    <w:rsid w:val="005F1B09"/>
    <w:rPr>
      <w:rFonts w:asciiTheme="majorHAnsi" w:hAnsiTheme="majorHAnsi"/>
      <w:color w:val="F9423A" w:themeColor="accent2"/>
      <w:sz w:val="60"/>
    </w:rPr>
  </w:style>
  <w:style w:type="paragraph" w:customStyle="1" w:styleId="NoNumHead">
    <w:name w:val="±NoNumHead"/>
    <w:basedOn w:val="Head1NonToc"/>
    <w:next w:val="Normln"/>
    <w:uiPriority w:val="3"/>
    <w:semiHidden/>
    <w:qFormat/>
    <w:rsid w:val="003A094C"/>
  </w:style>
  <w:style w:type="paragraph" w:customStyle="1" w:styleId="NoNumSubHead">
    <w:name w:val="±NoNumSubHead"/>
    <w:basedOn w:val="Head2NonToc"/>
    <w:next w:val="Normln"/>
    <w:uiPriority w:val="3"/>
    <w:semiHidden/>
    <w:qFormat/>
    <w:rsid w:val="00F77964"/>
  </w:style>
  <w:style w:type="paragraph" w:customStyle="1" w:styleId="IllustrateLeft">
    <w:name w:val="±IllustrateLeft"/>
    <w:basedOn w:val="Bezmezer"/>
    <w:uiPriority w:val="33"/>
    <w:semiHidden/>
    <w:rsid w:val="00E934FA"/>
  </w:style>
  <w:style w:type="paragraph" w:customStyle="1" w:styleId="IllustrateCentre">
    <w:name w:val="±IllustrateCentre"/>
    <w:basedOn w:val="IllustrateLeft"/>
    <w:uiPriority w:val="33"/>
    <w:semiHidden/>
    <w:rsid w:val="00E934FA"/>
    <w:pPr>
      <w:jc w:val="center"/>
    </w:pPr>
  </w:style>
  <w:style w:type="paragraph" w:customStyle="1" w:styleId="IllustrateRight">
    <w:name w:val="±IllustrateRight"/>
    <w:basedOn w:val="IllustrateLeft"/>
    <w:uiPriority w:val="33"/>
    <w:semiHidden/>
    <w:rsid w:val="00E934FA"/>
    <w:pPr>
      <w:jc w:val="right"/>
    </w:pPr>
  </w:style>
  <w:style w:type="paragraph" w:customStyle="1" w:styleId="Hidden">
    <w:name w:val="±Hidden"/>
    <w:basedOn w:val="Bezmezer"/>
    <w:uiPriority w:val="33"/>
    <w:semiHidden/>
    <w:rsid w:val="00E934FA"/>
    <w:pPr>
      <w:framePr w:wrap="around" w:vAnchor="page" w:hAnchor="page" w:xAlign="right" w:yAlign="bottom"/>
    </w:pPr>
    <w:rPr>
      <w:color w:val="C00000"/>
    </w:rPr>
  </w:style>
  <w:style w:type="paragraph" w:customStyle="1" w:styleId="SummaryText">
    <w:name w:val="±SummaryText"/>
    <w:basedOn w:val="Normln"/>
    <w:next w:val="Normln"/>
    <w:uiPriority w:val="2"/>
    <w:rsid w:val="003966A3"/>
    <w:pPr>
      <w:spacing w:after="600" w:line="252" w:lineRule="auto"/>
    </w:pPr>
    <w:rPr>
      <w:sz w:val="36"/>
    </w:rPr>
  </w:style>
  <w:style w:type="paragraph" w:customStyle="1" w:styleId="KeyMsgText">
    <w:name w:val="±KeyMsgText"/>
    <w:basedOn w:val="Normln"/>
    <w:uiPriority w:val="32"/>
    <w:rsid w:val="006A2000"/>
  </w:style>
  <w:style w:type="paragraph" w:customStyle="1" w:styleId="KeyMsgHead">
    <w:name w:val="±KeyMsgHead"/>
    <w:basedOn w:val="KeyMsgText"/>
    <w:next w:val="Normln"/>
    <w:uiPriority w:val="32"/>
    <w:rsid w:val="00017736"/>
    <w:pPr>
      <w:keepNext/>
      <w:spacing w:before="0" w:after="120" w:line="240" w:lineRule="auto"/>
      <w:contextualSpacing/>
    </w:pPr>
    <w:rPr>
      <w:rFonts w:asciiTheme="majorHAnsi" w:hAnsiTheme="majorHAnsi"/>
      <w:color w:val="3C0F11" w:themeColor="accent1"/>
      <w:sz w:val="36"/>
    </w:rPr>
  </w:style>
  <w:style w:type="paragraph" w:customStyle="1" w:styleId="AlphaNumBullet1">
    <w:name w:val="±AlphaNumBullet1"/>
    <w:basedOn w:val="Normln"/>
    <w:uiPriority w:val="1"/>
    <w:qFormat/>
    <w:rsid w:val="00E934FA"/>
    <w:pPr>
      <w:numPr>
        <w:numId w:val="3"/>
      </w:numPr>
      <w:spacing w:before="60" w:after="60"/>
    </w:pPr>
  </w:style>
  <w:style w:type="paragraph" w:customStyle="1" w:styleId="AlphaNumBullet2">
    <w:name w:val="±AlphaNumBullet2"/>
    <w:basedOn w:val="Normln"/>
    <w:uiPriority w:val="1"/>
    <w:rsid w:val="00E934FA"/>
    <w:pPr>
      <w:numPr>
        <w:ilvl w:val="1"/>
        <w:numId w:val="3"/>
      </w:numPr>
      <w:spacing w:before="60" w:after="60"/>
    </w:pPr>
  </w:style>
  <w:style w:type="paragraph" w:customStyle="1" w:styleId="AlphaNumBullet3">
    <w:name w:val="±AlphaNumBullet3"/>
    <w:basedOn w:val="Normln"/>
    <w:uiPriority w:val="1"/>
    <w:rsid w:val="00E934FA"/>
    <w:pPr>
      <w:numPr>
        <w:ilvl w:val="2"/>
        <w:numId w:val="3"/>
      </w:numPr>
      <w:spacing w:before="60" w:after="60"/>
    </w:pPr>
  </w:style>
  <w:style w:type="table" w:customStyle="1" w:styleId="DUALTable">
    <w:name w:val="±DUAL_Table"/>
    <w:basedOn w:val="Normlntabulka"/>
    <w:uiPriority w:val="99"/>
    <w:rsid w:val="00B17101"/>
    <w:pPr>
      <w:spacing w:line="240" w:lineRule="auto"/>
    </w:pPr>
    <w:tblPr>
      <w:tblStyleRowBandSize w:val="1"/>
      <w:tblBorders>
        <w:top w:val="single" w:sz="4" w:space="0" w:color="F9423A" w:themeColor="accent2"/>
        <w:bottom w:val="single" w:sz="4" w:space="0" w:color="F9423A" w:themeColor="accent2"/>
        <w:insideH w:val="single" w:sz="2" w:space="0" w:color="FCA09C" w:themeColor="accent5"/>
      </w:tblBorders>
    </w:tblPr>
    <w:tcPr>
      <w:shd w:val="clear" w:color="auto" w:fill="auto"/>
    </w:tcPr>
    <w:tblStylePr w:type="firstRow">
      <w:pPr>
        <w:wordWrap/>
        <w:spacing w:afterLines="0" w:after="120" w:afterAutospacing="0"/>
        <w:jc w:val="left"/>
      </w:pPr>
      <w:rPr>
        <w:rFonts w:asciiTheme="minorHAnsi" w:hAnsiTheme="minorHAnsi"/>
        <w:b/>
        <w:color w:val="FFFFFF" w:themeColor="background1"/>
        <w:sz w:val="20"/>
      </w:rPr>
      <w:tblPr/>
      <w:trPr>
        <w:tblHeader/>
      </w:trPr>
      <w:tcPr>
        <w:tcBorders>
          <w:top w:val="nil"/>
          <w:left w:val="nil"/>
          <w:bottom w:val="nil"/>
          <w:right w:val="nil"/>
          <w:insideH w:val="nil"/>
          <w:insideV w:val="nil"/>
          <w:tl2br w:val="nil"/>
          <w:tr2bl w:val="nil"/>
        </w:tcBorders>
        <w:shd w:val="clear" w:color="auto" w:fill="F9423A" w:themeFill="accent2"/>
        <w:vAlign w:val="bottom"/>
      </w:tcPr>
    </w:tblStylePr>
    <w:tblStylePr w:type="firstCol">
      <w:rPr>
        <w:b/>
        <w:color w:val="000000" w:themeColor="text1"/>
      </w:rPr>
    </w:tblStylePr>
    <w:tblStylePr w:type="band1Horz">
      <w:tblPr/>
      <w:tcPr>
        <w:shd w:val="clear" w:color="auto" w:fill="FDD9D7" w:themeFill="accent2" w:themeFillTint="33"/>
      </w:tcPr>
    </w:tblStylePr>
  </w:style>
  <w:style w:type="paragraph" w:customStyle="1" w:styleId="QuoteText">
    <w:name w:val="±QuoteText"/>
    <w:basedOn w:val="Normln"/>
    <w:uiPriority w:val="32"/>
    <w:rsid w:val="009F1D3F"/>
    <w:pPr>
      <w:keepNext/>
      <w:spacing w:before="240" w:after="240" w:line="240" w:lineRule="auto"/>
    </w:pPr>
    <w:rPr>
      <w:rFonts w:asciiTheme="majorHAnsi" w:hAnsiTheme="majorHAnsi"/>
      <w:color w:val="3C0F11" w:themeColor="accent1"/>
      <w:sz w:val="36"/>
    </w:rPr>
  </w:style>
  <w:style w:type="numbering" w:customStyle="1" w:styleId="SecListStyle">
    <w:name w:val="±SecListStyle"/>
    <w:uiPriority w:val="99"/>
    <w:rsid w:val="0048710E"/>
    <w:pPr>
      <w:numPr>
        <w:numId w:val="4"/>
      </w:numPr>
    </w:pPr>
  </w:style>
  <w:style w:type="paragraph" w:customStyle="1" w:styleId="Source">
    <w:name w:val="±Source"/>
    <w:basedOn w:val="Normln"/>
    <w:next w:val="Normln"/>
    <w:uiPriority w:val="30"/>
    <w:rsid w:val="00F537E8"/>
    <w:pPr>
      <w:spacing w:before="60" w:after="240" w:line="240" w:lineRule="auto"/>
    </w:pPr>
    <w:rPr>
      <w:rFonts w:eastAsia="Calibri"/>
    </w:rPr>
  </w:style>
  <w:style w:type="paragraph" w:customStyle="1" w:styleId="SourceWide">
    <w:name w:val="±SourceWide"/>
    <w:basedOn w:val="Source"/>
    <w:next w:val="Normln"/>
    <w:uiPriority w:val="30"/>
    <w:semiHidden/>
    <w:rsid w:val="007B234C"/>
    <w:pPr>
      <w:ind w:left="-1134"/>
    </w:pPr>
  </w:style>
  <w:style w:type="paragraph" w:customStyle="1" w:styleId="Spacer">
    <w:name w:val="±Spacer"/>
    <w:basedOn w:val="Bezmezer"/>
    <w:semiHidden/>
    <w:rsid w:val="00E934FA"/>
    <w:rPr>
      <w:rFonts w:ascii="Arial" w:hAnsi="Arial"/>
      <w:sz w:val="2"/>
    </w:rPr>
  </w:style>
  <w:style w:type="paragraph" w:customStyle="1" w:styleId="TableTextLeft">
    <w:name w:val="±TableTextLeft"/>
    <w:basedOn w:val="Normln"/>
    <w:uiPriority w:val="31"/>
    <w:rsid w:val="00D3241E"/>
    <w:pPr>
      <w:spacing w:before="60" w:after="60" w:line="240" w:lineRule="auto"/>
    </w:pPr>
  </w:style>
  <w:style w:type="paragraph" w:customStyle="1" w:styleId="TableBullet1">
    <w:name w:val="±TableBullet1"/>
    <w:basedOn w:val="TableTextLeft"/>
    <w:uiPriority w:val="31"/>
    <w:rsid w:val="00E934FA"/>
    <w:pPr>
      <w:numPr>
        <w:numId w:val="5"/>
      </w:numPr>
    </w:pPr>
    <w:rPr>
      <w:rFonts w:eastAsia="Calibri"/>
    </w:rPr>
  </w:style>
  <w:style w:type="paragraph" w:customStyle="1" w:styleId="TableBullet2">
    <w:name w:val="±TableBullet2"/>
    <w:basedOn w:val="TableTextLeft"/>
    <w:uiPriority w:val="31"/>
    <w:rsid w:val="00E934FA"/>
    <w:pPr>
      <w:numPr>
        <w:ilvl w:val="1"/>
        <w:numId w:val="5"/>
      </w:numPr>
    </w:pPr>
  </w:style>
  <w:style w:type="paragraph" w:customStyle="1" w:styleId="TableBullet3">
    <w:name w:val="±TableBullet3"/>
    <w:basedOn w:val="TableTextLeft"/>
    <w:uiPriority w:val="31"/>
    <w:rsid w:val="00E934FA"/>
    <w:pPr>
      <w:numPr>
        <w:ilvl w:val="2"/>
        <w:numId w:val="5"/>
      </w:numPr>
    </w:pPr>
  </w:style>
  <w:style w:type="paragraph" w:customStyle="1" w:styleId="TableHeadingLeft">
    <w:name w:val="±TableHeadingLeft"/>
    <w:basedOn w:val="TableTextLeft"/>
    <w:uiPriority w:val="31"/>
    <w:semiHidden/>
    <w:qFormat/>
    <w:rsid w:val="00E934FA"/>
    <w:pPr>
      <w:keepNext/>
    </w:pPr>
    <w:rPr>
      <w:b/>
      <w:szCs w:val="26"/>
    </w:rPr>
  </w:style>
  <w:style w:type="paragraph" w:customStyle="1" w:styleId="TableHeadingCentre">
    <w:name w:val="±TableHeadingCentre"/>
    <w:basedOn w:val="TableHeadingLeft"/>
    <w:uiPriority w:val="31"/>
    <w:semiHidden/>
    <w:qFormat/>
    <w:rsid w:val="00E934FA"/>
    <w:pPr>
      <w:jc w:val="center"/>
    </w:pPr>
  </w:style>
  <w:style w:type="paragraph" w:customStyle="1" w:styleId="TableHeadingRight">
    <w:name w:val="±TableHeadingRight"/>
    <w:basedOn w:val="TableHeadingLeft"/>
    <w:uiPriority w:val="31"/>
    <w:semiHidden/>
    <w:qFormat/>
    <w:rsid w:val="00E934FA"/>
    <w:pPr>
      <w:jc w:val="right"/>
    </w:pPr>
  </w:style>
  <w:style w:type="table" w:customStyle="1" w:styleId="TableNormal">
    <w:name w:val="±TableNormal"/>
    <w:basedOn w:val="Normlntabulka"/>
    <w:semiHidden/>
    <w:rsid w:val="00E934FA"/>
    <w:pPr>
      <w:spacing w:line="240" w:lineRule="auto"/>
    </w:pPr>
    <w:rPr>
      <w:rFonts w:cs="Arial"/>
      <w:color w:val="3572BB"/>
    </w:rPr>
    <w:tblPr/>
  </w:style>
  <w:style w:type="paragraph" w:customStyle="1" w:styleId="TableTextCentre">
    <w:name w:val="±TableTextCentre"/>
    <w:basedOn w:val="TableTextLeft"/>
    <w:uiPriority w:val="31"/>
    <w:rsid w:val="00E934FA"/>
    <w:pPr>
      <w:jc w:val="center"/>
    </w:pPr>
  </w:style>
  <w:style w:type="paragraph" w:customStyle="1" w:styleId="TableTextRight">
    <w:name w:val="±TableTextRight"/>
    <w:basedOn w:val="TableTextLeft"/>
    <w:uiPriority w:val="31"/>
    <w:rsid w:val="00E934FA"/>
    <w:pPr>
      <w:jc w:val="right"/>
    </w:pPr>
  </w:style>
  <w:style w:type="paragraph" w:customStyle="1" w:styleId="TableTotalLeft">
    <w:name w:val="±TableTotalLeft"/>
    <w:basedOn w:val="TableTextLeft"/>
    <w:uiPriority w:val="31"/>
    <w:semiHidden/>
    <w:qFormat/>
    <w:rsid w:val="00E934FA"/>
    <w:rPr>
      <w:b/>
    </w:rPr>
  </w:style>
  <w:style w:type="paragraph" w:customStyle="1" w:styleId="TableTotalCentre">
    <w:name w:val="±TableTotalCentre"/>
    <w:basedOn w:val="TableTotalLeft"/>
    <w:uiPriority w:val="31"/>
    <w:semiHidden/>
    <w:qFormat/>
    <w:rsid w:val="00E934FA"/>
    <w:pPr>
      <w:framePr w:wrap="around" w:vAnchor="page" w:hAnchor="margin" w:y="1135"/>
      <w:suppressOverlap/>
      <w:jc w:val="center"/>
    </w:pPr>
  </w:style>
  <w:style w:type="paragraph" w:customStyle="1" w:styleId="TableTotalRight">
    <w:name w:val="±TableTotalRight"/>
    <w:basedOn w:val="TableTotalLeft"/>
    <w:uiPriority w:val="31"/>
    <w:semiHidden/>
    <w:qFormat/>
    <w:rsid w:val="00E934FA"/>
    <w:pPr>
      <w:framePr w:wrap="around" w:vAnchor="page" w:hAnchor="margin" w:y="1135"/>
      <w:suppressOverlap/>
      <w:jc w:val="right"/>
    </w:pPr>
  </w:style>
  <w:style w:type="paragraph" w:styleId="Textbubliny">
    <w:name w:val="Balloon Text"/>
    <w:basedOn w:val="Normln"/>
    <w:link w:val="TextbublinyChar"/>
    <w:uiPriority w:val="99"/>
    <w:semiHidden/>
    <w:rsid w:val="00E934FA"/>
    <w:pPr>
      <w:spacing w:line="240" w:lineRule="auto"/>
    </w:pPr>
    <w:rPr>
      <w:rFonts w:ascii="Tahoma" w:hAnsi="Tahoma" w:cs="Tahoma"/>
      <w:color w:val="808080" w:themeColor="background1" w:themeShade="80"/>
      <w:sz w:val="16"/>
      <w:szCs w:val="16"/>
    </w:rPr>
  </w:style>
  <w:style w:type="character" w:customStyle="1" w:styleId="TextbublinyChar">
    <w:name w:val="Text bubliny Char"/>
    <w:basedOn w:val="Standardnpsmoodstavce"/>
    <w:link w:val="Textbubliny"/>
    <w:uiPriority w:val="99"/>
    <w:semiHidden/>
    <w:rsid w:val="005C58FD"/>
    <w:rPr>
      <w:rFonts w:ascii="Tahoma" w:hAnsi="Tahoma" w:cs="Tahoma"/>
      <w:color w:val="808080" w:themeColor="background1" w:themeShade="80"/>
      <w:sz w:val="16"/>
      <w:szCs w:val="16"/>
    </w:rPr>
  </w:style>
  <w:style w:type="character" w:styleId="Odkaznakoment">
    <w:name w:val="annotation reference"/>
    <w:basedOn w:val="Standardnpsmoodstavce"/>
    <w:uiPriority w:val="99"/>
    <w:semiHidden/>
    <w:rsid w:val="00E934FA"/>
    <w:rPr>
      <w:sz w:val="16"/>
      <w:szCs w:val="16"/>
    </w:rPr>
  </w:style>
  <w:style w:type="paragraph" w:styleId="Textkomente">
    <w:name w:val="annotation text"/>
    <w:basedOn w:val="Normln"/>
    <w:link w:val="TextkomenteChar"/>
    <w:uiPriority w:val="99"/>
    <w:semiHidden/>
    <w:rsid w:val="00E934FA"/>
    <w:pPr>
      <w:spacing w:line="240" w:lineRule="auto"/>
    </w:pPr>
    <w:rPr>
      <w:rFonts w:ascii="Arial" w:hAnsi="Arial"/>
    </w:rPr>
  </w:style>
  <w:style w:type="character" w:customStyle="1" w:styleId="TextkomenteChar">
    <w:name w:val="Text komentáře Char"/>
    <w:basedOn w:val="Standardnpsmoodstavce"/>
    <w:link w:val="Textkomente"/>
    <w:uiPriority w:val="99"/>
    <w:semiHidden/>
    <w:rsid w:val="005C58FD"/>
    <w:rPr>
      <w:rFonts w:ascii="Arial" w:hAnsi="Arial"/>
      <w:color w:val="auto"/>
    </w:rPr>
  </w:style>
  <w:style w:type="paragraph" w:styleId="Pedmtkomente">
    <w:name w:val="annotation subject"/>
    <w:basedOn w:val="Textkomente"/>
    <w:next w:val="Textkomente"/>
    <w:link w:val="PedmtkomenteChar"/>
    <w:uiPriority w:val="99"/>
    <w:semiHidden/>
    <w:rsid w:val="00E934FA"/>
    <w:rPr>
      <w:b/>
      <w:bCs/>
    </w:rPr>
  </w:style>
  <w:style w:type="character" w:customStyle="1" w:styleId="PedmtkomenteChar">
    <w:name w:val="Předmět komentáře Char"/>
    <w:basedOn w:val="TextkomenteChar"/>
    <w:link w:val="Pedmtkomente"/>
    <w:uiPriority w:val="99"/>
    <w:semiHidden/>
    <w:rsid w:val="005C58FD"/>
    <w:rPr>
      <w:rFonts w:ascii="Arial" w:hAnsi="Arial"/>
      <w:b/>
      <w:bCs/>
      <w:color w:val="auto"/>
    </w:rPr>
  </w:style>
  <w:style w:type="character" w:styleId="Sledovanodkaz">
    <w:name w:val="FollowedHyperlink"/>
    <w:aliases w:val="±FollowedHyperlink"/>
    <w:basedOn w:val="Standardnpsmoodstavce"/>
    <w:uiPriority w:val="37"/>
    <w:semiHidden/>
    <w:rsid w:val="00133A9E"/>
    <w:rPr>
      <w:color w:val="8A6F70"/>
      <w:u w:val="single"/>
    </w:rPr>
  </w:style>
  <w:style w:type="paragraph" w:styleId="Zpat">
    <w:name w:val="footer"/>
    <w:aliases w:val="±Footer"/>
    <w:basedOn w:val="Bezmezer"/>
    <w:link w:val="ZpatChar"/>
    <w:uiPriority w:val="36"/>
    <w:semiHidden/>
    <w:rsid w:val="00E934FA"/>
  </w:style>
  <w:style w:type="character" w:customStyle="1" w:styleId="ZpatChar">
    <w:name w:val="Zápatí Char"/>
    <w:aliases w:val="±Footer Char"/>
    <w:basedOn w:val="Standardnpsmoodstavce"/>
    <w:link w:val="Zpat"/>
    <w:uiPriority w:val="36"/>
    <w:semiHidden/>
    <w:rsid w:val="005A7863"/>
    <w:rPr>
      <w:rFonts w:cs="Arial"/>
    </w:rPr>
  </w:style>
  <w:style w:type="character" w:styleId="Znakapoznpodarou">
    <w:name w:val="footnote reference"/>
    <w:basedOn w:val="Standardnpsmoodstavce"/>
    <w:uiPriority w:val="35"/>
    <w:semiHidden/>
    <w:rsid w:val="00B163EB"/>
    <w:rPr>
      <w:rFonts w:asciiTheme="minorHAnsi" w:hAnsiTheme="minorHAnsi"/>
      <w:color w:val="000000" w:themeColor="text1"/>
      <w:vertAlign w:val="superscript"/>
    </w:rPr>
  </w:style>
  <w:style w:type="paragraph" w:styleId="Textpoznpodarou">
    <w:name w:val="footnote text"/>
    <w:aliases w:val="±FootnoteText"/>
    <w:basedOn w:val="Bezmezer"/>
    <w:link w:val="TextpoznpodarouChar"/>
    <w:uiPriority w:val="35"/>
    <w:semiHidden/>
    <w:rsid w:val="00E934FA"/>
    <w:pPr>
      <w:spacing w:before="60"/>
      <w:ind w:left="284" w:hanging="284"/>
    </w:pPr>
  </w:style>
  <w:style w:type="character" w:customStyle="1" w:styleId="TextpoznpodarouChar">
    <w:name w:val="Text pozn. pod čarou Char"/>
    <w:aliases w:val="±FootnoteText Char"/>
    <w:basedOn w:val="Standardnpsmoodstavce"/>
    <w:link w:val="Textpoznpodarou"/>
    <w:uiPriority w:val="35"/>
    <w:semiHidden/>
    <w:rsid w:val="005A7863"/>
    <w:rPr>
      <w:rFonts w:cs="Arial"/>
      <w:sz w:val="18"/>
    </w:rPr>
  </w:style>
  <w:style w:type="paragraph" w:styleId="Zhlav">
    <w:name w:val="header"/>
    <w:aliases w:val="±Header"/>
    <w:basedOn w:val="Bezmezer"/>
    <w:link w:val="ZhlavChar"/>
    <w:uiPriority w:val="36"/>
    <w:semiHidden/>
    <w:rsid w:val="005475EE"/>
    <w:rPr>
      <w:rFonts w:asciiTheme="majorHAnsi" w:hAnsiTheme="majorHAnsi"/>
      <w:color w:val="3C0F11" w:themeColor="accent1"/>
    </w:rPr>
  </w:style>
  <w:style w:type="character" w:customStyle="1" w:styleId="ZhlavChar">
    <w:name w:val="Záhlaví Char"/>
    <w:aliases w:val="±Header Char"/>
    <w:basedOn w:val="Standardnpsmoodstavce"/>
    <w:link w:val="Zhlav"/>
    <w:uiPriority w:val="36"/>
    <w:semiHidden/>
    <w:rsid w:val="005A7863"/>
    <w:rPr>
      <w:rFonts w:asciiTheme="majorHAnsi" w:hAnsiTheme="majorHAnsi" w:cs="Arial"/>
      <w:color w:val="3C0F11" w:themeColor="accent1"/>
    </w:rPr>
  </w:style>
  <w:style w:type="character" w:customStyle="1" w:styleId="Nadpis1Char">
    <w:name w:val="Nadpis 1 Char"/>
    <w:aliases w:val="±Head1 Char"/>
    <w:basedOn w:val="Standardnpsmoodstavce"/>
    <w:link w:val="Nadpis1"/>
    <w:uiPriority w:val="4"/>
    <w:rsid w:val="005375FC"/>
    <w:rPr>
      <w:rFonts w:asciiTheme="majorHAnsi" w:hAnsiTheme="majorHAnsi" w:cs="Arial"/>
      <w:color w:val="3C0F11" w:themeColor="accent1"/>
      <w:sz w:val="36"/>
      <w:szCs w:val="36"/>
      <w:lang w:val="de-DE"/>
    </w:rPr>
  </w:style>
  <w:style w:type="character" w:customStyle="1" w:styleId="Nadpis2Char">
    <w:name w:val="Nadpis 2 Char"/>
    <w:aliases w:val="±Head2 Char"/>
    <w:basedOn w:val="Standardnpsmoodstavce"/>
    <w:link w:val="Nadpis2"/>
    <w:uiPriority w:val="4"/>
    <w:rsid w:val="005375FC"/>
    <w:rPr>
      <w:rFonts w:asciiTheme="majorHAnsi" w:hAnsiTheme="majorHAnsi" w:cs="Arial"/>
      <w:color w:val="3C0F11" w:themeColor="accent1"/>
      <w:sz w:val="32"/>
      <w:szCs w:val="32"/>
      <w:lang w:val="de-DE"/>
    </w:rPr>
  </w:style>
  <w:style w:type="character" w:customStyle="1" w:styleId="Nadpis3Char">
    <w:name w:val="Nadpis 3 Char"/>
    <w:aliases w:val="±Head3 Char"/>
    <w:basedOn w:val="Standardnpsmoodstavce"/>
    <w:link w:val="Nadpis3"/>
    <w:uiPriority w:val="4"/>
    <w:rsid w:val="005375FC"/>
    <w:rPr>
      <w:rFonts w:asciiTheme="majorHAnsi" w:hAnsiTheme="majorHAnsi" w:cs="Arial"/>
      <w:color w:val="3C0F11" w:themeColor="accent1"/>
      <w:sz w:val="28"/>
      <w:szCs w:val="28"/>
      <w:lang w:val="de-DE"/>
    </w:rPr>
  </w:style>
  <w:style w:type="character" w:customStyle="1" w:styleId="Nadpis4Char">
    <w:name w:val="Nadpis 4 Char"/>
    <w:aliases w:val="±Head4 Char"/>
    <w:basedOn w:val="Standardnpsmoodstavce"/>
    <w:link w:val="Nadpis4"/>
    <w:uiPriority w:val="4"/>
    <w:rsid w:val="005375FC"/>
    <w:rPr>
      <w:rFonts w:cstheme="minorHAnsi"/>
      <w:color w:val="auto"/>
      <w:lang w:val="de-DE"/>
    </w:rPr>
  </w:style>
  <w:style w:type="character" w:customStyle="1" w:styleId="Nadpis5Char">
    <w:name w:val="Nadpis 5 Char"/>
    <w:aliases w:val="±Head5 Char"/>
    <w:basedOn w:val="Standardnpsmoodstavce"/>
    <w:link w:val="Nadpis5"/>
    <w:uiPriority w:val="4"/>
    <w:rsid w:val="005375FC"/>
    <w:rPr>
      <w:rFonts w:eastAsiaTheme="majorEastAsia" w:cstheme="minorHAnsi"/>
      <w:color w:val="3C0F11" w:themeColor="accent1"/>
      <w:lang w:val="de-DE"/>
    </w:rPr>
  </w:style>
  <w:style w:type="character" w:customStyle="1" w:styleId="Nadpis6Char">
    <w:name w:val="Nadpis 6 Char"/>
    <w:aliases w:val="±Head6 Char"/>
    <w:basedOn w:val="Standardnpsmoodstavce"/>
    <w:link w:val="Nadpis6"/>
    <w:uiPriority w:val="4"/>
    <w:semiHidden/>
    <w:rsid w:val="003A5E4F"/>
    <w:rPr>
      <w:rFonts w:asciiTheme="majorHAnsi" w:eastAsiaTheme="majorEastAsia" w:hAnsiTheme="majorHAnsi" w:cstheme="majorBidi"/>
      <w:b/>
      <w:i/>
      <w:iCs/>
      <w:color w:val="3C0F11" w:themeColor="accent1"/>
      <w:sz w:val="36"/>
    </w:rPr>
  </w:style>
  <w:style w:type="character" w:customStyle="1" w:styleId="Nadpis7Char">
    <w:name w:val="Nadpis 7 Char"/>
    <w:aliases w:val="±Head7 Char"/>
    <w:basedOn w:val="Standardnpsmoodstavce"/>
    <w:link w:val="Nadpis7"/>
    <w:uiPriority w:val="4"/>
    <w:semiHidden/>
    <w:rsid w:val="003A5E4F"/>
    <w:rPr>
      <w:rFonts w:asciiTheme="majorHAnsi" w:eastAsiaTheme="majorEastAsia" w:hAnsiTheme="majorHAnsi" w:cstheme="majorBidi"/>
      <w:b/>
      <w:iCs/>
      <w:color w:val="3C0F11" w:themeColor="accent1"/>
      <w:sz w:val="36"/>
    </w:rPr>
  </w:style>
  <w:style w:type="character" w:customStyle="1" w:styleId="Nadpis8Char">
    <w:name w:val="Nadpis 8 Char"/>
    <w:aliases w:val="±Head8 Char"/>
    <w:basedOn w:val="Standardnpsmoodstavce"/>
    <w:link w:val="Nadpis8"/>
    <w:uiPriority w:val="4"/>
    <w:semiHidden/>
    <w:rsid w:val="003A5E4F"/>
    <w:rPr>
      <w:rFonts w:asciiTheme="majorHAnsi" w:eastAsiaTheme="majorEastAsia" w:hAnsiTheme="majorHAnsi" w:cstheme="majorBidi"/>
      <w:color w:val="3C0F11" w:themeColor="accent1"/>
      <w:sz w:val="36"/>
    </w:rPr>
  </w:style>
  <w:style w:type="character" w:customStyle="1" w:styleId="Nadpis9Char">
    <w:name w:val="Nadpis 9 Char"/>
    <w:aliases w:val="±Head9 Char"/>
    <w:basedOn w:val="Standardnpsmoodstavce"/>
    <w:link w:val="Nadpis9"/>
    <w:uiPriority w:val="4"/>
    <w:semiHidden/>
    <w:rsid w:val="003A5E4F"/>
    <w:rPr>
      <w:rFonts w:asciiTheme="majorHAnsi" w:eastAsiaTheme="majorEastAsia" w:hAnsiTheme="majorHAnsi" w:cstheme="majorBidi"/>
      <w:i/>
      <w:iCs/>
      <w:color w:val="3C0F11" w:themeColor="accent1"/>
      <w:sz w:val="36"/>
    </w:rPr>
  </w:style>
  <w:style w:type="character" w:styleId="Hypertextovodkaz">
    <w:name w:val="Hyperlink"/>
    <w:aliases w:val="±HyperLink"/>
    <w:basedOn w:val="Standardnpsmoodstavce"/>
    <w:uiPriority w:val="99"/>
    <w:rsid w:val="00133A9E"/>
    <w:rPr>
      <w:color w:val="3C0F11"/>
      <w:u w:val="single"/>
    </w:rPr>
  </w:style>
  <w:style w:type="paragraph" w:styleId="Odstavecseseznamem">
    <w:name w:val="List Paragraph"/>
    <w:aliases w:val="Odrážky"/>
    <w:basedOn w:val="Normln"/>
    <w:link w:val="OdstavecseseznamemChar"/>
    <w:uiPriority w:val="34"/>
    <w:qFormat/>
    <w:rsid w:val="00E934FA"/>
    <w:pPr>
      <w:ind w:left="720"/>
      <w:contextualSpacing/>
    </w:pPr>
  </w:style>
  <w:style w:type="table" w:styleId="Stednstnovn2zvraznn1">
    <w:name w:val="Medium Shading 2 Accent 1"/>
    <w:basedOn w:val="Normlntabulka"/>
    <w:uiPriority w:val="64"/>
    <w:rsid w:val="00E934FA"/>
    <w:pPr>
      <w:spacing w:line="240" w:lineRule="auto"/>
    </w:pPr>
    <w:rPr>
      <w:rFonts w:cs="Arial"/>
      <w:color w:val="808080" w:themeColor="background1" w:themeShade="8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0F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0F11" w:themeFill="accent1"/>
      </w:tcPr>
    </w:tblStylePr>
    <w:tblStylePr w:type="lastCol">
      <w:rPr>
        <w:b/>
        <w:bCs/>
        <w:color w:val="FFFFFF" w:themeColor="background1"/>
      </w:rPr>
      <w:tblPr/>
      <w:tcPr>
        <w:tcBorders>
          <w:left w:val="nil"/>
          <w:right w:val="nil"/>
          <w:insideH w:val="nil"/>
          <w:insideV w:val="nil"/>
        </w:tcBorders>
        <w:shd w:val="clear" w:color="auto" w:fill="3C0F1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Zstupntext">
    <w:name w:val="Placeholder Text"/>
    <w:basedOn w:val="Standardnpsmoodstavce"/>
    <w:uiPriority w:val="99"/>
    <w:semiHidden/>
    <w:rsid w:val="00E934FA"/>
    <w:rPr>
      <w:color w:val="808080"/>
    </w:rPr>
  </w:style>
  <w:style w:type="table" w:styleId="Mkatabulky">
    <w:name w:val="Table Grid"/>
    <w:basedOn w:val="Normlntabulka"/>
    <w:uiPriority w:val="39"/>
    <w:rsid w:val="00CF0D1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obrzk">
    <w:name w:val="table of figures"/>
    <w:basedOn w:val="Normln"/>
    <w:next w:val="Normln"/>
    <w:uiPriority w:val="99"/>
    <w:semiHidden/>
    <w:rsid w:val="00E934FA"/>
    <w:pPr>
      <w:tabs>
        <w:tab w:val="left" w:pos="1276"/>
        <w:tab w:val="right" w:leader="dot" w:pos="9911"/>
      </w:tabs>
      <w:spacing w:before="40" w:after="40"/>
      <w:ind w:left="1276" w:right="709" w:hanging="1276"/>
    </w:pPr>
    <w:rPr>
      <w:rFonts w:cs="System"/>
      <w:noProof/>
      <w:color w:val="9D9D9D" w:themeColor="text2"/>
      <w:szCs w:val="21"/>
    </w:rPr>
  </w:style>
  <w:style w:type="paragraph" w:styleId="Obsah1">
    <w:name w:val="toc 1"/>
    <w:aliases w:val="±Heads1"/>
    <w:basedOn w:val="Normln"/>
    <w:next w:val="Normln"/>
    <w:uiPriority w:val="39"/>
    <w:semiHidden/>
    <w:rsid w:val="005375FC"/>
    <w:pPr>
      <w:tabs>
        <w:tab w:val="left" w:pos="709"/>
        <w:tab w:val="right" w:leader="dot" w:pos="9628"/>
      </w:tabs>
      <w:spacing w:after="20" w:line="240" w:lineRule="auto"/>
      <w:ind w:left="709" w:right="403" w:hanging="709"/>
    </w:pPr>
    <w:rPr>
      <w:rFonts w:ascii="Arial" w:eastAsia="SimSun" w:hAnsi="Arial" w:cs="Arial"/>
      <w:noProof/>
      <w:color w:val="3C0F11"/>
      <w:sz w:val="27"/>
      <w:lang w:eastAsia="en-GB"/>
    </w:rPr>
  </w:style>
  <w:style w:type="paragraph" w:styleId="Obsah2">
    <w:name w:val="toc 2"/>
    <w:aliases w:val="±Heads2"/>
    <w:basedOn w:val="Normln"/>
    <w:next w:val="Normln"/>
    <w:uiPriority w:val="39"/>
    <w:semiHidden/>
    <w:rsid w:val="005375FC"/>
    <w:pPr>
      <w:tabs>
        <w:tab w:val="left" w:pos="1418"/>
        <w:tab w:val="right" w:leader="dot" w:pos="9628"/>
      </w:tabs>
      <w:spacing w:before="20" w:after="20" w:line="240" w:lineRule="auto"/>
      <w:ind w:left="1418" w:right="403" w:hanging="709"/>
    </w:pPr>
    <w:rPr>
      <w:rFonts w:ascii="Arial" w:eastAsia="SimSun" w:hAnsi="Arial" w:cs="Arial"/>
      <w:noProof/>
      <w:color w:val="3C0F11"/>
      <w:sz w:val="22"/>
      <w:szCs w:val="22"/>
      <w:lang w:eastAsia="en-GB"/>
    </w:rPr>
  </w:style>
  <w:style w:type="paragraph" w:styleId="Obsah3">
    <w:name w:val="toc 3"/>
    <w:aliases w:val="±Heads3"/>
    <w:basedOn w:val="Normln"/>
    <w:next w:val="Normln"/>
    <w:uiPriority w:val="39"/>
    <w:semiHidden/>
    <w:rsid w:val="005375FC"/>
    <w:pPr>
      <w:tabs>
        <w:tab w:val="left" w:pos="2268"/>
        <w:tab w:val="right" w:leader="dot" w:pos="9628"/>
      </w:tabs>
      <w:spacing w:before="20" w:after="20" w:line="240" w:lineRule="auto"/>
      <w:ind w:left="2269" w:right="403" w:hanging="851"/>
    </w:pPr>
    <w:rPr>
      <w:rFonts w:ascii="Arial" w:eastAsia="SimSun" w:hAnsi="Arial" w:cs="Arial"/>
      <w:noProof/>
      <w:color w:val="3C0F11"/>
      <w:sz w:val="22"/>
      <w:szCs w:val="22"/>
      <w:lang w:eastAsia="en-GB"/>
    </w:rPr>
  </w:style>
  <w:style w:type="paragraph" w:styleId="Obsah4">
    <w:name w:val="toc 4"/>
    <w:aliases w:val="±Heads4"/>
    <w:basedOn w:val="Obsah3"/>
    <w:next w:val="Normln"/>
    <w:uiPriority w:val="39"/>
    <w:semiHidden/>
    <w:rsid w:val="00E934FA"/>
    <w:pPr>
      <w:tabs>
        <w:tab w:val="left" w:pos="2098"/>
      </w:tabs>
      <w:ind w:left="2098" w:hanging="794"/>
    </w:pPr>
  </w:style>
  <w:style w:type="paragraph" w:styleId="Obsah5">
    <w:name w:val="toc 5"/>
    <w:aliases w:val="±NoNumHeads"/>
    <w:basedOn w:val="Obsah1"/>
    <w:next w:val="Normln"/>
    <w:uiPriority w:val="39"/>
    <w:semiHidden/>
    <w:rsid w:val="00E934FA"/>
  </w:style>
  <w:style w:type="paragraph" w:styleId="Obsah6">
    <w:name w:val="toc 6"/>
    <w:aliases w:val="±Div"/>
    <w:basedOn w:val="Obsah1"/>
    <w:next w:val="Normln"/>
    <w:uiPriority w:val="39"/>
    <w:semiHidden/>
    <w:rsid w:val="00C8711C"/>
    <w:pPr>
      <w:tabs>
        <w:tab w:val="left" w:pos="1134"/>
      </w:tabs>
      <w:spacing w:before="360"/>
      <w:ind w:hanging="1134"/>
    </w:pPr>
    <w:rPr>
      <w:rFonts w:asciiTheme="majorHAnsi" w:hAnsiTheme="majorHAnsi"/>
      <w:color w:val="3C0F11" w:themeColor="accent1"/>
      <w:sz w:val="36"/>
    </w:rPr>
  </w:style>
  <w:style w:type="paragraph" w:styleId="Obsah7">
    <w:name w:val="toc 7"/>
    <w:aliases w:val="±AppHeads1"/>
    <w:basedOn w:val="Obsah1"/>
    <w:next w:val="Normln"/>
    <w:uiPriority w:val="39"/>
    <w:semiHidden/>
    <w:rsid w:val="00E934FA"/>
  </w:style>
  <w:style w:type="paragraph" w:styleId="Obsah8">
    <w:name w:val="toc 8"/>
    <w:aliases w:val="±AppHeads2"/>
    <w:basedOn w:val="Obsah2"/>
    <w:next w:val="Normln"/>
    <w:uiPriority w:val="39"/>
    <w:semiHidden/>
    <w:rsid w:val="00E934FA"/>
  </w:style>
  <w:style w:type="paragraph" w:styleId="Obsah9">
    <w:name w:val="toc 9"/>
    <w:aliases w:val="±AppHeads3"/>
    <w:basedOn w:val="Obsah3"/>
    <w:next w:val="Normln"/>
    <w:uiPriority w:val="39"/>
    <w:semiHidden/>
    <w:rsid w:val="00E934FA"/>
    <w:pPr>
      <w:spacing w:before="120" w:after="100"/>
      <w:ind w:left="1600"/>
    </w:pPr>
  </w:style>
  <w:style w:type="paragraph" w:styleId="Nadpisobsahu">
    <w:name w:val="TOC Heading"/>
    <w:basedOn w:val="Nadpis1"/>
    <w:next w:val="Normln"/>
    <w:uiPriority w:val="38"/>
    <w:semiHidden/>
    <w:rsid w:val="00072A72"/>
    <w:pPr>
      <w:keepLines/>
      <w:framePr w:w="8505" w:h="2268" w:hRule="exact" w:wrap="around" w:vAnchor="page" w:hAnchor="page" w:x="710" w:y="1702"/>
      <w:numPr>
        <w:numId w:val="0"/>
      </w:numPr>
      <w:spacing w:after="0"/>
    </w:pPr>
    <w:rPr>
      <w:rFonts w:eastAsiaTheme="majorEastAsia" w:cstheme="majorBidi"/>
      <w:bCs/>
      <w:sz w:val="162"/>
      <w:szCs w:val="28"/>
    </w:rPr>
  </w:style>
  <w:style w:type="paragraph" w:styleId="Revize">
    <w:name w:val="Revision"/>
    <w:hidden/>
    <w:uiPriority w:val="99"/>
    <w:semiHidden/>
    <w:rsid w:val="00B7403B"/>
    <w:pPr>
      <w:spacing w:line="240" w:lineRule="auto"/>
    </w:pPr>
    <w:rPr>
      <w:rFonts w:cs="Arial"/>
      <w:color w:val="808080" w:themeColor="background1" w:themeShade="80"/>
    </w:rPr>
  </w:style>
  <w:style w:type="numbering" w:customStyle="1" w:styleId="CurrentList1">
    <w:name w:val="Current List1"/>
    <w:uiPriority w:val="99"/>
    <w:rsid w:val="005F3B18"/>
    <w:pPr>
      <w:numPr>
        <w:numId w:val="21"/>
      </w:numPr>
    </w:pPr>
  </w:style>
  <w:style w:type="paragraph" w:styleId="Hlavikaobsahu">
    <w:name w:val="toa heading"/>
    <w:basedOn w:val="Normln"/>
    <w:next w:val="Normln"/>
    <w:uiPriority w:val="99"/>
    <w:semiHidden/>
    <w:rsid w:val="004A449B"/>
    <w:rPr>
      <w:rFonts w:asciiTheme="majorHAnsi" w:eastAsiaTheme="majorEastAsia" w:hAnsiTheme="majorHAnsi" w:cstheme="majorBidi"/>
      <w:b/>
      <w:bCs/>
      <w:sz w:val="24"/>
    </w:rPr>
  </w:style>
  <w:style w:type="paragraph" w:customStyle="1" w:styleId="KeyName">
    <w:name w:val="±KeyName"/>
    <w:basedOn w:val="Bezmezer"/>
    <w:next w:val="KeyContact"/>
    <w:uiPriority w:val="6"/>
    <w:rsid w:val="00681569"/>
    <w:pPr>
      <w:keepNext/>
      <w:spacing w:before="600"/>
    </w:pPr>
    <w:rPr>
      <w:rFonts w:asciiTheme="majorHAnsi" w:hAnsiTheme="majorHAnsi"/>
      <w:color w:val="3C0F11" w:themeColor="accent1"/>
      <w:sz w:val="24"/>
    </w:rPr>
  </w:style>
  <w:style w:type="character" w:styleId="Nevyeenzmnka">
    <w:name w:val="Unresolved Mention"/>
    <w:basedOn w:val="Standardnpsmoodstavce"/>
    <w:uiPriority w:val="99"/>
    <w:semiHidden/>
    <w:rsid w:val="00FA4ABD"/>
    <w:rPr>
      <w:color w:val="605E5C"/>
      <w:shd w:val="clear" w:color="auto" w:fill="E1DFDD"/>
    </w:rPr>
  </w:style>
  <w:style w:type="paragraph" w:customStyle="1" w:styleId="Head2NonToc">
    <w:name w:val="±Head2NonToc"/>
    <w:basedOn w:val="Normln"/>
    <w:uiPriority w:val="3"/>
    <w:semiHidden/>
    <w:rsid w:val="00F77964"/>
    <w:pPr>
      <w:keepNext/>
      <w:spacing w:before="360" w:after="120" w:line="240" w:lineRule="auto"/>
      <w:outlineLvl w:val="1"/>
    </w:pPr>
    <w:rPr>
      <w:rFonts w:asciiTheme="majorHAnsi" w:hAnsiTheme="majorHAnsi" w:cs="Arial"/>
      <w:color w:val="3C0F11" w:themeColor="accent1"/>
      <w:sz w:val="36"/>
    </w:rPr>
  </w:style>
  <w:style w:type="paragraph" w:customStyle="1" w:styleId="Disclaimer">
    <w:name w:val="±Disclaimer"/>
    <w:basedOn w:val="Bezmezer"/>
    <w:semiHidden/>
    <w:qFormat/>
    <w:rsid w:val="00AD0DEB"/>
    <w:rPr>
      <w:sz w:val="15"/>
    </w:rPr>
  </w:style>
  <w:style w:type="paragraph" w:customStyle="1" w:styleId="SymbolBullet4">
    <w:name w:val="±SymbolBullet4"/>
    <w:basedOn w:val="Normln"/>
    <w:uiPriority w:val="1"/>
    <w:rsid w:val="00F62858"/>
    <w:pPr>
      <w:numPr>
        <w:ilvl w:val="3"/>
        <w:numId w:val="2"/>
      </w:numPr>
      <w:spacing w:before="60" w:after="60"/>
    </w:pPr>
  </w:style>
  <w:style w:type="paragraph" w:customStyle="1" w:styleId="KeyContact">
    <w:name w:val="±KeyContact"/>
    <w:basedOn w:val="Bezmezer"/>
    <w:uiPriority w:val="6"/>
    <w:rsid w:val="00F537E8"/>
    <w:pPr>
      <w:spacing w:before="20" w:after="20"/>
    </w:pPr>
  </w:style>
  <w:style w:type="paragraph" w:customStyle="1" w:styleId="CoverVersion">
    <w:name w:val="±CoverVersion"/>
    <w:basedOn w:val="Bezmezer"/>
    <w:uiPriority w:val="34"/>
    <w:semiHidden/>
    <w:qFormat/>
    <w:rsid w:val="00E7059A"/>
    <w:rPr>
      <w:color w:val="F9423A" w:themeColor="accent2"/>
      <w:sz w:val="27"/>
    </w:rPr>
  </w:style>
  <w:style w:type="paragraph" w:customStyle="1" w:styleId="TableBullet4">
    <w:name w:val="±TableBullet4"/>
    <w:basedOn w:val="TableTextLeft"/>
    <w:uiPriority w:val="31"/>
    <w:rsid w:val="00A5235D"/>
    <w:pPr>
      <w:numPr>
        <w:ilvl w:val="3"/>
        <w:numId w:val="5"/>
      </w:numPr>
    </w:pPr>
    <w:rPr>
      <w:szCs w:val="36"/>
    </w:rPr>
  </w:style>
  <w:style w:type="paragraph" w:customStyle="1" w:styleId="KeyMsgTextWhite">
    <w:name w:val="±KeyMsgText_(White)"/>
    <w:basedOn w:val="KeyMsgText"/>
    <w:uiPriority w:val="32"/>
    <w:rsid w:val="00382F74"/>
    <w:rPr>
      <w:color w:val="FFFFFF" w:themeColor="background1"/>
    </w:rPr>
  </w:style>
  <w:style w:type="paragraph" w:customStyle="1" w:styleId="KeyMsgFact">
    <w:name w:val="±KeyMsgFact"/>
    <w:basedOn w:val="KeyMsgHead"/>
    <w:next w:val="KeyMsgTextWhite"/>
    <w:uiPriority w:val="32"/>
    <w:rsid w:val="00017736"/>
    <w:rPr>
      <w:color w:val="F9423A" w:themeColor="accent2"/>
      <w:sz w:val="72"/>
    </w:rPr>
  </w:style>
  <w:style w:type="character" w:customStyle="1" w:styleId="sidebar-outside">
    <w:name w:val="sidebar-outside"/>
    <w:basedOn w:val="Standardnpsmoodstavce"/>
    <w:rsid w:val="00E56584"/>
  </w:style>
  <w:style w:type="numbering" w:customStyle="1" w:styleId="Wording-Vorlage">
    <w:name w:val="Wording-Vorlage"/>
    <w:uiPriority w:val="99"/>
    <w:rsid w:val="00980B53"/>
    <w:pPr>
      <w:numPr>
        <w:numId w:val="24"/>
      </w:numPr>
    </w:pPr>
  </w:style>
  <w:style w:type="character" w:customStyle="1" w:styleId="OdstavecseseznamemChar">
    <w:name w:val="Odstavec se seznamem Char"/>
    <w:aliases w:val="Odrážky Char"/>
    <w:basedOn w:val="Standardnpsmoodstavce"/>
    <w:link w:val="Odstavecseseznamem"/>
    <w:uiPriority w:val="34"/>
    <w:rsid w:val="00047621"/>
    <w:rPr>
      <w:rFonts w:ascii="Calibri Light" w:hAnsi="Calibri Light"/>
      <w:color w:val="auto"/>
      <w:szCs w:val="24"/>
      <w:lang w:val="de-DE"/>
    </w:rPr>
  </w:style>
  <w:style w:type="paragraph" w:customStyle="1" w:styleId="L1H1">
    <w:name w:val="L1H1"/>
    <w:basedOn w:val="Odstavecseseznamem"/>
    <w:qFormat/>
    <w:rsid w:val="00047621"/>
    <w:pPr>
      <w:numPr>
        <w:numId w:val="26"/>
      </w:numPr>
      <w:spacing w:after="0"/>
      <w:ind w:left="567" w:hanging="567"/>
      <w:contextualSpacing w:val="0"/>
    </w:pPr>
    <w:rPr>
      <w:rFonts w:ascii="Arial" w:eastAsia="Cambria" w:hAnsi="Arial" w:cs="Arial"/>
      <w:bCs/>
      <w:szCs w:val="20"/>
      <w:lang w:val="cs-CZ"/>
    </w:rPr>
  </w:style>
  <w:style w:type="paragraph" w:customStyle="1" w:styleId="sloSmlouvy">
    <w:name w:val="Číslo Smlouvy"/>
    <w:basedOn w:val="TableTextLeft"/>
    <w:qFormat/>
    <w:rsid w:val="00220999"/>
    <w:pPr>
      <w:ind w:left="0" w:right="281"/>
      <w:jc w:val="left"/>
    </w:pPr>
    <w:rPr>
      <w:rFonts w:cs="Arial"/>
    </w:rPr>
  </w:style>
  <w:style w:type="character" w:customStyle="1" w:styleId="fontstyle01">
    <w:name w:val="fontstyle01"/>
    <w:basedOn w:val="Standardnpsmoodstavce"/>
    <w:rsid w:val="00F6360F"/>
    <w:rPr>
      <w:rFonts w:ascii="ArialMT" w:hAnsi="ArialMT" w:hint="default"/>
      <w:b w:val="0"/>
      <w:bCs w:val="0"/>
      <w:i w:val="0"/>
      <w:iCs w:val="0"/>
      <w:color w:val="000000"/>
      <w:sz w:val="18"/>
      <w:szCs w:val="18"/>
    </w:rPr>
  </w:style>
  <w:style w:type="character" w:customStyle="1" w:styleId="fontstyle21">
    <w:name w:val="fontstyle21"/>
    <w:basedOn w:val="Standardnpsmoodstavce"/>
    <w:rsid w:val="00F6360F"/>
    <w:rPr>
      <w:rFonts w:ascii="Arial-ItalicMT" w:hAnsi="Arial-ItalicMT" w:hint="default"/>
      <w:b w:val="0"/>
      <w:bCs w:val="0"/>
      <w:i/>
      <w:iCs/>
      <w:color w:val="000000"/>
      <w:sz w:val="16"/>
      <w:szCs w:val="16"/>
    </w:rPr>
  </w:style>
  <w:style w:type="paragraph" w:customStyle="1" w:styleId="Endorsements-nadpisy">
    <w:name w:val="Endorsements - nadpisy"/>
    <w:basedOn w:val="Normln"/>
    <w:link w:val="Endorsements-nadpisyChar"/>
    <w:qFormat/>
    <w:rsid w:val="00202615"/>
    <w:pPr>
      <w:spacing w:before="240" w:after="120"/>
      <w:ind w:left="-1134" w:right="-1"/>
    </w:pPr>
    <w:rPr>
      <w:rFonts w:cs="Arial"/>
      <w:b/>
      <w:bCs/>
      <w:lang w:val="cs-CZ"/>
    </w:rPr>
  </w:style>
  <w:style w:type="character" w:customStyle="1" w:styleId="Endorsements-nadpisyChar">
    <w:name w:val="Endorsements - nadpisy Char"/>
    <w:basedOn w:val="Standardnpsmoodstavce"/>
    <w:link w:val="Endorsements-nadpisy"/>
    <w:rsid w:val="00202615"/>
    <w:rPr>
      <w:rFonts w:cs="Arial"/>
      <w:b/>
      <w:bCs/>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55282">
      <w:bodyDiv w:val="1"/>
      <w:marLeft w:val="0"/>
      <w:marRight w:val="0"/>
      <w:marTop w:val="0"/>
      <w:marBottom w:val="0"/>
      <w:divBdr>
        <w:top w:val="none" w:sz="0" w:space="0" w:color="auto"/>
        <w:left w:val="none" w:sz="0" w:space="0" w:color="auto"/>
        <w:bottom w:val="none" w:sz="0" w:space="0" w:color="auto"/>
        <w:right w:val="none" w:sz="0" w:space="0" w:color="auto"/>
      </w:divBdr>
    </w:div>
    <w:div w:id="143872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e-claims@dualdeutschlan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enschutzbeauftragter@dualdeutschland.com" TargetMode="External"/><Relationship Id="rId5" Type="http://schemas.openxmlformats.org/officeDocument/2006/relationships/webSettings" Target="webSettings.xml"/><Relationship Id="rId10" Type="http://schemas.openxmlformats.org/officeDocument/2006/relationships/hyperlink" Target="mailto:mailt:mailtodatenschutzbeauftragter@dualdeutschland.com" TargetMode="External"/><Relationship Id="rId4" Type="http://schemas.openxmlformats.org/officeDocument/2006/relationships/settings" Target="settings.xml"/><Relationship Id="rId9" Type="http://schemas.openxmlformats.org/officeDocument/2006/relationships/hyperlink" Target="http://www.coi.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torek\Downloads\Rosewood.dotx" TargetMode="External"/></Relationships>
</file>

<file path=word/theme/theme1.xml><?xml version="1.0" encoding="utf-8"?>
<a:theme xmlns:a="http://schemas.openxmlformats.org/drawingml/2006/main" name="DUAL (Mustard)">
  <a:themeElements>
    <a:clrScheme name="DUAL (Rosewood)">
      <a:dk1>
        <a:sysClr val="windowText" lastClr="000000"/>
      </a:dk1>
      <a:lt1>
        <a:sysClr val="window" lastClr="FFFFFF"/>
      </a:lt1>
      <a:dk2>
        <a:srgbClr val="9D9D9D"/>
      </a:dk2>
      <a:lt2>
        <a:srgbClr val="F6F6F6"/>
      </a:lt2>
      <a:accent1>
        <a:srgbClr val="3C0F11"/>
      </a:accent1>
      <a:accent2>
        <a:srgbClr val="F9423A"/>
      </a:accent2>
      <a:accent3>
        <a:srgbClr val="7CE0D3"/>
      </a:accent3>
      <a:accent4>
        <a:srgbClr val="9D8788"/>
      </a:accent4>
      <a:accent5>
        <a:srgbClr val="FCA09C"/>
      </a:accent5>
      <a:accent6>
        <a:srgbClr val="BDEFE9"/>
      </a:accent6>
      <a:hlink>
        <a:srgbClr val="7CE0D3"/>
      </a:hlink>
      <a:folHlink>
        <a:srgbClr val="B0ECE5"/>
      </a:folHlink>
    </a:clrScheme>
    <a:fontScheme name="Howden">
      <a:majorFont>
        <a:latin typeface="Georgia"/>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180000" tIns="180000" rIns="180000" bIns="180000" rtlCol="0" anchor="ctr"/>
      <a:lstStyle>
        <a:defPPr algn="ctr">
          <a:defRPr sz="1200" dirty="0" err="1" smtClean="0">
            <a:solidFill>
              <a:schemeClr val="bg1"/>
            </a:solidFill>
          </a:defRPr>
        </a:defPPr>
      </a:lstStyle>
      <a:style>
        <a:lnRef idx="2">
          <a:schemeClr val="accent1">
            <a:shade val="15000"/>
          </a:schemeClr>
        </a:lnRef>
        <a:fillRef idx="1">
          <a:schemeClr val="accent1"/>
        </a:fillRef>
        <a:effectRef idx="0">
          <a:schemeClr val="accent1"/>
        </a:effectRef>
        <a:fontRef idx="minor">
          <a:schemeClr val="lt1"/>
        </a:fontRef>
      </a:style>
    </a:spDef>
    <a:lnDef>
      <a:spPr>
        <a:ln w="6350">
          <a:solidFill>
            <a:schemeClr val="accent1"/>
          </a:solidFill>
        </a:ln>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Poppy">
      <a:srgbClr val="F9423A"/>
    </a:custClr>
    <a:custClr name="Rosewood">
      <a:srgbClr val="3C0F11"/>
    </a:custClr>
    <a:custClr name="Mustard">
      <a:srgbClr val="FFBF3F"/>
    </a:custClr>
    <a:custClr name="Gold">
      <a:srgbClr val="998542"/>
    </a:custClr>
    <a:custClr name="Cobalt blue">
      <a:srgbClr val="0857C3"/>
    </a:custClr>
    <a:custClr name="Teal">
      <a:srgbClr val="7CE0D3"/>
    </a:custClr>
    <a:custClr name="Pistachio">
      <a:srgbClr val="E0EC89"/>
    </a:custClr>
    <a:custClr name="Moss green">
      <a:srgbClr val="173F35"/>
    </a:custClr>
    <a:custClr name="Black">
      <a:srgbClr val="000000"/>
    </a:custClr>
    <a:custClr name="Positive green">
      <a:srgbClr val="0DA20D"/>
    </a:custClr>
    <a:custClr name="Poppy 60%">
      <a:srgbClr val="FB8E89"/>
    </a:custClr>
    <a:custClr name="Rosewood 60%">
      <a:srgbClr val="8A6F70"/>
    </a:custClr>
    <a:custClr name="Mustard 60%">
      <a:srgbClr val="FFD98C"/>
    </a:custClr>
    <a:custClr name="Gold 60%">
      <a:srgbClr val="C2B68E"/>
    </a:custClr>
    <a:custClr name="Cobalt blue 60%">
      <a:srgbClr val="6B9ADB"/>
    </a:custClr>
    <a:custClr name="Teal 60%">
      <a:srgbClr val="B0ECE5"/>
    </a:custClr>
    <a:custClr name="Pistachio 60%">
      <a:srgbClr val="ECF4B8"/>
    </a:custClr>
    <a:custClr name="Moss green 60%">
      <a:srgbClr val="748C86"/>
    </a:custClr>
    <a:custClr name="Grey 60%">
      <a:srgbClr val="9D9D9D"/>
    </a:custClr>
    <a:custClr name="Neutral amber">
      <a:srgbClr val="FAAA00"/>
    </a:custClr>
    <a:custClr name="Poppy 30%">
      <a:srgbClr val="FDC7C4"/>
    </a:custClr>
    <a:custClr name="Rosewood 30%">
      <a:srgbClr val="C5B7B8"/>
    </a:custClr>
    <a:custClr name="Mustard 30%">
      <a:srgbClr val="FFECC6"/>
    </a:custClr>
    <a:custClr name="Gold 30%">
      <a:srgbClr val="E1DBC7"/>
    </a:custClr>
    <a:custClr name="Cobalt blue 30%">
      <a:srgbClr val="B5CDED"/>
    </a:custClr>
    <a:custClr name="Teal 30%">
      <a:srgbClr val="D8F6F2"/>
    </a:custClr>
    <a:custClr name="Pistachio 30%">
      <a:srgbClr val="F6F9DC"/>
    </a:custClr>
    <a:custClr name="Moss green 30%">
      <a:srgbClr val="BAC6C3"/>
    </a:custClr>
    <a:custClr name="Soft white">
      <a:srgbClr val="F6F6F6"/>
    </a:custClr>
    <a:custClr name="Negative red">
      <a:srgbClr val="DC000F"/>
    </a:custClr>
    <a:custClr name="Poppy 10%">
      <a:srgbClr val="FEECEC"/>
    </a:custClr>
    <a:custClr name="Rosewood 10%">
      <a:srgbClr val="ECE7E8"/>
    </a:custClr>
    <a:custClr name="Mustard 10%">
      <a:srgbClr val="FFF9EC"/>
    </a:custClr>
    <a:custClr name="Gold 10%">
      <a:srgbClr val="F5F3EC"/>
    </a:custClr>
    <a:custClr name="Cobalt blue 10%">
      <a:srgbClr val="E7EFF9"/>
    </a:custClr>
    <a:custClr name="Teal 10%">
      <a:srgbClr val="F2FCFB"/>
    </a:custClr>
    <a:custClr name="Pistachio 10%">
      <a:srgbClr val="FCFDF3"/>
    </a:custClr>
    <a:custClr name="Moss green 10%">
      <a:srgbClr val="E8ECEB"/>
    </a:custClr>
    <a:custClr name="White">
      <a:srgbClr val="FFFFFF"/>
    </a:custClr>
  </a:custClrLst>
  <a:extLst>
    <a:ext uri="{05A4C25C-085E-4340-85A3-A5531E510DB2}">
      <thm15:themeFamily xmlns:thm15="http://schemas.microsoft.com/office/thememl/2012/main" name="DUAL (Mustard)" id="{2A16DC56-CC9D-4953-B2D4-18E30841DCAA}" vid="{357BF2F2-3639-4CEE-8743-00ED4B19B9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26475-10A5-499A-A629-B738F85C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Rosewood</Template>
  <TotalTime>6</TotalTime>
  <Pages>11</Pages>
  <Words>5450</Words>
  <Characters>32159</Characters>
  <Application>Microsoft Office Word</Application>
  <DocSecurity>0</DocSecurity>
  <Lines>267</Lines>
  <Paragraphs>75</Paragraphs>
  <ScaleCrop>false</ScaleCrop>
  <HeadingPairs>
    <vt:vector size="6" baseType="variant">
      <vt:variant>
        <vt:lpstr>Název</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www.shoeblakhi.com</Company>
  <LinksUpToDate>false</LinksUpToDate>
  <CharactersWithSpaces>37534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Sustar</dc:creator>
  <cp:keywords/>
  <dc:description/>
  <cp:lastModifiedBy>Blanka Grebeňová</cp:lastModifiedBy>
  <cp:revision>2</cp:revision>
  <cp:lastPrinted>2025-02-25T15:37:00Z</cp:lastPrinted>
  <dcterms:created xsi:type="dcterms:W3CDTF">2026-08-18T04:33:00Z</dcterms:created>
  <dcterms:modified xsi:type="dcterms:W3CDTF">2026-08-18T04:33:00Z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1.07</vt:lpwstr>
  </property>
  <property fmtid="{D5CDD505-2E9C-101B-9397-08002B2CF9AE}" pid="3" name="Date">
    <vt:lpwstr>20.09.2024</vt:lpwstr>
  </property>
</Properties>
</file>