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C" w:rsidRPr="00885C2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proofErr w:type="gramStart"/>
      <w:r w:rsidR="0014413C"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 E Ř E J N O P R Á V N Í   S M L O U V A</w:t>
      </w:r>
      <w:proofErr w:type="gramEnd"/>
    </w:p>
    <w:p w:rsidR="003F7C70" w:rsidRPr="00885C2C" w:rsidRDefault="0014413C" w:rsidP="003F7C7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o poskytnutí dotace z rozpočtu Karlovarského kraje</w:t>
      </w:r>
      <w:r w:rsidR="003F7C70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– odboru životního prostředí a zemědělství </w:t>
      </w:r>
    </w:p>
    <w:p w:rsidR="0014413C" w:rsidRPr="00885C2C" w:rsidRDefault="003F7C70" w:rsidP="003F7C7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(dále jen „</w:t>
      </w:r>
      <w:r w:rsidRPr="00885C2C">
        <w:rPr>
          <w:rFonts w:ascii="Times New Roman" w:eastAsia="Times New Roman" w:hAnsi="Times New Roman"/>
          <w:i/>
          <w:sz w:val="24"/>
          <w:szCs w:val="24"/>
          <w:lang w:eastAsia="cs-CZ"/>
        </w:rPr>
        <w:t>smlouva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“)</w:t>
      </w:r>
    </w:p>
    <w:p w:rsidR="0014413C" w:rsidRPr="00885C2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Smluvní strany: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sz w:val="24"/>
          <w:szCs w:val="24"/>
          <w:lang w:eastAsia="cs-CZ"/>
        </w:rPr>
        <w:t>Karlovarský kraj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Sídlo: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  <w:t>Závodní 353/88, 360 06 Karlovy Vary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IČO: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  <w:t>70891168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DIČ: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  <w:t>CZ70891168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Zastoupený: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8D4CFA" w:rsidRPr="00885C2C">
        <w:rPr>
          <w:rFonts w:ascii="Times New Roman" w:eastAsia="Times New Roman" w:hAnsi="Times New Roman"/>
          <w:sz w:val="24"/>
          <w:szCs w:val="24"/>
          <w:lang w:eastAsia="cs-CZ"/>
        </w:rPr>
        <w:t>Ing. Josef Hora, člen rady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Bankovní spojení: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  <w:t>Komerční banka, a.s., pobočka Karlovy Vary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Číslo účtu: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1963" w:rsidRPr="0055172D">
        <w:rPr>
          <w:rFonts w:ascii="Times New Roman" w:eastAsia="Times New Roman" w:hAnsi="Times New Roman"/>
          <w:sz w:val="24"/>
          <w:szCs w:val="24"/>
          <w:lang w:eastAsia="cs-CZ"/>
        </w:rPr>
        <w:t>XXX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(dále jen „</w:t>
      </w:r>
      <w:r w:rsidRPr="00885C2C">
        <w:rPr>
          <w:rFonts w:ascii="Times New Roman" w:eastAsia="Times New Roman" w:hAnsi="Times New Roman"/>
          <w:i/>
          <w:sz w:val="24"/>
          <w:szCs w:val="24"/>
          <w:lang w:eastAsia="cs-CZ"/>
        </w:rPr>
        <w:t>poskytovatel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“)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6528E" w:rsidRPr="00885C2C" w:rsidRDefault="00011FC2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Český rybářský </w:t>
      </w:r>
      <w:proofErr w:type="gramStart"/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svaz, z.s.</w:t>
      </w:r>
      <w:proofErr w:type="gramEnd"/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Západočeský územní svaz</w:t>
      </w:r>
      <w:r w:rsidR="007845E7"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:rsidR="0086528E" w:rsidRPr="00885C2C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Sídlo:</w:t>
      </w:r>
      <w:r w:rsidR="008D4CFA"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11FC2" w:rsidRPr="00885C2C">
        <w:rPr>
          <w:rFonts w:ascii="Times New Roman" w:eastAsia="Times New Roman" w:hAnsi="Times New Roman"/>
          <w:sz w:val="24"/>
          <w:szCs w:val="24"/>
          <w:lang w:eastAsia="cs-CZ"/>
        </w:rPr>
        <w:t>Tovární 5, 301 00 Plzeň</w:t>
      </w:r>
    </w:p>
    <w:p w:rsidR="0086528E" w:rsidRPr="00885C2C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IČO:      </w:t>
      </w:r>
      <w:r w:rsidR="008D4CFA"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11FC2" w:rsidRPr="00885C2C">
        <w:rPr>
          <w:rFonts w:ascii="Times New Roman" w:eastAsia="Times New Roman" w:hAnsi="Times New Roman"/>
          <w:sz w:val="24"/>
          <w:szCs w:val="24"/>
          <w:lang w:eastAsia="cs-CZ"/>
        </w:rPr>
        <w:t>00434124</w:t>
      </w:r>
    </w:p>
    <w:p w:rsidR="0086528E" w:rsidRPr="00885C2C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8D4CFA" w:rsidRPr="00885C2C">
        <w:rPr>
          <w:rFonts w:ascii="Times New Roman" w:eastAsia="Times New Roman" w:hAnsi="Times New Roman"/>
          <w:sz w:val="24"/>
          <w:szCs w:val="24"/>
          <w:lang w:eastAsia="cs-CZ"/>
        </w:rPr>
        <w:t>Pobočný spolek</w:t>
      </w:r>
    </w:p>
    <w:p w:rsidR="008D4CFA" w:rsidRPr="00885C2C" w:rsidRDefault="0086528E" w:rsidP="008D4CF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Zastoupený: 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="005B2395" w:rsidRPr="00885C2C">
        <w:rPr>
          <w:rFonts w:ascii="Times New Roman" w:eastAsia="Arial Unicode MS" w:hAnsi="Times New Roman"/>
          <w:sz w:val="24"/>
          <w:szCs w:val="24"/>
          <w:lang w:eastAsia="cs-CZ"/>
        </w:rPr>
        <w:t>JUDr. Alexand</w:t>
      </w:r>
      <w:r w:rsidR="007845E7" w:rsidRPr="00885C2C">
        <w:rPr>
          <w:rFonts w:ascii="Times New Roman" w:eastAsia="Arial Unicode MS" w:hAnsi="Times New Roman"/>
          <w:sz w:val="24"/>
          <w:szCs w:val="24"/>
          <w:lang w:eastAsia="cs-CZ"/>
        </w:rPr>
        <w:t>er</w:t>
      </w:r>
      <w:r w:rsidR="005B2395"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Šíma</w:t>
      </w:r>
      <w:r w:rsidR="008D4CFA" w:rsidRPr="00885C2C">
        <w:rPr>
          <w:rFonts w:ascii="Times New Roman" w:eastAsia="Arial Unicode MS" w:hAnsi="Times New Roman"/>
          <w:sz w:val="24"/>
          <w:szCs w:val="24"/>
          <w:lang w:eastAsia="cs-CZ"/>
        </w:rPr>
        <w:t>, předseda</w:t>
      </w:r>
    </w:p>
    <w:p w:rsidR="0086528E" w:rsidRPr="00885C2C" w:rsidRDefault="008D4CFA" w:rsidP="008D4CF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="005B2395" w:rsidRPr="00885C2C">
        <w:rPr>
          <w:rFonts w:ascii="Times New Roman" w:eastAsia="Arial Unicode MS" w:hAnsi="Times New Roman"/>
          <w:sz w:val="24"/>
          <w:szCs w:val="24"/>
          <w:lang w:eastAsia="cs-CZ"/>
        </w:rPr>
        <w:t>Martin Bílý, jednatel</w:t>
      </w:r>
    </w:p>
    <w:p w:rsidR="0086528E" w:rsidRPr="00885C2C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Reg</w:t>
      </w:r>
      <w:r w:rsidR="008D4CFA" w:rsidRPr="00885C2C">
        <w:rPr>
          <w:rFonts w:ascii="Times New Roman" w:eastAsia="Arial Unicode MS" w:hAnsi="Times New Roman"/>
          <w:sz w:val="24"/>
          <w:szCs w:val="24"/>
          <w:lang w:eastAsia="cs-CZ"/>
        </w:rPr>
        <w:t>istrace ve veřejném rejstří</w:t>
      </w:r>
      <w:r w:rsidR="007845E7" w:rsidRPr="00885C2C">
        <w:rPr>
          <w:rFonts w:ascii="Times New Roman" w:eastAsia="Arial Unicode MS" w:hAnsi="Times New Roman"/>
          <w:sz w:val="24"/>
          <w:szCs w:val="24"/>
          <w:lang w:eastAsia="cs-CZ"/>
        </w:rPr>
        <w:t>ku: Městský soud v Praze L 42810</w:t>
      </w:r>
    </w:p>
    <w:p w:rsidR="0086528E" w:rsidRPr="00885C2C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Bankovní spojení: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="007845E7" w:rsidRPr="00885C2C">
        <w:rPr>
          <w:rFonts w:ascii="Times New Roman" w:eastAsia="Arial Unicode MS" w:hAnsi="Times New Roman"/>
          <w:sz w:val="24"/>
          <w:szCs w:val="24"/>
          <w:lang w:eastAsia="cs-CZ"/>
        </w:rPr>
        <w:t>Komerční banka</w:t>
      </w:r>
      <w:r w:rsidR="008D4CFA" w:rsidRPr="00885C2C">
        <w:rPr>
          <w:rFonts w:ascii="Times New Roman" w:eastAsia="Arial Unicode MS" w:hAnsi="Times New Roman"/>
          <w:sz w:val="24"/>
          <w:szCs w:val="24"/>
          <w:lang w:eastAsia="cs-CZ"/>
        </w:rPr>
        <w:t>, a.s.</w:t>
      </w:r>
    </w:p>
    <w:p w:rsidR="0086528E" w:rsidRPr="00885C2C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Číslo účtu:</w:t>
      </w:r>
      <w:r w:rsidR="008D4CFA"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1963" w:rsidRPr="0055172D">
        <w:rPr>
          <w:rFonts w:ascii="Times New Roman" w:eastAsia="Times New Roman" w:hAnsi="Times New Roman"/>
          <w:sz w:val="24"/>
          <w:szCs w:val="24"/>
          <w:lang w:eastAsia="cs-CZ"/>
        </w:rPr>
        <w:t>XXX</w:t>
      </w:r>
    </w:p>
    <w:p w:rsidR="0086528E" w:rsidRPr="00885C2C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Je/není plátce DPH: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8D4CFA" w:rsidRPr="00885C2C">
        <w:rPr>
          <w:rFonts w:ascii="Times New Roman" w:eastAsia="Times New Roman" w:hAnsi="Times New Roman"/>
          <w:sz w:val="24"/>
          <w:szCs w:val="24"/>
          <w:lang w:eastAsia="cs-CZ"/>
        </w:rPr>
        <w:t>není</w:t>
      </w:r>
    </w:p>
    <w:p w:rsidR="0086528E" w:rsidRPr="00885C2C" w:rsidRDefault="0086528E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(dále jen „</w:t>
      </w:r>
      <w:r w:rsidRPr="00885C2C">
        <w:rPr>
          <w:rFonts w:ascii="Times New Roman" w:eastAsia="Times New Roman" w:hAnsi="Times New Roman"/>
          <w:i/>
          <w:sz w:val="24"/>
          <w:szCs w:val="24"/>
          <w:lang w:eastAsia="cs-CZ"/>
        </w:rPr>
        <w:t>příjemce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“)</w:t>
      </w:r>
    </w:p>
    <w:p w:rsidR="003B42E8" w:rsidRPr="00885C2C" w:rsidRDefault="003B42E8" w:rsidP="003B4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I.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Obecné ustanovení</w:t>
      </w:r>
    </w:p>
    <w:p w:rsidR="0086528E" w:rsidRPr="00885C2C" w:rsidRDefault="0014413C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V souladu se zákony č. 129/2000 Sb., o krajích, ve znění pozdějších předpisů, a č. 250/2000 Sb., o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rozpočtových pravidlech územních rozpočtů, ve znění pozdějších předpisů (dále také „</w:t>
      </w:r>
      <w:r w:rsidRPr="00885C2C">
        <w:rPr>
          <w:rFonts w:ascii="Times New Roman" w:eastAsia="Arial Unicode MS" w:hAnsi="Times New Roman"/>
          <w:i/>
          <w:sz w:val="24"/>
          <w:szCs w:val="24"/>
          <w:lang w:eastAsia="cs-CZ"/>
        </w:rPr>
        <w:t>zákon o</w:t>
      </w:r>
      <w:r w:rsidR="00B7459B" w:rsidRPr="00885C2C">
        <w:rPr>
          <w:rFonts w:ascii="Times New Roman" w:eastAsia="Arial Unicode MS" w:hAnsi="Times New Roman"/>
          <w:i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i/>
          <w:sz w:val="24"/>
          <w:szCs w:val="24"/>
          <w:lang w:eastAsia="cs-CZ"/>
        </w:rPr>
        <w:t>rozpočtových pravidlech územních rozpočtů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“) poskytovatel poskytuje příjemci dotaci na účel uvedený v článku II. této smlouvy a příjemce tuto dotaci přijímá.</w:t>
      </w:r>
    </w:p>
    <w:p w:rsidR="0086528E" w:rsidRPr="00885C2C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86528E" w:rsidRPr="00885C2C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86528E" w:rsidRPr="00885C2C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II.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Výše dotace a její účel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Poskytovatel poskytuje příjemci v roce </w:t>
      </w:r>
      <w:r w:rsidR="00727033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2016 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neinvestiční dotaci z rozpočtu poskytovatele ve výši </w:t>
      </w:r>
      <w:r w:rsidR="007845E7" w:rsidRPr="00885C2C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727033" w:rsidRPr="00885C2C">
        <w:rPr>
          <w:rFonts w:ascii="Times New Roman" w:eastAsia="Times New Roman" w:hAnsi="Times New Roman"/>
          <w:sz w:val="24"/>
          <w:szCs w:val="24"/>
          <w:lang w:eastAsia="cs-CZ"/>
        </w:rPr>
        <w:t>50.000,-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Kč (slovy: </w:t>
      </w:r>
      <w:proofErr w:type="spellStart"/>
      <w:r w:rsidR="007845E7" w:rsidRPr="00885C2C">
        <w:rPr>
          <w:rFonts w:ascii="Times New Roman" w:eastAsia="Times New Roman" w:hAnsi="Times New Roman"/>
          <w:sz w:val="24"/>
          <w:szCs w:val="24"/>
          <w:lang w:eastAsia="cs-CZ"/>
        </w:rPr>
        <w:t>sto</w:t>
      </w:r>
      <w:r w:rsidR="00727033" w:rsidRPr="00885C2C">
        <w:rPr>
          <w:rFonts w:ascii="Times New Roman" w:eastAsia="Times New Roman" w:hAnsi="Times New Roman"/>
          <w:sz w:val="24"/>
          <w:szCs w:val="24"/>
          <w:lang w:eastAsia="cs-CZ"/>
        </w:rPr>
        <w:t>padesáttisíc</w:t>
      </w:r>
      <w:proofErr w:type="spellEnd"/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korun českých) </w:t>
      </w:r>
      <w:r w:rsidRPr="00885C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na </w:t>
      </w:r>
      <w:r w:rsidR="007845E7" w:rsidRPr="00885C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vysazení </w:t>
      </w:r>
      <w:proofErr w:type="spellStart"/>
      <w:r w:rsidR="007845E7" w:rsidRPr="00885C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reofilních</w:t>
      </w:r>
      <w:proofErr w:type="spellEnd"/>
      <w:r w:rsidR="007845E7" w:rsidRPr="00885C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druhů ryb do </w:t>
      </w:r>
      <w:r w:rsidR="007845E7" w:rsidRPr="00885C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lastRenderedPageBreak/>
        <w:t>revírů v Karlovarském kraji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, blíže specifikovaný</w:t>
      </w:r>
      <w:r w:rsidR="00885C2C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v žádosti o poskytnutí dotace, která tvoří nedílnou součást této smlouvy jako Příloha č. 1 (dále jen „</w:t>
      </w:r>
      <w:r w:rsidRPr="00885C2C">
        <w:rPr>
          <w:rFonts w:ascii="Times New Roman" w:eastAsia="Times New Roman" w:hAnsi="Times New Roman"/>
          <w:i/>
          <w:sz w:val="24"/>
          <w:szCs w:val="24"/>
          <w:lang w:eastAsia="cs-CZ"/>
        </w:rPr>
        <w:t>akce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“). 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65835" w:rsidRPr="00885C2C" w:rsidRDefault="00265835" w:rsidP="00144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III.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Způsob poskytnutí dotace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Dotace bude příjemci poukázána jednorázově </w:t>
      </w:r>
      <w:r w:rsidR="003B42E8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do </w:t>
      </w:r>
      <w:r w:rsidR="00727033" w:rsidRPr="00885C2C">
        <w:rPr>
          <w:rFonts w:ascii="Times New Roman" w:eastAsia="Times New Roman" w:hAnsi="Times New Roman"/>
          <w:sz w:val="24"/>
          <w:szCs w:val="24"/>
          <w:lang w:eastAsia="cs-CZ"/>
        </w:rPr>
        <w:t>21</w:t>
      </w:r>
      <w:r w:rsidR="003B42E8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kalendářních dnů 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od uzavření této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smlouvy, a to formou bezhotovostního převodu na jeho bankovní účet uvedený výše v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této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smlouvě. Dotace je poskytována formou zálohy s povinností následného vyúčtování. 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IV.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Základní povinnosti příjemce</w:t>
      </w:r>
    </w:p>
    <w:p w:rsidR="0014413C" w:rsidRPr="00885C2C" w:rsidRDefault="0014413C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Příjemce je povinen použít poskytnuté peněžní prostředky maximálně hospodárným způsobem a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výhradně k účelu uvedenému v článku II. této smlouvy a vyčerpat je do </w:t>
      </w:r>
      <w:r w:rsidR="00727033" w:rsidRPr="00885C2C">
        <w:rPr>
          <w:rFonts w:ascii="Times New Roman" w:eastAsia="Arial Unicode MS" w:hAnsi="Times New Roman"/>
          <w:sz w:val="24"/>
          <w:szCs w:val="24"/>
          <w:lang w:eastAsia="cs-CZ"/>
        </w:rPr>
        <w:t>30.</w:t>
      </w:r>
      <w:r w:rsidR="00D838F6"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  <w:r w:rsidR="00727033" w:rsidRPr="00885C2C">
        <w:rPr>
          <w:rFonts w:ascii="Times New Roman" w:eastAsia="Arial Unicode MS" w:hAnsi="Times New Roman"/>
          <w:sz w:val="24"/>
          <w:szCs w:val="24"/>
          <w:lang w:eastAsia="cs-CZ"/>
        </w:rPr>
        <w:t>11.</w:t>
      </w:r>
      <w:r w:rsidR="00D838F6"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  <w:r w:rsidR="00727033" w:rsidRPr="00885C2C">
        <w:rPr>
          <w:rFonts w:ascii="Times New Roman" w:eastAsia="Arial Unicode MS" w:hAnsi="Times New Roman"/>
          <w:sz w:val="24"/>
          <w:szCs w:val="24"/>
          <w:lang w:eastAsia="cs-CZ"/>
        </w:rPr>
        <w:t>2016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. Tyto prostředky nesmí poskytnout jiným právnickým nebo fyzickým osobám, pokud nejde o úhrady spojené s realizací účelu, na který byly poskytnuty. Poskytnuté peněžní prostředky nelze použít na dary, pohoštění, mzdy pracovníků nebo funkcionářů příjemce či příjemce samotného, penále, úroky z úvěrů, náhrady škod, pojistné, pokuty</w:t>
      </w:r>
      <w:r w:rsidR="003211B2"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apod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.</w:t>
      </w:r>
    </w:p>
    <w:p w:rsidR="0014413C" w:rsidRPr="00885C2C" w:rsidRDefault="0014413C" w:rsidP="00932C2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5A7596" w:rsidRPr="00885C2C" w:rsidRDefault="005A7596" w:rsidP="005A7596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Účetní operace související s akcí musí být odděleně identifikovatelné od ostatních účetních operací s akcí nesouvisejících. Příjemce je povinen vést oddělenou evidenci s vazbou ke konkrétní akci. To znamená, že akce musí být účtována odděleně od ostatních aktivit příjemce (např. na zvláštním účetním středisku). </w:t>
      </w:r>
    </w:p>
    <w:p w:rsidR="0014413C" w:rsidRPr="00885C2C" w:rsidRDefault="0014413C" w:rsidP="00932C2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6E1052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hAnsi="Times New Roman"/>
          <w:sz w:val="24"/>
          <w:szCs w:val="24"/>
        </w:rPr>
        <w:t>Příjemce se zavazuje, že zabezpečí:</w:t>
      </w:r>
    </w:p>
    <w:p w:rsidR="0014413C" w:rsidRPr="00885C2C" w:rsidRDefault="0014413C" w:rsidP="0014413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E1052" w:rsidRPr="00885C2C" w:rsidRDefault="00704AAE" w:rsidP="008826C9">
      <w:pPr>
        <w:pStyle w:val="Normlnweb"/>
        <w:ind w:left="720"/>
        <w:jc w:val="both"/>
        <w:rPr>
          <w:b/>
        </w:rPr>
      </w:pPr>
      <w:r w:rsidRPr="00885C2C">
        <w:rPr>
          <w:b/>
        </w:rPr>
        <w:t xml:space="preserve">Vysazení </w:t>
      </w:r>
      <w:proofErr w:type="spellStart"/>
      <w:r w:rsidRPr="00885C2C">
        <w:rPr>
          <w:b/>
        </w:rPr>
        <w:t>reofilních</w:t>
      </w:r>
      <w:proofErr w:type="spellEnd"/>
      <w:r w:rsidRPr="00885C2C">
        <w:rPr>
          <w:b/>
        </w:rPr>
        <w:t xml:space="preserve"> druhů ryb do revírů v Karlovarském kraji</w:t>
      </w:r>
    </w:p>
    <w:p w:rsidR="0014413C" w:rsidRPr="00885C2C" w:rsidRDefault="0014413C" w:rsidP="0014413C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Příjemce je povinen provést a předložit poskytovateli – odboru </w:t>
      </w:r>
      <w:r w:rsidR="00727033" w:rsidRPr="00885C2C">
        <w:rPr>
          <w:rFonts w:ascii="Times New Roman" w:hAnsi="Times New Roman"/>
          <w:sz w:val="24"/>
          <w:szCs w:val="24"/>
        </w:rPr>
        <w:t xml:space="preserve">životního prostředí a zemědělství 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závěrečné vyúčtování dotace, které opatří statutární zástupce příjemce svým podpisem, a to </w:t>
      </w:r>
      <w:r w:rsidR="00D838F6" w:rsidRPr="00885C2C">
        <w:rPr>
          <w:rFonts w:ascii="Times New Roman" w:hAnsi="Times New Roman"/>
          <w:b/>
          <w:sz w:val="24"/>
          <w:szCs w:val="24"/>
        </w:rPr>
        <w:t>do 2. </w:t>
      </w:r>
      <w:r w:rsidR="00727033" w:rsidRPr="00885C2C">
        <w:rPr>
          <w:rFonts w:ascii="Times New Roman" w:hAnsi="Times New Roman"/>
          <w:b/>
          <w:sz w:val="24"/>
          <w:szCs w:val="24"/>
        </w:rPr>
        <w:t>prosince 2016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, resp.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 w:rsidRPr="00885C2C">
        <w:rPr>
          <w:rFonts w:ascii="Times New Roman" w:eastAsia="Arial Unicode MS" w:hAnsi="Times New Roman"/>
          <w:sz w:val="24"/>
          <w:szCs w:val="24"/>
          <w:lang w:eastAsia="cs-CZ"/>
        </w:rPr>
        <w:t>.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Zálohová faktura se nepovažuje za doklad k závěrečnému vyúčtování dotace.</w:t>
      </w:r>
    </w:p>
    <w:p w:rsidR="0014413C" w:rsidRPr="00885C2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C51ACF" w:rsidRPr="00885C2C" w:rsidRDefault="00EA39C9" w:rsidP="00C51ACF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Nevyčerpané finanční prostředky dotace je příjemce povinen vrátit nejpozději do termínu předložení závěrečného vyúčtování dotace uvedeného v čl. IV. odst. 4, a to formou </w:t>
      </w:r>
      <w:r w:rsidRPr="008826C9">
        <w:rPr>
          <w:rFonts w:ascii="Times New Roman" w:eastAsia="Arial Unicode MS" w:hAnsi="Times New Roman"/>
          <w:sz w:val="24"/>
          <w:szCs w:val="24"/>
          <w:lang w:eastAsia="cs-CZ"/>
        </w:rPr>
        <w:t>bezhotovostního převodu na účet poskytovatele vedený u Komerční banky, a.s., pobočka Karlovy Vary,</w:t>
      </w:r>
      <w:r w:rsidR="001005CC" w:rsidRPr="008826C9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  <w:r w:rsidRPr="008826C9">
        <w:rPr>
          <w:rFonts w:ascii="Times New Roman" w:eastAsia="Arial Unicode MS" w:hAnsi="Times New Roman"/>
          <w:sz w:val="24"/>
          <w:szCs w:val="24"/>
          <w:lang w:eastAsia="cs-CZ"/>
        </w:rPr>
        <w:t xml:space="preserve">č. </w:t>
      </w:r>
      <w:r w:rsidRPr="0055172D">
        <w:rPr>
          <w:rFonts w:ascii="Times New Roman" w:eastAsia="Arial Unicode MS" w:hAnsi="Times New Roman"/>
          <w:sz w:val="24"/>
          <w:szCs w:val="24"/>
          <w:lang w:eastAsia="cs-CZ"/>
        </w:rPr>
        <w:t xml:space="preserve">účtu </w:t>
      </w:r>
      <w:r w:rsidR="009E1963" w:rsidRPr="0055172D">
        <w:rPr>
          <w:rFonts w:ascii="Times New Roman" w:eastAsia="Arial Unicode MS" w:hAnsi="Times New Roman"/>
          <w:sz w:val="24"/>
          <w:szCs w:val="24"/>
          <w:lang w:eastAsia="cs-CZ"/>
        </w:rPr>
        <w:t>XXX</w:t>
      </w:r>
      <w:r w:rsidRPr="0055172D">
        <w:rPr>
          <w:rFonts w:ascii="Times New Roman" w:eastAsia="Arial Unicode MS" w:hAnsi="Times New Roman"/>
          <w:sz w:val="24"/>
          <w:szCs w:val="24"/>
          <w:lang w:eastAsia="cs-CZ"/>
        </w:rPr>
        <w:t xml:space="preserve">, </w:t>
      </w:r>
      <w:r w:rsidR="008826C9" w:rsidRPr="0055172D">
        <w:rPr>
          <w:rFonts w:ascii="Times New Roman" w:eastAsia="Arial Unicode MS" w:hAnsi="Times New Roman"/>
          <w:sz w:val="24"/>
          <w:szCs w:val="24"/>
          <w:lang w:eastAsia="cs-CZ"/>
        </w:rPr>
        <w:t xml:space="preserve">variabilní symbol </w:t>
      </w:r>
      <w:r w:rsidR="009E1963" w:rsidRPr="0055172D">
        <w:rPr>
          <w:rFonts w:ascii="Times New Roman" w:eastAsia="Arial Unicode MS" w:hAnsi="Times New Roman"/>
          <w:sz w:val="24"/>
          <w:szCs w:val="24"/>
          <w:lang w:eastAsia="cs-CZ"/>
        </w:rPr>
        <w:t>XXX</w:t>
      </w:r>
      <w:r w:rsidR="008826C9" w:rsidRPr="0055172D">
        <w:rPr>
          <w:rFonts w:ascii="Times New Roman" w:eastAsia="Arial Unicode MS" w:hAnsi="Times New Roman"/>
          <w:sz w:val="24"/>
          <w:szCs w:val="24"/>
          <w:lang w:eastAsia="cs-CZ"/>
        </w:rPr>
        <w:t xml:space="preserve">, specifický symbol </w:t>
      </w:r>
      <w:r w:rsidR="009E1963" w:rsidRPr="0055172D">
        <w:rPr>
          <w:rFonts w:ascii="Times New Roman" w:eastAsia="Arial Unicode MS" w:hAnsi="Times New Roman"/>
          <w:sz w:val="24"/>
          <w:szCs w:val="24"/>
          <w:lang w:eastAsia="cs-CZ"/>
        </w:rPr>
        <w:t>XXX</w:t>
      </w:r>
      <w:r w:rsidR="008826C9" w:rsidRPr="0055172D">
        <w:rPr>
          <w:rFonts w:ascii="Times New Roman" w:eastAsia="Arial Unicode MS" w:hAnsi="Times New Roman"/>
          <w:sz w:val="24"/>
          <w:szCs w:val="24"/>
          <w:lang w:eastAsia="cs-CZ"/>
        </w:rPr>
        <w:t>.</w:t>
      </w:r>
    </w:p>
    <w:p w:rsidR="00EA39C9" w:rsidRPr="00885C2C" w:rsidRDefault="00EA39C9" w:rsidP="00EA39C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EA39C9" w:rsidP="00E2065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Příjemce je rovněž povinen vrátit poskytnuté finanční prostředky na účet uvedený v odst. 5 tohoto článku, jestliže odpadne účel, na který je dotace poskytována, a to do 15 dnů ode dne, kdy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se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příjemce o této skutečnosti dozví</w:t>
      </w:r>
      <w:r w:rsidR="0014413C" w:rsidRPr="00885C2C">
        <w:rPr>
          <w:rFonts w:ascii="Times New Roman" w:eastAsia="Arial Unicode MS" w:hAnsi="Times New Roman"/>
          <w:sz w:val="24"/>
          <w:szCs w:val="24"/>
          <w:lang w:eastAsia="cs-CZ"/>
        </w:rPr>
        <w:t>.</w:t>
      </w:r>
    </w:p>
    <w:p w:rsidR="0014413C" w:rsidRPr="00885C2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8D4CFA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hAnsi="Times New Roman"/>
          <w:bCs/>
          <w:sz w:val="24"/>
          <w:szCs w:val="24"/>
        </w:rPr>
        <w:t xml:space="preserve"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</w:t>
      </w:r>
      <w:r w:rsidRPr="00885C2C">
        <w:rPr>
          <w:rFonts w:ascii="Times New Roman" w:hAnsi="Times New Roman"/>
          <w:bCs/>
          <w:sz w:val="24"/>
          <w:szCs w:val="24"/>
        </w:rPr>
        <w:lastRenderedPageBreak/>
        <w:t xml:space="preserve">poskytovatele v médiích a na tiskových konferencích pořádaných u příležitosti projektu, oficiálně pozvat zástupce poskytovatele na konání akce, distribuovat tiskové materiály poskytovatele mezi hosty apod. Příjemce je povinen obdobným způsobem prezentovat projekt Karlovarského kraje „Živý kraj“, a 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9" w:history="1">
        <w:r w:rsidRPr="00885C2C">
          <w:rPr>
            <w:rStyle w:val="Hypertextovodkaz"/>
            <w:rFonts w:ascii="Times New Roman" w:hAnsi="Times New Roman"/>
            <w:bCs/>
            <w:sz w:val="24"/>
            <w:szCs w:val="24"/>
          </w:rPr>
          <w:t>www.zivykraj.cz</w:t>
        </w:r>
      </w:hyperlink>
      <w:r w:rsidRPr="00885C2C">
        <w:rPr>
          <w:rFonts w:ascii="Times New Roman" w:hAnsi="Times New Roman"/>
          <w:bCs/>
          <w:sz w:val="24"/>
          <w:szCs w:val="24"/>
        </w:rPr>
        <w:t xml:space="preserve">). Od podpisu smlouvy po dobu realizace projektu umístí příjemce na webových stránkách, pokud je má zřízeny, aktivní odkaz  </w:t>
      </w:r>
      <w:hyperlink r:id="rId10" w:history="1">
        <w:r w:rsidRPr="00885C2C">
          <w:rPr>
            <w:rStyle w:val="Hypertextovodkaz"/>
            <w:rFonts w:ascii="Times New Roman" w:hAnsi="Times New Roman"/>
            <w:bCs/>
            <w:sz w:val="24"/>
            <w:szCs w:val="24"/>
          </w:rPr>
          <w:t>www.kr-karlovarsky.cz</w:t>
        </w:r>
      </w:hyperlink>
      <w:r w:rsidRPr="00885C2C">
        <w:rPr>
          <w:rFonts w:ascii="Times New Roman" w:hAnsi="Times New Roman"/>
          <w:bCs/>
          <w:sz w:val="24"/>
          <w:szCs w:val="24"/>
          <w:u w:val="single"/>
        </w:rPr>
        <w:t xml:space="preserve"> a </w:t>
      </w:r>
      <w:hyperlink r:id="rId11" w:history="1">
        <w:r w:rsidRPr="00885C2C">
          <w:rPr>
            <w:rStyle w:val="Hypertextovodkaz"/>
            <w:rFonts w:ascii="Times New Roman" w:hAnsi="Times New Roman"/>
            <w:bCs/>
            <w:sz w:val="24"/>
            <w:szCs w:val="24"/>
          </w:rPr>
          <w:t>www.zivykraj.cz</w:t>
        </w:r>
      </w:hyperlink>
      <w:r w:rsidRPr="00885C2C">
        <w:rPr>
          <w:rFonts w:ascii="Times New Roman" w:hAnsi="Times New Roman"/>
          <w:bCs/>
          <w:sz w:val="24"/>
          <w:szCs w:val="24"/>
        </w:rPr>
        <w:t xml:space="preserve">. Návrh způsobu propagace předloží příjemce poskytovateli do 10 kalendářních dnů od podpisu smlouvy k odsouhlasení (současně si vyzvedne tiskové materiály poskytovatele k distribuci). Propagaci poskytovatele je příjemce povinen doložit při závěrečném vyúčtování dotace (např. </w:t>
      </w:r>
      <w:proofErr w:type="spellStart"/>
      <w:r w:rsidRPr="00885C2C">
        <w:rPr>
          <w:rFonts w:ascii="Times New Roman" w:hAnsi="Times New Roman"/>
          <w:bCs/>
          <w:sz w:val="24"/>
          <w:szCs w:val="24"/>
        </w:rPr>
        <w:t>audiovideozáznam</w:t>
      </w:r>
      <w:proofErr w:type="spellEnd"/>
      <w:r w:rsidRPr="00885C2C">
        <w:rPr>
          <w:rFonts w:ascii="Times New Roman" w:hAnsi="Times New Roman"/>
          <w:bCs/>
          <w:sz w:val="24"/>
          <w:szCs w:val="24"/>
        </w:rPr>
        <w:t xml:space="preserve">, fotografie, materiály apod.). Příjemce odpovídá za správnost loga poskytovatele, pokud je uvedeno na propagačních materiálech (pravidla pro užití loga poskytovatele viz </w:t>
      </w:r>
      <w:hyperlink r:id="rId12" w:history="1">
        <w:r w:rsidRPr="00885C2C">
          <w:rPr>
            <w:rStyle w:val="Hypertextovodkaz"/>
            <w:rFonts w:ascii="Times New Roman" w:hAnsi="Times New Roman"/>
            <w:bCs/>
            <w:sz w:val="24"/>
            <w:szCs w:val="24"/>
          </w:rPr>
          <w:t>www.kr-karlovarsky.cz</w:t>
        </w:r>
      </w:hyperlink>
      <w:r w:rsidRPr="00885C2C">
        <w:rPr>
          <w:rFonts w:ascii="Times New Roman" w:hAnsi="Times New Roman"/>
          <w:bCs/>
          <w:sz w:val="24"/>
          <w:szCs w:val="24"/>
        </w:rPr>
        <w:t xml:space="preserve">, odkaz Karlovarský kraj – Poskytování symbolů a záštit) a loga projektu „Živý kraj“ viz </w:t>
      </w:r>
      <w:hyperlink r:id="rId13" w:history="1">
        <w:r w:rsidRPr="00885C2C">
          <w:rPr>
            <w:rStyle w:val="Hypertextovodkaz"/>
            <w:rFonts w:ascii="Times New Roman" w:hAnsi="Times New Roman"/>
            <w:bCs/>
            <w:sz w:val="24"/>
            <w:szCs w:val="24"/>
          </w:rPr>
          <w:t>www.zivykraj.cz</w:t>
        </w:r>
      </w:hyperlink>
      <w:r w:rsidR="00EA074F" w:rsidRPr="00885C2C">
        <w:rPr>
          <w:rFonts w:ascii="Times New Roman" w:hAnsi="Times New Roman"/>
          <w:bCs/>
          <w:sz w:val="24"/>
          <w:szCs w:val="24"/>
        </w:rPr>
        <w:t xml:space="preserve"> záložka </w:t>
      </w:r>
      <w:proofErr w:type="spellStart"/>
      <w:r w:rsidR="00EA074F" w:rsidRPr="00885C2C">
        <w:rPr>
          <w:rFonts w:ascii="Times New Roman" w:hAnsi="Times New Roman"/>
          <w:bCs/>
          <w:sz w:val="24"/>
          <w:szCs w:val="24"/>
        </w:rPr>
        <w:t>Tourism</w:t>
      </w:r>
      <w:proofErr w:type="spellEnd"/>
      <w:r w:rsidR="00EA074F" w:rsidRPr="00885C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A074F" w:rsidRPr="00885C2C">
        <w:rPr>
          <w:rFonts w:ascii="Times New Roman" w:hAnsi="Times New Roman"/>
          <w:bCs/>
          <w:sz w:val="24"/>
          <w:szCs w:val="24"/>
        </w:rPr>
        <w:t>professionals</w:t>
      </w:r>
      <w:proofErr w:type="spellEnd"/>
      <w:r w:rsidR="00EA074F" w:rsidRPr="00885C2C">
        <w:rPr>
          <w:rFonts w:ascii="Times New Roman" w:hAnsi="Times New Roman"/>
          <w:bCs/>
          <w:sz w:val="24"/>
          <w:szCs w:val="24"/>
        </w:rPr>
        <w:t>.</w:t>
      </w:r>
    </w:p>
    <w:p w:rsidR="0014413C" w:rsidRPr="00885C2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14413C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Příjemce je povinen průběžně informovat poskytovatele o všech změnách, které by mohly při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14413C" w:rsidRPr="00885C2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6266EF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</w:t>
      </w:r>
      <w:r w:rsidR="0014413C"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. </w:t>
      </w:r>
    </w:p>
    <w:p w:rsidR="0014413C" w:rsidRPr="00885C2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14413C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odst. 4 a 5 článku IV</w:t>
      </w:r>
      <w:r w:rsidR="003211B2" w:rsidRPr="00885C2C">
        <w:rPr>
          <w:rFonts w:ascii="Times New Roman" w:eastAsia="Arial Unicode MS" w:hAnsi="Times New Roman"/>
          <w:sz w:val="24"/>
          <w:szCs w:val="24"/>
          <w:lang w:eastAsia="cs-CZ"/>
        </w:rPr>
        <w:t>.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této smlouvy, a to ke dni likvidace.</w:t>
      </w:r>
    </w:p>
    <w:p w:rsidR="0014413C" w:rsidRPr="00885C2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5672DF" w:rsidRPr="00885C2C" w:rsidRDefault="0014413C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Je-li příjemce veřejným zadavatelem nebo splní příjemce definici zadavatele podle zákona č.</w:t>
      </w:r>
      <w:r w:rsidR="00B7459B" w:rsidRPr="00885C2C">
        <w:rPr>
          <w:rFonts w:ascii="Times New Roman" w:eastAsia="Arial Unicode MS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137/2006 Sb., o veřejných zakázkách, ve znění pozdějších předpisů, je povinen dále postupovat při výběru dodavatele podle tohoto zákona.</w:t>
      </w:r>
    </w:p>
    <w:p w:rsidR="005672DF" w:rsidRPr="00885C2C" w:rsidRDefault="005672DF" w:rsidP="005672DF">
      <w:pPr>
        <w:pStyle w:val="Odstavecseseznamem"/>
        <w:rPr>
          <w:rFonts w:ascii="Times New Roman" w:eastAsia="Arial Unicode MS" w:hAnsi="Times New Roman"/>
          <w:sz w:val="24"/>
          <w:szCs w:val="24"/>
          <w:lang w:eastAsia="cs-CZ"/>
        </w:rPr>
      </w:pPr>
    </w:p>
    <w:p w:rsidR="0014413C" w:rsidRPr="00885C2C" w:rsidRDefault="005672DF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885C2C">
        <w:rPr>
          <w:rFonts w:ascii="Times New Roman" w:hAnsi="Times New Roman"/>
          <w:sz w:val="24"/>
          <w:szCs w:val="24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14413C" w:rsidRPr="00885C2C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885C2C" w:rsidRPr="00885C2C" w:rsidRDefault="00885C2C" w:rsidP="001441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b/>
          <w:bCs/>
          <w:sz w:val="24"/>
          <w:szCs w:val="24"/>
          <w:lang w:eastAsia="cs-CZ"/>
        </w:rPr>
        <w:t>Článek V.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b/>
          <w:bCs/>
          <w:sz w:val="24"/>
          <w:szCs w:val="24"/>
          <w:lang w:eastAsia="cs-CZ"/>
        </w:rPr>
        <w:t>Kontrolní ustanovení</w:t>
      </w:r>
    </w:p>
    <w:p w:rsidR="0014413C" w:rsidRDefault="0014413C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Arial Unicode MS" w:hAnsi="Times New Roman"/>
          <w:sz w:val="24"/>
          <w:szCs w:val="24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tnuta. Tuto kontrolu vykonávají pověření zaměstnanci poskytovatele a členové příslušných kontrolních orgánů poskytovatele.</w:t>
      </w:r>
    </w:p>
    <w:p w:rsidR="008826C9" w:rsidRPr="00885C2C" w:rsidRDefault="008826C9" w:rsidP="008826C9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E2065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85C2C" w:rsidRPr="00885C2C" w:rsidRDefault="00885C2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sz w:val="24"/>
          <w:szCs w:val="24"/>
          <w:lang w:eastAsia="cs-CZ"/>
        </w:rPr>
        <w:t>Článek VI.</w:t>
      </w:r>
    </w:p>
    <w:p w:rsidR="0014413C" w:rsidRPr="00885C2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sz w:val="24"/>
          <w:szCs w:val="24"/>
          <w:lang w:eastAsia="cs-CZ"/>
        </w:rPr>
        <w:t>Důsledky porušení povinností příjemce</w:t>
      </w:r>
    </w:p>
    <w:p w:rsidR="0014413C" w:rsidRPr="00885C2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Jestliže příjemce nesplní některou ze svých povinností stanovených v čl. IV. odst. 2,</w:t>
      </w:r>
      <w:r w:rsidR="00ED17E2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7, 8, 9, 10</w:t>
      </w:r>
      <w:r w:rsidR="003211B2" w:rsidRPr="00885C2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rozpočtových pravidlech územních rozpočtů odvod za porušení rozpočtové kázně ve výši 5 % (slovy: pět procent) poskytnutých finančních prostředků, dle této smlouvy, do rozpočtu poskytovatele. 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Pokud příjemce neprokáže způsobem stanoveným v čl. IV. odst. 4, 11 použití finančních prostředků v souladu s čl. IV. odst. 1</w:t>
      </w:r>
      <w:r w:rsidR="005621FD" w:rsidRPr="00885C2C">
        <w:rPr>
          <w:rFonts w:ascii="Times New Roman" w:eastAsia="Times New Roman" w:hAnsi="Times New Roman"/>
          <w:sz w:val="24"/>
          <w:szCs w:val="24"/>
          <w:lang w:eastAsia="cs-CZ"/>
        </w:rPr>
        <w:t>, 3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porušení rozpočtové kázně do rozpočtu poskytovatele. 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Pokud příjemce nesplní některou ze svých povinností stanovených v čl. IV. odst. 5, 6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</w:t>
      </w:r>
      <w:r w:rsidR="008826C9" w:rsidRPr="008826C9">
        <w:rPr>
          <w:rFonts w:ascii="Times New Roman" w:eastAsia="Times New Roman" w:hAnsi="Times New Roman"/>
          <w:sz w:val="24"/>
          <w:szCs w:val="24"/>
          <w:lang w:eastAsia="cs-CZ"/>
        </w:rPr>
        <w:t xml:space="preserve">variabilní symbol </w:t>
      </w:r>
      <w:r w:rsidR="00653E21" w:rsidRPr="0055172D">
        <w:rPr>
          <w:rFonts w:ascii="Times New Roman" w:eastAsia="Times New Roman" w:hAnsi="Times New Roman"/>
          <w:sz w:val="24"/>
          <w:szCs w:val="24"/>
          <w:lang w:eastAsia="cs-CZ"/>
        </w:rPr>
        <w:t>XXX</w:t>
      </w:r>
      <w:r w:rsidR="008826C9" w:rsidRPr="0055172D">
        <w:rPr>
          <w:rFonts w:ascii="Times New Roman" w:eastAsia="Times New Roman" w:hAnsi="Times New Roman"/>
          <w:sz w:val="24"/>
          <w:szCs w:val="24"/>
          <w:lang w:eastAsia="cs-CZ"/>
        </w:rPr>
        <w:t xml:space="preserve">, specifický symbol </w:t>
      </w:r>
      <w:r w:rsidR="00653E21" w:rsidRPr="0055172D">
        <w:rPr>
          <w:rFonts w:ascii="Times New Roman" w:eastAsia="Times New Roman" w:hAnsi="Times New Roman"/>
          <w:sz w:val="24"/>
          <w:szCs w:val="24"/>
          <w:lang w:eastAsia="cs-CZ"/>
        </w:rPr>
        <w:t>XXX</w:t>
      </w:r>
      <w:r w:rsidR="008826C9" w:rsidRPr="0055172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5172D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písemně informuje poskytovatele o vrácení peněžních prostředků na jeho účet.</w:t>
      </w:r>
    </w:p>
    <w:p w:rsidR="0014413C" w:rsidRDefault="0014413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885C2C" w:rsidRPr="00885C2C" w:rsidRDefault="00885C2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VII.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Ukončení smlouvy</w:t>
      </w:r>
    </w:p>
    <w:p w:rsidR="0014413C" w:rsidRPr="00885C2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Smlouvu lze zrušit na základě písemné dohody smluvních stran nebo výpovědí.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dnem od jejího odeslání.</w:t>
      </w:r>
    </w:p>
    <w:p w:rsidR="0014413C" w:rsidRPr="00885C2C" w:rsidRDefault="0014413C" w:rsidP="0014413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Cs/>
          <w:sz w:val="24"/>
          <w:szCs w:val="24"/>
          <w:lang w:eastAsia="cs-CZ"/>
        </w:rPr>
        <w:t>V případě ukončení smlouvy dle výše uvedených odstavců tohoto článku příjemce provede vyúčtování poskytnuté dotace obdobně dle odst. 4 a 5 článku IV</w:t>
      </w:r>
      <w:r w:rsidR="00885C2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Pr="00885C2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této smlouvy, a to ke dni ukončení smlouvy.</w:t>
      </w:r>
    </w:p>
    <w:p w:rsidR="008826C9" w:rsidRDefault="008826C9" w:rsidP="001441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VIII.</w:t>
      </w:r>
    </w:p>
    <w:p w:rsidR="0014413C" w:rsidRPr="00885C2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Závěrečná ustanovení</w:t>
      </w:r>
    </w:p>
    <w:p w:rsidR="0014413C" w:rsidRPr="00885C2C" w:rsidRDefault="0014413C" w:rsidP="00EA074F">
      <w:pPr>
        <w:numPr>
          <w:ilvl w:val="0"/>
          <w:numId w:val="16"/>
        </w:numPr>
        <w:tabs>
          <w:tab w:val="clear" w:pos="1680"/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Příjemce je povinen bez zbytečného prodlení písemně informovat příjemce – </w:t>
      </w:r>
      <w:r w:rsidR="00EA074F" w:rsidRPr="00885C2C">
        <w:rPr>
          <w:rFonts w:ascii="Times New Roman" w:eastAsia="Times New Roman" w:hAnsi="Times New Roman"/>
          <w:sz w:val="24"/>
          <w:szCs w:val="24"/>
          <w:lang w:eastAsia="cs-CZ"/>
        </w:rPr>
        <w:t>odbor životního prostředí a zemědělství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o jakékoliv změně v údajích uvedených ve smlouvě ohledně jeho osoby a o všech okolnostech, které mají nebo by mohly mít vliv na plnění jeho povinností podle této smlouvy.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Pokud tato smlouva či zvláštní obecně závazný předpis nestanoví jinak, řídí se vztahy dle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této</w:t>
      </w:r>
      <w:r w:rsidR="00B7459B" w:rsidRPr="00885C2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smlouvy příslušnými ustanoveními zákonů č. 500/2004 Sb., správní řád, ve znění pozdějších předpisů a č. 89/2012 Sb., občanský zákoník.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7459B" w:rsidRPr="00885C2C" w:rsidRDefault="00B7459B" w:rsidP="00B7459B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nabývá platnosti a účinnosti podpisem smluvních stran a je vyhotovena ve třech stejnopisech, z nichž jeden obdrží příjemce a dva poskytovatel. </w:t>
      </w:r>
    </w:p>
    <w:p w:rsidR="00B7459B" w:rsidRPr="00885C2C" w:rsidRDefault="00B7459B" w:rsidP="00B7459B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ab/>
        <w:t>O poskytnutí dotace a uzavření veřejnoprávní smlouvy rozhodla v souladu s ustanovením § 59 odst. 2 písm. a) zákona č.</w:t>
      </w:r>
      <w:r w:rsidR="005672DF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129/2000 Sb., o krajích, ve znění pozdějších předpisů, Rada Karlovarského kraje usnesením č</w:t>
      </w:r>
      <w:r w:rsidR="00EA074F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414C15" w:rsidRPr="00885C2C">
        <w:rPr>
          <w:rFonts w:ascii="Times New Roman" w:eastAsia="Times New Roman" w:hAnsi="Times New Roman"/>
          <w:sz w:val="24"/>
          <w:szCs w:val="24"/>
          <w:lang w:eastAsia="cs-CZ"/>
        </w:rPr>
        <w:t>RK</w:t>
      </w:r>
      <w:r w:rsidR="002E5ACD">
        <w:rPr>
          <w:rFonts w:ascii="Times New Roman" w:eastAsia="Times New Roman" w:hAnsi="Times New Roman"/>
          <w:sz w:val="24"/>
          <w:szCs w:val="24"/>
          <w:lang w:eastAsia="cs-CZ"/>
        </w:rPr>
        <w:t xml:space="preserve"> 738/07/16</w:t>
      </w: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ze dne </w:t>
      </w:r>
      <w:r w:rsidR="002E5ACD">
        <w:rPr>
          <w:rFonts w:ascii="Times New Roman" w:eastAsia="Times New Roman" w:hAnsi="Times New Roman"/>
          <w:sz w:val="24"/>
          <w:szCs w:val="24"/>
          <w:lang w:eastAsia="cs-CZ"/>
        </w:rPr>
        <w:t>1.7.2016.</w:t>
      </w:r>
    </w:p>
    <w:p w:rsidR="003C69CE" w:rsidRDefault="003C69CE" w:rsidP="0014413C">
      <w:pPr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3C69CE" w:rsidP="0014413C">
      <w:pPr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440A7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dohodly, že uveřejnění smlouvy v registru smluv provede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Karlovarský kraj</w:t>
      </w:r>
      <w:r w:rsidRPr="00A440A7">
        <w:rPr>
          <w:rFonts w:ascii="Times New Roman" w:eastAsia="Times New Roman" w:hAnsi="Times New Roman"/>
          <w:sz w:val="24"/>
          <w:szCs w:val="24"/>
          <w:lang w:eastAsia="cs-CZ"/>
        </w:rPr>
        <w:t>, kontakt na doručení oznámení o vkladu smluvní protistraně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hyperlink r:id="rId14" w:history="1">
        <w:r w:rsidRPr="00F652B2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us@crsplzen.cz</w:t>
        </w:r>
      </w:hyperlink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14413C" w:rsidRPr="00885C2C" w:rsidRDefault="0014413C" w:rsidP="0014413C">
      <w:pPr>
        <w:tabs>
          <w:tab w:val="left" w:pos="240"/>
        </w:tabs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6"/>
        <w:gridCol w:w="4636"/>
      </w:tblGrid>
      <w:tr w:rsidR="0014413C" w:rsidRPr="00885C2C" w:rsidTr="00BE360F">
        <w:trPr>
          <w:trHeight w:val="644"/>
        </w:trPr>
        <w:tc>
          <w:tcPr>
            <w:tcW w:w="4636" w:type="dxa"/>
          </w:tcPr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4413C" w:rsidRPr="00885C2C" w:rsidRDefault="00265835" w:rsidP="0026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              </w:t>
            </w:r>
            <w:r w:rsidR="0014413C"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Karlovy Vary dne </w:t>
            </w:r>
            <w:r w:rsidRPr="00885C2C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</w:t>
            </w:r>
          </w:p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636" w:type="dxa"/>
          </w:tcPr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4413C" w:rsidRPr="00885C2C" w:rsidRDefault="0014413C" w:rsidP="0026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…………</w:t>
            </w:r>
            <w:proofErr w:type="gramStart"/>
            <w:r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…...…</w:t>
            </w:r>
            <w:proofErr w:type="gramEnd"/>
            <w:r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dne </w:t>
            </w:r>
            <w:r w:rsidR="00265835" w:rsidRPr="00885C2C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4413C" w:rsidRPr="00885C2C" w:rsidTr="00BE360F">
        <w:trPr>
          <w:trHeight w:val="70"/>
        </w:trPr>
        <w:tc>
          <w:tcPr>
            <w:tcW w:w="4636" w:type="dxa"/>
          </w:tcPr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4413C" w:rsidRPr="0055172D" w:rsidRDefault="009E1963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5172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</w:t>
            </w:r>
          </w:p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4413C" w:rsidRPr="00885C2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4413C" w:rsidRPr="0055172D" w:rsidRDefault="009E1963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5172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</w:t>
            </w:r>
          </w:p>
          <w:p w:rsidR="0014413C" w:rsidRPr="00885C2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85C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příjemce </w:t>
            </w:r>
          </w:p>
          <w:p w:rsidR="0014413C" w:rsidRPr="00885C2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14413C" w:rsidRPr="00885C2C" w:rsidRDefault="0014413C" w:rsidP="001441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4413C" w:rsidRPr="00885C2C" w:rsidRDefault="0014413C" w:rsidP="001441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85C2C">
        <w:rPr>
          <w:rFonts w:ascii="Times New Roman" w:eastAsia="Times New Roman" w:hAnsi="Times New Roman"/>
          <w:sz w:val="24"/>
          <w:szCs w:val="24"/>
          <w:lang w:eastAsia="cs-CZ"/>
        </w:rPr>
        <w:t>Přílohy:</w:t>
      </w:r>
      <w:r w:rsidR="002F4BF1" w:rsidRPr="00885C2C">
        <w:rPr>
          <w:rFonts w:ascii="Times New Roman" w:eastAsia="Times New Roman" w:hAnsi="Times New Roman"/>
          <w:sz w:val="24"/>
          <w:szCs w:val="24"/>
          <w:lang w:eastAsia="cs-CZ"/>
        </w:rPr>
        <w:t xml:space="preserve"> Žádost</w:t>
      </w:r>
    </w:p>
    <w:p w:rsidR="00A91923" w:rsidRPr="00885C2C" w:rsidRDefault="00A91923" w:rsidP="0056213F">
      <w:pPr>
        <w:rPr>
          <w:rFonts w:ascii="Times New Roman" w:eastAsia="Times New Roman" w:hAnsi="Times New Roman"/>
          <w:color w:val="003399"/>
          <w:sz w:val="24"/>
          <w:szCs w:val="24"/>
        </w:rPr>
      </w:pPr>
    </w:p>
    <w:p w:rsidR="00265835" w:rsidRPr="00885C2C" w:rsidRDefault="00265835" w:rsidP="0056213F">
      <w:pPr>
        <w:rPr>
          <w:rFonts w:ascii="Times New Roman" w:eastAsia="Times New Roman" w:hAnsi="Times New Roman"/>
          <w:color w:val="003399"/>
          <w:sz w:val="24"/>
          <w:szCs w:val="24"/>
        </w:rPr>
      </w:pPr>
    </w:p>
    <w:p w:rsidR="00265835" w:rsidRPr="00885C2C" w:rsidRDefault="00265835" w:rsidP="0056213F">
      <w:pPr>
        <w:rPr>
          <w:rFonts w:ascii="Times New Roman" w:eastAsia="Times New Roman" w:hAnsi="Times New Roman"/>
          <w:color w:val="003399"/>
          <w:sz w:val="24"/>
          <w:szCs w:val="24"/>
        </w:rPr>
      </w:pPr>
    </w:p>
    <w:p w:rsidR="00265835" w:rsidRPr="00885C2C" w:rsidRDefault="00265835" w:rsidP="0056213F">
      <w:pPr>
        <w:rPr>
          <w:rFonts w:ascii="Times New Roman" w:eastAsia="Times New Roman" w:hAnsi="Times New Roman"/>
          <w:sz w:val="24"/>
          <w:szCs w:val="24"/>
        </w:rPr>
      </w:pPr>
      <w:r w:rsidRPr="00885C2C">
        <w:rPr>
          <w:rFonts w:ascii="Times New Roman" w:eastAsia="Times New Roman" w:hAnsi="Times New Roman"/>
          <w:sz w:val="24"/>
          <w:szCs w:val="24"/>
        </w:rPr>
        <w:t xml:space="preserve">Za správnost </w:t>
      </w:r>
      <w:r w:rsidR="00653E21" w:rsidRPr="0055172D">
        <w:rPr>
          <w:rFonts w:ascii="Times New Roman" w:eastAsia="Times New Roman" w:hAnsi="Times New Roman"/>
          <w:sz w:val="24"/>
          <w:szCs w:val="24"/>
        </w:rPr>
        <w:t>XXX</w:t>
      </w:r>
      <w:bookmarkStart w:id="0" w:name="_GoBack"/>
      <w:bookmarkEnd w:id="0"/>
    </w:p>
    <w:sectPr w:rsidR="00265835" w:rsidRPr="00885C2C" w:rsidSect="00357618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2C" w:rsidRDefault="00DA5F2C" w:rsidP="00BE360F">
      <w:pPr>
        <w:spacing w:after="0" w:line="240" w:lineRule="auto"/>
      </w:pPr>
      <w:r>
        <w:separator/>
      </w:r>
    </w:p>
  </w:endnote>
  <w:endnote w:type="continuationSeparator" w:id="0">
    <w:p w:rsidR="00DA5F2C" w:rsidRDefault="00DA5F2C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33" w:rsidRPr="00054236" w:rsidRDefault="00727033">
    <w:pPr>
      <w:pStyle w:val="Zpat"/>
      <w:jc w:val="center"/>
      <w:rPr>
        <w:rFonts w:ascii="Times New Roman" w:hAnsi="Times New Roman"/>
      </w:rPr>
    </w:pPr>
    <w:r w:rsidRPr="00054236">
      <w:rPr>
        <w:rFonts w:ascii="Times New Roman" w:hAnsi="Times New Roman"/>
      </w:rPr>
      <w:t xml:space="preserve">Stránka </w:t>
    </w:r>
    <w:r w:rsidRPr="00054236">
      <w:rPr>
        <w:rFonts w:ascii="Times New Roman" w:hAnsi="Times New Roman"/>
        <w:bCs/>
      </w:rPr>
      <w:fldChar w:fldCharType="begin"/>
    </w:r>
    <w:r w:rsidRPr="00054236">
      <w:rPr>
        <w:rFonts w:ascii="Times New Roman" w:hAnsi="Times New Roman"/>
        <w:bCs/>
      </w:rPr>
      <w:instrText>PAGE</w:instrText>
    </w:r>
    <w:r w:rsidRPr="00054236">
      <w:rPr>
        <w:rFonts w:ascii="Times New Roman" w:hAnsi="Times New Roman"/>
        <w:bCs/>
      </w:rPr>
      <w:fldChar w:fldCharType="separate"/>
    </w:r>
    <w:r w:rsidR="0055172D">
      <w:rPr>
        <w:rFonts w:ascii="Times New Roman" w:hAnsi="Times New Roman"/>
        <w:bCs/>
        <w:noProof/>
      </w:rPr>
      <w:t>5</w:t>
    </w:r>
    <w:r w:rsidRPr="00054236">
      <w:rPr>
        <w:rFonts w:ascii="Times New Roman" w:hAnsi="Times New Roman"/>
        <w:bCs/>
      </w:rPr>
      <w:fldChar w:fldCharType="end"/>
    </w:r>
    <w:r w:rsidRPr="00054236">
      <w:rPr>
        <w:rFonts w:ascii="Times New Roman" w:hAnsi="Times New Roman"/>
      </w:rPr>
      <w:t xml:space="preserve"> z </w:t>
    </w:r>
    <w:r w:rsidRPr="00054236">
      <w:rPr>
        <w:rFonts w:ascii="Times New Roman" w:hAnsi="Times New Roman"/>
        <w:bCs/>
      </w:rPr>
      <w:fldChar w:fldCharType="begin"/>
    </w:r>
    <w:r w:rsidRPr="00054236">
      <w:rPr>
        <w:rFonts w:ascii="Times New Roman" w:hAnsi="Times New Roman"/>
        <w:bCs/>
      </w:rPr>
      <w:instrText>NUMPAGES</w:instrText>
    </w:r>
    <w:r w:rsidRPr="00054236">
      <w:rPr>
        <w:rFonts w:ascii="Times New Roman" w:hAnsi="Times New Roman"/>
        <w:bCs/>
      </w:rPr>
      <w:fldChar w:fldCharType="separate"/>
    </w:r>
    <w:r w:rsidR="0055172D">
      <w:rPr>
        <w:rFonts w:ascii="Times New Roman" w:hAnsi="Times New Roman"/>
        <w:bCs/>
        <w:noProof/>
      </w:rPr>
      <w:t>5</w:t>
    </w:r>
    <w:r w:rsidRPr="00054236">
      <w:rPr>
        <w:rFonts w:ascii="Times New Roman" w:hAnsi="Times New Roman"/>
        <w:bCs/>
      </w:rPr>
      <w:fldChar w:fldCharType="end"/>
    </w:r>
  </w:p>
  <w:p w:rsidR="00727033" w:rsidRDefault="007270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2C" w:rsidRDefault="00DA5F2C" w:rsidP="00BE360F">
      <w:pPr>
        <w:spacing w:after="0" w:line="240" w:lineRule="auto"/>
      </w:pPr>
      <w:r>
        <w:separator/>
      </w:r>
    </w:p>
  </w:footnote>
  <w:footnote w:type="continuationSeparator" w:id="0">
    <w:p w:rsidR="00DA5F2C" w:rsidRDefault="00DA5F2C" w:rsidP="00BE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33" w:rsidRDefault="00727033" w:rsidP="0056213F">
    <w:pPr>
      <w:pStyle w:val="Zhlav"/>
      <w:jc w:val="right"/>
      <w:rPr>
        <w:sz w:val="20"/>
        <w:szCs w:val="20"/>
      </w:rPr>
    </w:pPr>
  </w:p>
  <w:p w:rsidR="00727033" w:rsidRDefault="007270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71475"/>
    <w:multiLevelType w:val="hybridMultilevel"/>
    <w:tmpl w:val="307C84F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E11FA"/>
    <w:multiLevelType w:val="hybridMultilevel"/>
    <w:tmpl w:val="572C954E"/>
    <w:lvl w:ilvl="0" w:tplc="72A82F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43E54"/>
    <w:multiLevelType w:val="multilevel"/>
    <w:tmpl w:val="F82C655A"/>
    <w:numStyleLink w:val="Pedpisy97"/>
  </w:abstractNum>
  <w:abstractNum w:abstractNumId="23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8"/>
  </w:num>
  <w:num w:numId="4">
    <w:abstractNumId w:val="33"/>
  </w:num>
  <w:num w:numId="5">
    <w:abstractNumId w:val="36"/>
  </w:num>
  <w:num w:numId="6">
    <w:abstractNumId w:val="8"/>
  </w:num>
  <w:num w:numId="7">
    <w:abstractNumId w:val="21"/>
  </w:num>
  <w:num w:numId="8">
    <w:abstractNumId w:val="1"/>
  </w:num>
  <w:num w:numId="9">
    <w:abstractNumId w:val="24"/>
  </w:num>
  <w:num w:numId="10">
    <w:abstractNumId w:val="3"/>
  </w:num>
  <w:num w:numId="11">
    <w:abstractNumId w:val="40"/>
  </w:num>
  <w:num w:numId="12">
    <w:abstractNumId w:val="37"/>
  </w:num>
  <w:num w:numId="13">
    <w:abstractNumId w:val="31"/>
  </w:num>
  <w:num w:numId="14">
    <w:abstractNumId w:val="34"/>
  </w:num>
  <w:num w:numId="15">
    <w:abstractNumId w:val="29"/>
  </w:num>
  <w:num w:numId="16">
    <w:abstractNumId w:val="27"/>
  </w:num>
  <w:num w:numId="17">
    <w:abstractNumId w:val="41"/>
  </w:num>
  <w:num w:numId="18">
    <w:abstractNumId w:val="16"/>
  </w:num>
  <w:num w:numId="19">
    <w:abstractNumId w:val="15"/>
  </w:num>
  <w:num w:numId="20">
    <w:abstractNumId w:val="6"/>
  </w:num>
  <w:num w:numId="21">
    <w:abstractNumId w:val="32"/>
  </w:num>
  <w:num w:numId="22">
    <w:abstractNumId w:val="9"/>
  </w:num>
  <w:num w:numId="23">
    <w:abstractNumId w:val="14"/>
  </w:num>
  <w:num w:numId="24">
    <w:abstractNumId w:val="2"/>
  </w:num>
  <w:num w:numId="25">
    <w:abstractNumId w:val="19"/>
  </w:num>
  <w:num w:numId="26">
    <w:abstractNumId w:val="20"/>
  </w:num>
  <w:num w:numId="27">
    <w:abstractNumId w:val="2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7"/>
  </w:num>
  <w:num w:numId="31">
    <w:abstractNumId w:val="18"/>
  </w:num>
  <w:num w:numId="32">
    <w:abstractNumId w:val="22"/>
  </w:num>
  <w:num w:numId="33">
    <w:abstractNumId w:val="25"/>
  </w:num>
  <w:num w:numId="34">
    <w:abstractNumId w:val="11"/>
  </w:num>
  <w:num w:numId="35">
    <w:abstractNumId w:val="30"/>
  </w:num>
  <w:num w:numId="36">
    <w:abstractNumId w:val="35"/>
  </w:num>
  <w:num w:numId="37">
    <w:abstractNumId w:val="39"/>
  </w:num>
  <w:num w:numId="38">
    <w:abstractNumId w:val="7"/>
  </w:num>
  <w:num w:numId="39">
    <w:abstractNumId w:val="23"/>
  </w:num>
  <w:num w:numId="40">
    <w:abstractNumId w:val="10"/>
  </w:num>
  <w:num w:numId="41">
    <w:abstractNumId w:val="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D8"/>
    <w:rsid w:val="000036FE"/>
    <w:rsid w:val="00011FC2"/>
    <w:rsid w:val="000172E3"/>
    <w:rsid w:val="000203BA"/>
    <w:rsid w:val="00021B99"/>
    <w:rsid w:val="00026264"/>
    <w:rsid w:val="00042B34"/>
    <w:rsid w:val="000517B9"/>
    <w:rsid w:val="00054236"/>
    <w:rsid w:val="0007392E"/>
    <w:rsid w:val="000D7E3F"/>
    <w:rsid w:val="000E1561"/>
    <w:rsid w:val="000E6E63"/>
    <w:rsid w:val="001005CC"/>
    <w:rsid w:val="00133E0D"/>
    <w:rsid w:val="00137BD3"/>
    <w:rsid w:val="0014413C"/>
    <w:rsid w:val="00151042"/>
    <w:rsid w:val="00165A58"/>
    <w:rsid w:val="00172B80"/>
    <w:rsid w:val="001733AA"/>
    <w:rsid w:val="001A17EC"/>
    <w:rsid w:val="001B4CCB"/>
    <w:rsid w:val="001D608C"/>
    <w:rsid w:val="0021036C"/>
    <w:rsid w:val="00213CA5"/>
    <w:rsid w:val="00222BFF"/>
    <w:rsid w:val="00223AA5"/>
    <w:rsid w:val="00255E42"/>
    <w:rsid w:val="00265835"/>
    <w:rsid w:val="002C3769"/>
    <w:rsid w:val="002C3D92"/>
    <w:rsid w:val="002D4503"/>
    <w:rsid w:val="002E5ACD"/>
    <w:rsid w:val="002E7009"/>
    <w:rsid w:val="002F4BF1"/>
    <w:rsid w:val="003211B2"/>
    <w:rsid w:val="00332337"/>
    <w:rsid w:val="003444FD"/>
    <w:rsid w:val="00357618"/>
    <w:rsid w:val="00397077"/>
    <w:rsid w:val="003A2D63"/>
    <w:rsid w:val="003A4509"/>
    <w:rsid w:val="003B42E8"/>
    <w:rsid w:val="003C1573"/>
    <w:rsid w:val="003C69CE"/>
    <w:rsid w:val="003F7C70"/>
    <w:rsid w:val="00414C15"/>
    <w:rsid w:val="004521A6"/>
    <w:rsid w:val="00472B8A"/>
    <w:rsid w:val="004A34B2"/>
    <w:rsid w:val="004B4520"/>
    <w:rsid w:val="004F157D"/>
    <w:rsid w:val="00504B8A"/>
    <w:rsid w:val="00514F52"/>
    <w:rsid w:val="005169F4"/>
    <w:rsid w:val="00535BC6"/>
    <w:rsid w:val="0055172D"/>
    <w:rsid w:val="00554EDC"/>
    <w:rsid w:val="0056213F"/>
    <w:rsid w:val="005621FD"/>
    <w:rsid w:val="005672DF"/>
    <w:rsid w:val="005914D8"/>
    <w:rsid w:val="005A7596"/>
    <w:rsid w:val="005B2395"/>
    <w:rsid w:val="005C4092"/>
    <w:rsid w:val="005D3C03"/>
    <w:rsid w:val="005D601C"/>
    <w:rsid w:val="0062537E"/>
    <w:rsid w:val="006266EF"/>
    <w:rsid w:val="00647E22"/>
    <w:rsid w:val="00653E21"/>
    <w:rsid w:val="00656551"/>
    <w:rsid w:val="006636F5"/>
    <w:rsid w:val="00673DD2"/>
    <w:rsid w:val="00685BCE"/>
    <w:rsid w:val="006B4EAF"/>
    <w:rsid w:val="006B7B50"/>
    <w:rsid w:val="006C029B"/>
    <w:rsid w:val="006D060C"/>
    <w:rsid w:val="006E1052"/>
    <w:rsid w:val="006F408B"/>
    <w:rsid w:val="00704AAE"/>
    <w:rsid w:val="00727033"/>
    <w:rsid w:val="00771AFF"/>
    <w:rsid w:val="007803F0"/>
    <w:rsid w:val="007845E7"/>
    <w:rsid w:val="007872FD"/>
    <w:rsid w:val="00793E30"/>
    <w:rsid w:val="007B36C1"/>
    <w:rsid w:val="007E3D88"/>
    <w:rsid w:val="00810246"/>
    <w:rsid w:val="008170E2"/>
    <w:rsid w:val="00846770"/>
    <w:rsid w:val="00857137"/>
    <w:rsid w:val="0086528E"/>
    <w:rsid w:val="008826C9"/>
    <w:rsid w:val="00885C2C"/>
    <w:rsid w:val="00894A5B"/>
    <w:rsid w:val="008971A4"/>
    <w:rsid w:val="008A153B"/>
    <w:rsid w:val="008A78C6"/>
    <w:rsid w:val="008A7A6B"/>
    <w:rsid w:val="008D4CFA"/>
    <w:rsid w:val="008E2D00"/>
    <w:rsid w:val="00900482"/>
    <w:rsid w:val="0090147B"/>
    <w:rsid w:val="00920744"/>
    <w:rsid w:val="00932C22"/>
    <w:rsid w:val="009510B9"/>
    <w:rsid w:val="00966A0B"/>
    <w:rsid w:val="009A63B2"/>
    <w:rsid w:val="009D6E5B"/>
    <w:rsid w:val="009E1963"/>
    <w:rsid w:val="009F0870"/>
    <w:rsid w:val="009F26E9"/>
    <w:rsid w:val="00A238F5"/>
    <w:rsid w:val="00A57E05"/>
    <w:rsid w:val="00A700AE"/>
    <w:rsid w:val="00A71373"/>
    <w:rsid w:val="00A8306E"/>
    <w:rsid w:val="00A91923"/>
    <w:rsid w:val="00A94788"/>
    <w:rsid w:val="00A97285"/>
    <w:rsid w:val="00AA5121"/>
    <w:rsid w:val="00AB5FB8"/>
    <w:rsid w:val="00AC2F97"/>
    <w:rsid w:val="00AC7CD8"/>
    <w:rsid w:val="00AF3BC4"/>
    <w:rsid w:val="00AF58B3"/>
    <w:rsid w:val="00B7459B"/>
    <w:rsid w:val="00B81791"/>
    <w:rsid w:val="00BD1541"/>
    <w:rsid w:val="00BE0D49"/>
    <w:rsid w:val="00BE360F"/>
    <w:rsid w:val="00BE660D"/>
    <w:rsid w:val="00C04C17"/>
    <w:rsid w:val="00C400A4"/>
    <w:rsid w:val="00C41656"/>
    <w:rsid w:val="00C4242E"/>
    <w:rsid w:val="00C51ACF"/>
    <w:rsid w:val="00C534F0"/>
    <w:rsid w:val="00C75FCA"/>
    <w:rsid w:val="00C857E0"/>
    <w:rsid w:val="00C93B77"/>
    <w:rsid w:val="00CC1E5A"/>
    <w:rsid w:val="00CC7D8A"/>
    <w:rsid w:val="00D16246"/>
    <w:rsid w:val="00D2561C"/>
    <w:rsid w:val="00D4279B"/>
    <w:rsid w:val="00D54890"/>
    <w:rsid w:val="00D6351F"/>
    <w:rsid w:val="00D63E45"/>
    <w:rsid w:val="00D65871"/>
    <w:rsid w:val="00D74099"/>
    <w:rsid w:val="00D75FEA"/>
    <w:rsid w:val="00D838F6"/>
    <w:rsid w:val="00D877E7"/>
    <w:rsid w:val="00DA30D1"/>
    <w:rsid w:val="00DA5F2C"/>
    <w:rsid w:val="00DB3437"/>
    <w:rsid w:val="00DB61B8"/>
    <w:rsid w:val="00DC74B9"/>
    <w:rsid w:val="00DE7302"/>
    <w:rsid w:val="00DF2257"/>
    <w:rsid w:val="00DF5D66"/>
    <w:rsid w:val="00E20651"/>
    <w:rsid w:val="00E21999"/>
    <w:rsid w:val="00E267F1"/>
    <w:rsid w:val="00E33EE2"/>
    <w:rsid w:val="00E44B36"/>
    <w:rsid w:val="00E729FB"/>
    <w:rsid w:val="00E91AE5"/>
    <w:rsid w:val="00E974D8"/>
    <w:rsid w:val="00EA074F"/>
    <w:rsid w:val="00EA1FDE"/>
    <w:rsid w:val="00EA39C9"/>
    <w:rsid w:val="00EB78C0"/>
    <w:rsid w:val="00EC6B11"/>
    <w:rsid w:val="00ED17E2"/>
    <w:rsid w:val="00ED201B"/>
    <w:rsid w:val="00ED2A22"/>
    <w:rsid w:val="00ED4636"/>
    <w:rsid w:val="00F37749"/>
    <w:rsid w:val="00F424B4"/>
    <w:rsid w:val="00F707CA"/>
    <w:rsid w:val="00F70A0F"/>
    <w:rsid w:val="00F75EE2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A2D63"/>
    <w:rPr>
      <w:rFonts w:ascii="Calibri" w:eastAsia="Calibri" w:hAnsi="Calibri"/>
      <w:b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2D63"/>
    <w:rPr>
      <w:rFonts w:ascii="Tahoma" w:eastAsia="Calibri" w:hAnsi="Tahoma" w:cs="Tahoma"/>
      <w:b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2D63"/>
    <w:rPr>
      <w:rFonts w:ascii="Calibri" w:eastAsia="Calibri" w:hAnsi="Calibri"/>
      <w:b w:val="0"/>
      <w:bCs/>
    </w:rPr>
  </w:style>
  <w:style w:type="character" w:customStyle="1" w:styleId="Nadpis1Char">
    <w:name w:val="Nadpis 1 Char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E729FB"/>
    <w:rPr>
      <w:b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rPr>
      <w:rFonts w:ascii="Calibri" w:eastAsia="Calibri" w:hAnsi="Calibr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E360F"/>
    <w:rPr>
      <w:rFonts w:ascii="Calibri" w:eastAsia="Calibri" w:hAnsi="Calibri"/>
      <w:b/>
    </w:rPr>
  </w:style>
  <w:style w:type="character" w:styleId="Znakapoznpodarou">
    <w:name w:val="footnote referen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4A34B2"/>
    <w:rPr>
      <w:b/>
      <w:sz w:val="24"/>
      <w:lang w:eastAsia="cs-CZ"/>
    </w:rPr>
  </w:style>
  <w:style w:type="character" w:styleId="Sledovanodkaz">
    <w:name w:val="FollowedHyperlink"/>
    <w:uiPriority w:val="99"/>
    <w:semiHidden/>
    <w:unhideWhenUsed/>
    <w:rsid w:val="000D7E3F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054236"/>
    <w:rPr>
      <w:rFonts w:ascii="Calibri" w:eastAsia="Calibri" w:hAnsi="Calibri"/>
      <w:b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C04C17"/>
    <w:rPr>
      <w:rFonts w:ascii="Cambria" w:eastAsia="Times New Roman" w:hAnsi="Cambria" w:cs="Times New Roman"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C04C17"/>
    <w:rPr>
      <w:rFonts w:ascii="Cambria" w:eastAsia="Times New Roman" w:hAnsi="Cambria" w:cs="Times New Roman"/>
      <w:b/>
      <w:color w:val="243F60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C04C17"/>
    <w:rPr>
      <w:rFonts w:ascii="Cambria" w:eastAsia="Times New Roman" w:hAnsi="Cambria" w:cs="Times New Roman"/>
      <w:b/>
      <w:i/>
      <w:iCs/>
      <w:color w:val="243F60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A2D63"/>
    <w:rPr>
      <w:rFonts w:ascii="Calibri" w:eastAsia="Calibri" w:hAnsi="Calibri"/>
      <w:b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2D63"/>
    <w:rPr>
      <w:rFonts w:ascii="Tahoma" w:eastAsia="Calibri" w:hAnsi="Tahoma" w:cs="Tahoma"/>
      <w:b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2D63"/>
    <w:rPr>
      <w:rFonts w:ascii="Calibri" w:eastAsia="Calibri" w:hAnsi="Calibri"/>
      <w:b w:val="0"/>
      <w:bCs/>
    </w:rPr>
  </w:style>
  <w:style w:type="character" w:customStyle="1" w:styleId="Nadpis1Char">
    <w:name w:val="Nadpis 1 Char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E729FB"/>
    <w:rPr>
      <w:b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rPr>
      <w:rFonts w:ascii="Calibri" w:eastAsia="Calibri" w:hAnsi="Calibr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E360F"/>
    <w:rPr>
      <w:rFonts w:ascii="Calibri" w:eastAsia="Calibri" w:hAnsi="Calibri"/>
      <w:b/>
    </w:rPr>
  </w:style>
  <w:style w:type="character" w:styleId="Znakapoznpodarou">
    <w:name w:val="footnote referen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4A34B2"/>
    <w:rPr>
      <w:b/>
      <w:sz w:val="24"/>
      <w:lang w:eastAsia="cs-CZ"/>
    </w:rPr>
  </w:style>
  <w:style w:type="character" w:styleId="Sledovanodkaz">
    <w:name w:val="FollowedHyperlink"/>
    <w:uiPriority w:val="99"/>
    <w:semiHidden/>
    <w:unhideWhenUsed/>
    <w:rsid w:val="000D7E3F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054236"/>
    <w:rPr>
      <w:rFonts w:ascii="Calibri" w:eastAsia="Calibri" w:hAnsi="Calibri"/>
      <w:b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C04C17"/>
    <w:rPr>
      <w:rFonts w:ascii="Cambria" w:eastAsia="Times New Roman" w:hAnsi="Cambria" w:cs="Times New Roman"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C04C17"/>
    <w:rPr>
      <w:rFonts w:ascii="Cambria" w:eastAsia="Times New Roman" w:hAnsi="Cambria" w:cs="Times New Roman"/>
      <w:b/>
      <w:color w:val="243F60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C04C17"/>
    <w:rPr>
      <w:rFonts w:ascii="Cambria" w:eastAsia="Times New Roman" w:hAnsi="Cambria" w:cs="Times New Roman"/>
      <w:b/>
      <w:i/>
      <w:iCs/>
      <w:color w:val="243F60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ivykraj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vykraj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-karlovars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ivykraj.cz" TargetMode="External"/><Relationship Id="rId14" Type="http://schemas.openxmlformats.org/officeDocument/2006/relationships/hyperlink" Target="mailto:us@crsplze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E50BE-9362-4A07-858F-CE23BE4B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1785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12294</CharactersWithSpaces>
  <SharedDoc>false</SharedDoc>
  <HLinks>
    <vt:vector size="30" baseType="variant">
      <vt:variant>
        <vt:i4>7929915</vt:i4>
      </vt:variant>
      <vt:variant>
        <vt:i4>12</vt:i4>
      </vt:variant>
      <vt:variant>
        <vt:i4>0</vt:i4>
      </vt:variant>
      <vt:variant>
        <vt:i4>5</vt:i4>
      </vt:variant>
      <vt:variant>
        <vt:lpwstr>http://www.zivykraj.cz/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7929915</vt:i4>
      </vt:variant>
      <vt:variant>
        <vt:i4>6</vt:i4>
      </vt:variant>
      <vt:variant>
        <vt:i4>0</vt:i4>
      </vt:variant>
      <vt:variant>
        <vt:i4>5</vt:i4>
      </vt:variant>
      <vt:variant>
        <vt:lpwstr>http://www.zivykraj.cz/</vt:lpwstr>
      </vt:variant>
      <vt:variant>
        <vt:lpwstr/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http://www.zivykraj.cz/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Smoleja</dc:creator>
  <cp:lastModifiedBy>Ančincová Barbora</cp:lastModifiedBy>
  <cp:revision>8</cp:revision>
  <cp:lastPrinted>2016-07-11T12:35:00Z</cp:lastPrinted>
  <dcterms:created xsi:type="dcterms:W3CDTF">2016-06-09T09:50:00Z</dcterms:created>
  <dcterms:modified xsi:type="dcterms:W3CDTF">2016-07-14T06:52:00Z</dcterms:modified>
</cp:coreProperties>
</file>