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183597">
        <w:rPr>
          <w:rFonts w:ascii="Arial" w:hAnsi="Arial" w:cs="Arial"/>
          <w:sz w:val="20"/>
          <w:szCs w:val="20"/>
        </w:rPr>
        <w:t xml:space="preserve"> </w:t>
      </w:r>
      <w:r w:rsidR="00C15106">
        <w:rPr>
          <w:rFonts w:ascii="Arial" w:hAnsi="Arial" w:cs="Arial"/>
          <w:sz w:val="20"/>
          <w:szCs w:val="20"/>
        </w:rPr>
        <w:t>8500001175</w:t>
      </w:r>
    </w:p>
    <w:p w:rsidR="00D52334" w:rsidRPr="0066107B" w:rsidRDefault="00E34AFF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zapsaná v obchodním rejstříku pod sp.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zastoupená: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Zdeněk Pilík,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Ladislav Provod,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IČO: </w:t>
      </w:r>
      <w:r w:rsidR="00844FDF">
        <w:rPr>
          <w:sz w:val="20"/>
          <w:szCs w:val="20"/>
        </w:rPr>
        <w:tab/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telefon: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osoba oprávněná k uzavření smlouvy: Ing. Zdeněk Pilík,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895BE5">
        <w:rPr>
          <w:rFonts w:ascii="Arial" w:hAnsi="Arial" w:cs="Arial"/>
          <w:b/>
        </w:rPr>
        <w:t xml:space="preserve"> ACO 11</w:t>
      </w:r>
      <w:r w:rsidR="00E34AFF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</w:t>
      </w:r>
      <w:r w:rsidR="00895BE5">
        <w:rPr>
          <w:rFonts w:ascii="Arial" w:eastAsia="Arial" w:hAnsi="Arial" w:cs="Arial"/>
          <w:bCs/>
        </w:rPr>
        <w:t>11</w:t>
      </w:r>
      <w:r w:rsidR="00E84C9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AD761D">
        <w:rPr>
          <w:rFonts w:ascii="Arial" w:eastAsia="Arial" w:hAnsi="Arial" w:cs="Arial"/>
          <w:bCs/>
        </w:rPr>
        <w:t>220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95BE5">
        <w:rPr>
          <w:rFonts w:ascii="Arial" w:hAnsi="Arial" w:cs="Arial"/>
          <w:sz w:val="20"/>
          <w:szCs w:val="20"/>
        </w:rPr>
        <w:t>835</w:t>
      </w:r>
      <w:r w:rsidR="00E84C92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5C157A">
        <w:rPr>
          <w:rFonts w:ascii="Arial" w:hAnsi="Arial" w:cs="Arial"/>
          <w:sz w:val="20"/>
          <w:szCs w:val="20"/>
        </w:rPr>
        <w:t>ve smyslu čl</w:t>
      </w:r>
      <w:r w:rsidR="00707DB8" w:rsidRPr="005D2ACF">
        <w:rPr>
          <w:rFonts w:ascii="Arial" w:hAnsi="Arial" w:cs="Arial"/>
          <w:sz w:val="20"/>
          <w:szCs w:val="20"/>
        </w:rPr>
        <w:t xml:space="preserve">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lastRenderedPageBreak/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0C623C" w:rsidRPr="005E39D8" w:rsidRDefault="000C623C" w:rsidP="000C623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>Smluvní strany se dohodly na následujícím:</w:t>
      </w:r>
    </w:p>
    <w:p w:rsidR="005E39D8" w:rsidRPr="005E39D8" w:rsidRDefault="005E39D8" w:rsidP="005E39D8">
      <w:pPr>
        <w:pStyle w:val="Zkladntextodsazen"/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 xml:space="preserve">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 </w:t>
      </w:r>
      <w:r w:rsidR="00844FDF">
        <w:rPr>
          <w:rFonts w:ascii="Arial" w:hAnsi="Arial" w:cs="Arial"/>
        </w:rPr>
        <w:t>Dodání proběhne nejpozději</w:t>
      </w:r>
      <w:r w:rsidRPr="005E39D8">
        <w:rPr>
          <w:rFonts w:ascii="Arial" w:hAnsi="Arial" w:cs="Arial"/>
        </w:rPr>
        <w:t xml:space="preserve"> </w:t>
      </w:r>
      <w:r w:rsidR="00844FDF">
        <w:rPr>
          <w:rFonts w:ascii="Arial" w:hAnsi="Arial" w:cs="Arial"/>
        </w:rPr>
        <w:t xml:space="preserve">do </w:t>
      </w:r>
      <w:r w:rsidR="00AD761D">
        <w:rPr>
          <w:rFonts w:ascii="Arial" w:hAnsi="Arial" w:cs="Arial"/>
        </w:rPr>
        <w:t>60</w:t>
      </w:r>
      <w:r w:rsidR="00844FDF">
        <w:rPr>
          <w:rFonts w:ascii="Arial" w:hAnsi="Arial" w:cs="Arial"/>
        </w:rPr>
        <w:t xml:space="preserve"> dnů od nabytí účinnosti této smlouvy</w:t>
      </w:r>
      <w:r w:rsidRPr="005E39D8">
        <w:rPr>
          <w:rFonts w:ascii="Arial" w:hAnsi="Arial" w:cs="Arial"/>
        </w:rPr>
        <w:t>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AD623F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D623F" w:rsidRPr="004A7C35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smlouva je uzavřen dnem podpisu poslední smluvní strany a </w:t>
      </w:r>
      <w:r w:rsidRPr="0019056B">
        <w:rPr>
          <w:rFonts w:ascii="Arial" w:hAnsi="Arial" w:cs="Arial"/>
          <w:sz w:val="20"/>
          <w:szCs w:val="20"/>
        </w:rPr>
        <w:t>nabývá účinnosti dnem uzavření</w:t>
      </w:r>
      <w:r>
        <w:rPr>
          <w:rFonts w:ascii="Arial" w:hAnsi="Arial" w:cs="Arial"/>
          <w:sz w:val="20"/>
          <w:szCs w:val="20"/>
        </w:rPr>
        <w:t>, pokud zvláštní právní předpis (zejm. zák. č. 340/2015 Sb.) nestanoví jinak.</w:t>
      </w:r>
    </w:p>
    <w:p w:rsidR="00AD623F" w:rsidRPr="0066107B" w:rsidRDefault="00AD623F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018B9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AD761D" w:rsidRPr="00E84C92" w:rsidRDefault="00AD761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>
        <w:rPr>
          <w:rFonts w:ascii="Arial" w:hAnsi="Arial" w:cs="Arial"/>
          <w:sz w:val="20"/>
          <w:szCs w:val="20"/>
        </w:rPr>
        <w:t xml:space="preserve">V Plzni dne </w:t>
      </w:r>
      <w:r w:rsidR="00FF7C9B">
        <w:rPr>
          <w:rFonts w:ascii="Arial" w:hAnsi="Arial" w:cs="Arial"/>
          <w:sz w:val="20"/>
          <w:szCs w:val="20"/>
        </w:rPr>
        <w:t>25</w:t>
      </w:r>
      <w:r w:rsidR="00AD761D">
        <w:rPr>
          <w:rFonts w:ascii="Arial" w:hAnsi="Arial" w:cs="Arial"/>
          <w:sz w:val="20"/>
          <w:szCs w:val="20"/>
        </w:rPr>
        <w:t xml:space="preserve">. </w:t>
      </w:r>
      <w:r w:rsidR="00FF7C9B">
        <w:rPr>
          <w:rFonts w:ascii="Arial" w:hAnsi="Arial" w:cs="Arial"/>
          <w:sz w:val="20"/>
          <w:szCs w:val="20"/>
        </w:rPr>
        <w:t>09</w:t>
      </w:r>
      <w:r w:rsidR="00C43A8A">
        <w:rPr>
          <w:rFonts w:ascii="Arial" w:hAnsi="Arial" w:cs="Arial"/>
          <w:sz w:val="20"/>
          <w:szCs w:val="20"/>
        </w:rPr>
        <w:t>.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Plzni dne </w:t>
      </w:r>
      <w:r w:rsidR="00C15106">
        <w:rPr>
          <w:rFonts w:ascii="Arial" w:hAnsi="Arial" w:cs="Arial"/>
          <w:sz w:val="20"/>
          <w:szCs w:val="20"/>
        </w:rPr>
        <w:t>25. 09. 2017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>Ing. Zdeněk Pilík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AD761D" w:rsidRDefault="00AD761D" w:rsidP="0051350A"/>
    <w:p w:rsidR="00AD761D" w:rsidRDefault="00AD761D" w:rsidP="0051350A"/>
    <w:p w:rsidR="00AD761D" w:rsidRDefault="00AD761D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Provod</w:t>
      </w:r>
    </w:p>
    <w:p w:rsidR="00D124FB" w:rsidRPr="0066107B" w:rsidRDefault="0051350A" w:rsidP="000353E7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353E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člen představenstva</w:t>
      </w:r>
    </w:p>
    <w:sectPr w:rsidR="00D124FB" w:rsidRPr="0066107B" w:rsidSect="000353E7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F" w:rsidRDefault="00FB3D1F">
      <w:r>
        <w:separator/>
      </w:r>
    </w:p>
  </w:endnote>
  <w:endnote w:type="continuationSeparator" w:id="0">
    <w:p w:rsidR="00FB3D1F" w:rsidRDefault="00F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D1F" w:rsidRDefault="00FB3D1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3D0624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F" w:rsidRDefault="00FB3D1F">
      <w:r>
        <w:separator/>
      </w:r>
    </w:p>
  </w:footnote>
  <w:footnote w:type="continuationSeparator" w:id="0">
    <w:p w:rsidR="00FB3D1F" w:rsidRDefault="00F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F78FA"/>
    <w:multiLevelType w:val="multilevel"/>
    <w:tmpl w:val="A01CE5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3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19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4"/>
  </w:num>
  <w:num w:numId="23">
    <w:abstractNumId w:val="26"/>
  </w:num>
  <w:num w:numId="24">
    <w:abstractNumId w:val="4"/>
  </w:num>
  <w:num w:numId="25">
    <w:abstractNumId w:val="29"/>
  </w:num>
  <w:num w:numId="26">
    <w:abstractNumId w:val="3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1"/>
  </w:num>
  <w:num w:numId="35">
    <w:abstractNumId w:val="14"/>
  </w:num>
  <w:num w:numId="36">
    <w:abstractNumId w:val="27"/>
  </w:num>
  <w:num w:numId="37">
    <w:abstractNumId w:val="4"/>
  </w:num>
  <w:num w:numId="38">
    <w:abstractNumId w:val="11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3E7"/>
    <w:rsid w:val="00035586"/>
    <w:rsid w:val="00045F2B"/>
    <w:rsid w:val="00052787"/>
    <w:rsid w:val="00056CC6"/>
    <w:rsid w:val="00057078"/>
    <w:rsid w:val="00064610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23C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83597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0624"/>
    <w:rsid w:val="003D4F76"/>
    <w:rsid w:val="003F3EB8"/>
    <w:rsid w:val="003F660E"/>
    <w:rsid w:val="0040693D"/>
    <w:rsid w:val="004150A3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05C9C"/>
    <w:rsid w:val="00510934"/>
    <w:rsid w:val="0051350A"/>
    <w:rsid w:val="00515E2E"/>
    <w:rsid w:val="005208DA"/>
    <w:rsid w:val="005212BA"/>
    <w:rsid w:val="00525770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157A"/>
    <w:rsid w:val="005C6ED0"/>
    <w:rsid w:val="005C7F3D"/>
    <w:rsid w:val="005D2ACF"/>
    <w:rsid w:val="005E060F"/>
    <w:rsid w:val="005E39D8"/>
    <w:rsid w:val="005F62A4"/>
    <w:rsid w:val="00603C39"/>
    <w:rsid w:val="0060442C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44FDF"/>
    <w:rsid w:val="008516AD"/>
    <w:rsid w:val="00860E2C"/>
    <w:rsid w:val="00862410"/>
    <w:rsid w:val="00865352"/>
    <w:rsid w:val="008708E0"/>
    <w:rsid w:val="00882E48"/>
    <w:rsid w:val="0088647B"/>
    <w:rsid w:val="00887049"/>
    <w:rsid w:val="00895BE5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623F"/>
    <w:rsid w:val="00AD761D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240C"/>
    <w:rsid w:val="00BB5A12"/>
    <w:rsid w:val="00BD0A92"/>
    <w:rsid w:val="00BF0237"/>
    <w:rsid w:val="00C06D9F"/>
    <w:rsid w:val="00C15106"/>
    <w:rsid w:val="00C1734B"/>
    <w:rsid w:val="00C249FD"/>
    <w:rsid w:val="00C26086"/>
    <w:rsid w:val="00C27067"/>
    <w:rsid w:val="00C30DFD"/>
    <w:rsid w:val="00C31842"/>
    <w:rsid w:val="00C43A8A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4AFF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D1F"/>
    <w:rsid w:val="00FC0C7C"/>
    <w:rsid w:val="00FC3B55"/>
    <w:rsid w:val="00FD2564"/>
    <w:rsid w:val="00FF0C75"/>
    <w:rsid w:val="00FF26DA"/>
    <w:rsid w:val="00FF467B"/>
    <w:rsid w:val="00FF596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6D41F-8347-4AF6-9120-0B8503E6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FAC3CDD.dotm</Template>
  <TotalTime>0</TotalTime>
  <Pages>2</Pages>
  <Words>609</Words>
  <Characters>3597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4198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2017-10-04T12:47:00Z</cp:lastPrinted>
  <dcterms:created xsi:type="dcterms:W3CDTF">2017-10-10T08:55:00Z</dcterms:created>
  <dcterms:modified xsi:type="dcterms:W3CDTF">2017-10-10T08:55:00Z</dcterms:modified>
</cp:coreProperties>
</file>