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Aleš Uvíra, ředitel Krajského pozemkového úřadu pro Moravskoslezský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bookmarkStart w:id="0" w:name="_GoBack"/>
      <w:bookmarkEnd w:id="0"/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1002931656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C72726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MORAVAN, a.s.</w:t>
      </w:r>
      <w:r>
        <w:rPr>
          <w:color w:val="000000"/>
          <w:sz w:val="24"/>
          <w:szCs w:val="24"/>
        </w:rPr>
        <w:t xml:space="preserve">, sídlo Kateřinice </w:t>
      </w:r>
      <w:proofErr w:type="gramStart"/>
      <w:r>
        <w:rPr>
          <w:color w:val="000000"/>
          <w:sz w:val="24"/>
          <w:szCs w:val="24"/>
        </w:rPr>
        <w:t>č.p.</w:t>
      </w:r>
      <w:proofErr w:type="gramEnd"/>
      <w:r>
        <w:rPr>
          <w:color w:val="000000"/>
          <w:sz w:val="24"/>
          <w:szCs w:val="24"/>
        </w:rPr>
        <w:t xml:space="preserve"> 198, Kateřinice, PSČ 74258, IČ 47672439,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 CZ47672439, zapsán v OR vedený KS v Ostravě oddíl B, vložka 539</w:t>
      </w:r>
    </w:p>
    <w:p w:rsidR="003F3587" w:rsidRDefault="003F3587">
      <w:pPr>
        <w:widowControl/>
        <w:rPr>
          <w:color w:val="000000"/>
          <w:sz w:val="24"/>
          <w:szCs w:val="24"/>
        </w:rPr>
      </w:pPr>
    </w:p>
    <w:p w:rsidR="003F3587" w:rsidRDefault="003F358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který zastupuje Ing. Roman Bílek, předseda představenstva a Jana Dědková, místopředseda představenstva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1002931656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Moravskoslezský kraj se sídlem v Opavě, Katastrální pracoviště Nový Jičín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412/2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535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591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602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728/20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728/21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728/23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728/24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Petřvald</w:t>
      </w:r>
      <w:r>
        <w:rPr>
          <w:sz w:val="20"/>
          <w:szCs w:val="20"/>
        </w:rPr>
        <w:tab/>
        <w:t>Petřvald u Nového Jičína</w:t>
      </w:r>
      <w:r>
        <w:rPr>
          <w:sz w:val="20"/>
          <w:szCs w:val="20"/>
        </w:rPr>
        <w:tab/>
        <w:t>728/25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31.7.2016 (viz. přechodná ustanovení </w:t>
      </w:r>
      <w:proofErr w:type="spellStart"/>
      <w:proofErr w:type="gramStart"/>
      <w:r w:rsidR="00842ADC" w:rsidRPr="00E26F89">
        <w:t>Čl.II</w:t>
      </w:r>
      <w:proofErr w:type="spellEnd"/>
      <w:proofErr w:type="gramEnd"/>
      <w:r w:rsidR="00842ADC" w:rsidRPr="00E26F89">
        <w:t xml:space="preserve"> zákona č. 185/2016 Sb.).</w:t>
      </w: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Pr="00926A84" w:rsidRDefault="00136D24" w:rsidP="00926A8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412/2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3 220,00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535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8 890,00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591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3 360,00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602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67 900,00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728/20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140 280,00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728/21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175 420,00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728/23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15 260,00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728/24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4 340,00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Petřvald u Nového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728/25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7 070,00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425 740,00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E25277" w:rsidRDefault="00E25277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C72726">
      <w:pPr>
        <w:pStyle w:val="vnitrniText"/>
        <w:widowControl/>
      </w:pPr>
      <w:r>
        <w:t xml:space="preserve">2) </w:t>
      </w:r>
      <w:r w:rsidR="00136D24">
        <w:t xml:space="preserve">Užívací vztah k prodávaným pozemkům: </w:t>
      </w:r>
    </w:p>
    <w:p w:rsidR="00136D24" w:rsidRDefault="00136D24">
      <w:pPr>
        <w:pStyle w:val="vnitrniText"/>
        <w:widowControl/>
      </w:pPr>
      <w:r>
        <w:t xml:space="preserve">Petřvald u Nového Jičína 412/2, </w:t>
      </w:r>
    </w:p>
    <w:p w:rsidR="00136D24" w:rsidRDefault="00136D24">
      <w:pPr>
        <w:pStyle w:val="vnitrniText"/>
        <w:widowControl/>
      </w:pPr>
      <w:r>
        <w:t xml:space="preserve">Petřvald u Nového Jičína 535, </w:t>
      </w:r>
    </w:p>
    <w:p w:rsidR="00136D24" w:rsidRDefault="00136D24">
      <w:pPr>
        <w:pStyle w:val="vnitrniText"/>
        <w:widowControl/>
      </w:pPr>
      <w:r>
        <w:t xml:space="preserve">Petřvald u Nového Jičína 602, </w:t>
      </w:r>
    </w:p>
    <w:p w:rsidR="00136D24" w:rsidRDefault="00136D24">
      <w:pPr>
        <w:pStyle w:val="vnitrniText"/>
        <w:widowControl/>
      </w:pPr>
      <w:r>
        <w:t xml:space="preserve">Petřvald u Nového Jičína 728/20, </w:t>
      </w:r>
    </w:p>
    <w:p w:rsidR="00136D24" w:rsidRDefault="00136D24">
      <w:pPr>
        <w:pStyle w:val="vnitrniText"/>
        <w:widowControl/>
      </w:pPr>
      <w:r>
        <w:t>Petřvald u Nového Jičína 728/21</w:t>
      </w:r>
    </w:p>
    <w:p w:rsidR="00136D24" w:rsidRDefault="00136D24" w:rsidP="00926A84">
      <w:pPr>
        <w:pStyle w:val="vnitrniText"/>
        <w:widowControl/>
      </w:pPr>
      <w:r>
        <w:t xml:space="preserve"> je řešen nájemní smlouvou č. 97N08/56, kterou s PF ČR, nyní Státním pozemkovým úřadem uzavřel MORAVAN, a.s.,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  <w:r>
        <w:t xml:space="preserve">Užívací vztah k prodávaným pozemkům: </w:t>
      </w:r>
    </w:p>
    <w:p w:rsidR="00136D24" w:rsidRDefault="00136D24">
      <w:pPr>
        <w:pStyle w:val="vnitrniText"/>
        <w:widowControl/>
      </w:pPr>
      <w:r>
        <w:t xml:space="preserve">Petřvald u Nového Jičína 591, </w:t>
      </w:r>
    </w:p>
    <w:p w:rsidR="00136D24" w:rsidRDefault="00136D24">
      <w:pPr>
        <w:pStyle w:val="vnitrniText"/>
        <w:widowControl/>
      </w:pPr>
      <w:r>
        <w:t xml:space="preserve">Petřvald u Nového Jičína 728/23, </w:t>
      </w:r>
    </w:p>
    <w:p w:rsidR="00136D24" w:rsidRDefault="00136D24">
      <w:pPr>
        <w:pStyle w:val="vnitrniText"/>
        <w:widowControl/>
      </w:pPr>
      <w:r>
        <w:lastRenderedPageBreak/>
        <w:t xml:space="preserve">Petřvald u Nového Jičína 728/24, </w:t>
      </w:r>
    </w:p>
    <w:p w:rsidR="00136D24" w:rsidRDefault="00136D24">
      <w:pPr>
        <w:pStyle w:val="vnitrniText"/>
        <w:widowControl/>
      </w:pPr>
      <w:r>
        <w:t>Petřvald u Nového Jičína 728/25</w:t>
      </w:r>
    </w:p>
    <w:p w:rsidR="00136D24" w:rsidRDefault="00136D24">
      <w:pPr>
        <w:pStyle w:val="vnitrniText"/>
        <w:widowControl/>
      </w:pPr>
      <w:r>
        <w:t xml:space="preserve"> je řešen nájemní smlouvou č. 31N15/56, kterou s PF ČR, nyní Státním pozemkovým úřadem uzavřel MORAVAN, a.s., jakožto nájemce. S obsahem nájemní smlouvy byl kupující seznámen před podpisem této smlouvy, což stvrzuje svým podpisem.</w:t>
      </w:r>
    </w:p>
    <w:p w:rsidR="00F357C4" w:rsidRDefault="00F357C4" w:rsidP="00926A84">
      <w:pPr>
        <w:pStyle w:val="para"/>
        <w:widowControl/>
        <w:jc w:val="left"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proofErr w:type="gramStart"/>
      <w:r w:rsidR="00842ADC">
        <w:rPr>
          <w:sz w:val="24"/>
          <w:szCs w:val="24"/>
        </w:rPr>
        <w:t xml:space="preserve">zákona </w:t>
      </w:r>
      <w:r w:rsidR="00C72726">
        <w:rPr>
          <w:sz w:val="24"/>
          <w:szCs w:val="24"/>
        </w:rPr>
        <w:t xml:space="preserve">                </w:t>
      </w:r>
      <w:r w:rsidR="00842ADC">
        <w:rPr>
          <w:sz w:val="24"/>
          <w:szCs w:val="24"/>
        </w:rPr>
        <w:t>č.</w:t>
      </w:r>
      <w:proofErr w:type="gramEnd"/>
      <w:r w:rsidR="00842ADC">
        <w:rPr>
          <w:sz w:val="24"/>
          <w:szCs w:val="24"/>
        </w:rPr>
        <w:t xml:space="preserve">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136D24" w:rsidRPr="00926A84" w:rsidRDefault="00CD75A6" w:rsidP="00926A84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 xml:space="preserve">ve znění účinném ke </w:t>
      </w:r>
      <w:proofErr w:type="gramStart"/>
      <w:r w:rsidR="00842ADC">
        <w:rPr>
          <w:sz w:val="24"/>
          <w:szCs w:val="24"/>
        </w:rPr>
        <w:t xml:space="preserve">dni </w:t>
      </w:r>
      <w:r w:rsidR="00C72726">
        <w:rPr>
          <w:sz w:val="24"/>
          <w:szCs w:val="24"/>
        </w:rPr>
        <w:t xml:space="preserve">             </w:t>
      </w:r>
      <w:r w:rsidR="00842ADC">
        <w:rPr>
          <w:sz w:val="24"/>
          <w:szCs w:val="24"/>
        </w:rPr>
        <w:t>31</w:t>
      </w:r>
      <w:proofErr w:type="gramEnd"/>
      <w:r w:rsidR="00842ADC">
        <w:rPr>
          <w:sz w:val="24"/>
          <w:szCs w:val="24"/>
        </w:rPr>
        <w:t>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842ADC" w:rsidRPr="00926A84" w:rsidRDefault="00136D24" w:rsidP="00926A8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 xml:space="preserve">ve znění účinném ke </w:t>
      </w:r>
      <w:proofErr w:type="gramStart"/>
      <w:r w:rsidR="00842ADC">
        <w:rPr>
          <w:sz w:val="24"/>
          <w:szCs w:val="24"/>
        </w:rPr>
        <w:t xml:space="preserve">dni </w:t>
      </w:r>
      <w:r w:rsidR="00C72726">
        <w:rPr>
          <w:sz w:val="24"/>
          <w:szCs w:val="24"/>
        </w:rPr>
        <w:t xml:space="preserve">             </w:t>
      </w:r>
      <w:r w:rsidR="00842ADC">
        <w:rPr>
          <w:sz w:val="24"/>
          <w:szCs w:val="24"/>
        </w:rPr>
        <w:t>31</w:t>
      </w:r>
      <w:proofErr w:type="gramEnd"/>
      <w:r w:rsidR="00842ADC">
        <w:rPr>
          <w:sz w:val="24"/>
          <w:szCs w:val="24"/>
        </w:rPr>
        <w:t>. 7. 2016</w:t>
      </w:r>
      <w:r>
        <w:rPr>
          <w:sz w:val="24"/>
          <w:szCs w:val="24"/>
        </w:rPr>
        <w:t>, převedeny</w:t>
      </w:r>
      <w:r w:rsidR="00926A84">
        <w:rPr>
          <w:sz w:val="24"/>
          <w:szCs w:val="24"/>
        </w:rPr>
        <w:t xml:space="preserve">. </w:t>
      </w:r>
      <w:r w:rsidR="00842ADC"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="00842ADC" w:rsidRPr="00D4440D">
        <w:rPr>
          <w:sz w:val="24"/>
          <w:szCs w:val="24"/>
        </w:rPr>
        <w:t>31.7.2016</w:t>
      </w:r>
      <w:proofErr w:type="gramEnd"/>
      <w:r w:rsidR="00842ADC" w:rsidRPr="00D4440D">
        <w:rPr>
          <w:sz w:val="24"/>
          <w:szCs w:val="24"/>
        </w:rPr>
        <w:t>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 w:rsidP="00926A84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</w:t>
      </w:r>
      <w:proofErr w:type="gramStart"/>
      <w:r w:rsidRPr="002750DE">
        <w:rPr>
          <w:sz w:val="24"/>
          <w:szCs w:val="24"/>
        </w:rPr>
        <w:t xml:space="preserve">zákona </w:t>
      </w:r>
      <w:r w:rsidR="00C72726">
        <w:rPr>
          <w:sz w:val="24"/>
          <w:szCs w:val="24"/>
        </w:rPr>
        <w:t xml:space="preserve">                    </w:t>
      </w:r>
      <w:r w:rsidRPr="002750DE">
        <w:rPr>
          <w:sz w:val="24"/>
          <w:szCs w:val="24"/>
        </w:rPr>
        <w:t>č.</w:t>
      </w:r>
      <w:proofErr w:type="gramEnd"/>
      <w:r w:rsidRPr="002750DE">
        <w:rPr>
          <w:sz w:val="24"/>
          <w:szCs w:val="24"/>
        </w:rPr>
        <w:t xml:space="preserve">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firstLine="426"/>
        <w:jc w:val="both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 w:rsidR="00BD55DB">
        <w:rPr>
          <w:sz w:val="24"/>
          <w:szCs w:val="24"/>
        </w:rPr>
        <w:t xml:space="preserve">3.10.2016     </w:t>
      </w:r>
      <w:r w:rsidR="00926A84">
        <w:rPr>
          <w:sz w:val="24"/>
          <w:szCs w:val="24"/>
        </w:rPr>
        <w:t xml:space="preserve">                                </w:t>
      </w:r>
      <w:r w:rsidR="00C727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 </w:t>
      </w:r>
      <w:r w:rsidR="00C72726">
        <w:rPr>
          <w:sz w:val="24"/>
          <w:szCs w:val="24"/>
        </w:rPr>
        <w:t>Ostravě</w:t>
      </w:r>
      <w:r>
        <w:rPr>
          <w:sz w:val="24"/>
          <w:szCs w:val="24"/>
        </w:rPr>
        <w:t xml:space="preserve"> dne </w:t>
      </w:r>
      <w:proofErr w:type="gramStart"/>
      <w:r w:rsidR="00BD55DB">
        <w:rPr>
          <w:sz w:val="24"/>
          <w:szCs w:val="24"/>
        </w:rPr>
        <w:t>3.10.2016</w:t>
      </w:r>
      <w:proofErr w:type="gramEnd"/>
    </w:p>
    <w:p w:rsidR="00136D24" w:rsidRDefault="00136D24">
      <w:pPr>
        <w:widowControl/>
      </w:pPr>
    </w:p>
    <w:p w:rsidR="00136D24" w:rsidRDefault="00136D24">
      <w:pPr>
        <w:widowControl/>
      </w:pPr>
    </w:p>
    <w:p w:rsidR="00926A84" w:rsidRDefault="00926A84" w:rsidP="00926A84">
      <w:pPr>
        <w:widowControl/>
        <w:jc w:val="both"/>
        <w:rPr>
          <w:sz w:val="24"/>
          <w:szCs w:val="24"/>
        </w:rPr>
      </w:pPr>
    </w:p>
    <w:p w:rsidR="00C72726" w:rsidRDefault="00C72726" w:rsidP="00926A84">
      <w:pPr>
        <w:widowControl/>
        <w:jc w:val="both"/>
        <w:rPr>
          <w:sz w:val="24"/>
          <w:szCs w:val="24"/>
        </w:rPr>
      </w:pP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                                     ...........................................................</w:t>
      </w: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Státní pozemkový </w:t>
      </w:r>
      <w:proofErr w:type="gramStart"/>
      <w:r>
        <w:rPr>
          <w:sz w:val="24"/>
          <w:szCs w:val="24"/>
        </w:rPr>
        <w:t>úřad                                            MORAVAN</w:t>
      </w:r>
      <w:proofErr w:type="gramEnd"/>
      <w:r>
        <w:rPr>
          <w:sz w:val="24"/>
          <w:szCs w:val="24"/>
        </w:rPr>
        <w:t>, a.s.</w:t>
      </w: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ředitel Krajského pozemkového </w:t>
      </w:r>
      <w:proofErr w:type="gramStart"/>
      <w:r>
        <w:rPr>
          <w:sz w:val="24"/>
          <w:szCs w:val="24"/>
        </w:rPr>
        <w:t>úřadu                    Ing.</w:t>
      </w:r>
      <w:proofErr w:type="gramEnd"/>
      <w:r>
        <w:rPr>
          <w:sz w:val="24"/>
          <w:szCs w:val="24"/>
        </w:rPr>
        <w:t xml:space="preserve"> Roman Bílek, předseda představenstva</w:t>
      </w: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pro Moravskoslezský </w:t>
      </w:r>
      <w:proofErr w:type="gramStart"/>
      <w:r>
        <w:rPr>
          <w:sz w:val="24"/>
          <w:szCs w:val="24"/>
        </w:rPr>
        <w:t>kraj                                       Jana</w:t>
      </w:r>
      <w:proofErr w:type="gramEnd"/>
      <w:r>
        <w:rPr>
          <w:sz w:val="24"/>
          <w:szCs w:val="24"/>
        </w:rPr>
        <w:t xml:space="preserve"> Dědková, místopředseda představenstva</w:t>
      </w: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Aleš </w:t>
      </w:r>
      <w:proofErr w:type="gramStart"/>
      <w:r>
        <w:rPr>
          <w:sz w:val="24"/>
          <w:szCs w:val="24"/>
        </w:rPr>
        <w:t>Uvíra                                                        kupující</w:t>
      </w:r>
      <w:proofErr w:type="gramEnd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926A84" w:rsidRDefault="00926A84" w:rsidP="00926A8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 w:rsidP="00C7272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2449656, 2405956, 2542156, 2406056, 2406156, 2406256, 2940256, 2940356, 2940456</w:t>
      </w:r>
      <w:r>
        <w:rPr>
          <w:color w:val="000000"/>
          <w:sz w:val="24"/>
          <w:szCs w:val="24"/>
        </w:rPr>
        <w:br/>
      </w: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Moravskoslezský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Mgr. Šárka Smyčková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Zdeňka Fusková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 w:rsidSect="003F3587">
      <w:headerReference w:type="default" r:id="rId7"/>
      <w:footerReference w:type="default" r:id="rId8"/>
      <w:type w:val="continuous"/>
      <w:pgSz w:w="11907" w:h="16840"/>
      <w:pgMar w:top="56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87" w:rsidRDefault="003F3587">
      <w:r>
        <w:separator/>
      </w:r>
    </w:p>
  </w:endnote>
  <w:endnote w:type="continuationSeparator" w:id="0">
    <w:p w:rsidR="003F3587" w:rsidRDefault="003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87" w:rsidRDefault="00791A9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F3587" w:rsidRDefault="003F35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87" w:rsidRDefault="003F3587">
      <w:r>
        <w:separator/>
      </w:r>
    </w:p>
  </w:footnote>
  <w:footnote w:type="continuationSeparator" w:id="0">
    <w:p w:rsidR="003F3587" w:rsidRDefault="003F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2055A2"/>
    <w:rsid w:val="002359DB"/>
    <w:rsid w:val="002750DE"/>
    <w:rsid w:val="003237EF"/>
    <w:rsid w:val="00371BEF"/>
    <w:rsid w:val="003F3587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91A9E"/>
    <w:rsid w:val="007C35F3"/>
    <w:rsid w:val="007E3A0A"/>
    <w:rsid w:val="007F4AFB"/>
    <w:rsid w:val="00822906"/>
    <w:rsid w:val="00831AF0"/>
    <w:rsid w:val="00842ADC"/>
    <w:rsid w:val="00881E28"/>
    <w:rsid w:val="008C265A"/>
    <w:rsid w:val="00926A84"/>
    <w:rsid w:val="00A31C3B"/>
    <w:rsid w:val="00A31FE2"/>
    <w:rsid w:val="00A75050"/>
    <w:rsid w:val="00A84EFA"/>
    <w:rsid w:val="00B201D6"/>
    <w:rsid w:val="00B56780"/>
    <w:rsid w:val="00BD55DB"/>
    <w:rsid w:val="00C02AD1"/>
    <w:rsid w:val="00C06373"/>
    <w:rsid w:val="00C70A46"/>
    <w:rsid w:val="00C72726"/>
    <w:rsid w:val="00C9419D"/>
    <w:rsid w:val="00CD75A6"/>
    <w:rsid w:val="00D4440D"/>
    <w:rsid w:val="00D63429"/>
    <w:rsid w:val="00D65B9D"/>
    <w:rsid w:val="00E25277"/>
    <w:rsid w:val="00E26F89"/>
    <w:rsid w:val="00E66585"/>
    <w:rsid w:val="00E85DC1"/>
    <w:rsid w:val="00EC3E0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1255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fuskova</dc:creator>
  <cp:lastModifiedBy>fuskova</cp:lastModifiedBy>
  <cp:revision>3</cp:revision>
  <cp:lastPrinted>2016-10-03T06:07:00Z</cp:lastPrinted>
  <dcterms:created xsi:type="dcterms:W3CDTF">2016-10-03T08:05:00Z</dcterms:created>
  <dcterms:modified xsi:type="dcterms:W3CDTF">2016-10-03T08:30:00Z</dcterms:modified>
</cp:coreProperties>
</file>