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8078B" w14:textId="0CF80E42" w:rsidR="00CB52E9" w:rsidRPr="00CB52E9" w:rsidRDefault="00CB52E9" w:rsidP="00CB52E9">
      <w:pPr>
        <w:spacing w:line="276" w:lineRule="auto"/>
        <w:jc w:val="center"/>
        <w:rPr>
          <w:sz w:val="28"/>
        </w:rPr>
      </w:pPr>
      <w:r w:rsidRPr="00CB52E9">
        <w:rPr>
          <w:sz w:val="28"/>
        </w:rPr>
        <w:t xml:space="preserve">Příloha č. 1 smlouvy </w:t>
      </w:r>
      <w:proofErr w:type="gramStart"/>
      <w:r w:rsidRPr="00CB52E9">
        <w:rPr>
          <w:sz w:val="28"/>
        </w:rPr>
        <w:t>č.j.</w:t>
      </w:r>
      <w:proofErr w:type="gramEnd"/>
      <w:r w:rsidRPr="00CB52E9">
        <w:rPr>
          <w:sz w:val="28"/>
        </w:rPr>
        <w:t>:</w:t>
      </w:r>
      <w:r w:rsidRPr="00CB52E9">
        <w:rPr>
          <w:sz w:val="44"/>
        </w:rPr>
        <w:t xml:space="preserve"> </w:t>
      </w:r>
      <w:r w:rsidRPr="00CB52E9">
        <w:rPr>
          <w:sz w:val="28"/>
        </w:rPr>
        <w:t>281482/2013-ČRA</w:t>
      </w:r>
    </w:p>
    <w:p w14:paraId="57AB100C" w14:textId="77777777" w:rsidR="00CB52E9" w:rsidRDefault="00CB52E9" w:rsidP="00CB52E9">
      <w:pPr>
        <w:spacing w:line="276" w:lineRule="auto"/>
        <w:rPr>
          <w:sz w:val="40"/>
        </w:rPr>
      </w:pPr>
    </w:p>
    <w:p w14:paraId="2F7D7190" w14:textId="77777777" w:rsidR="0073264D" w:rsidRDefault="0073264D" w:rsidP="002A28FE">
      <w:pPr>
        <w:spacing w:line="276" w:lineRule="auto"/>
        <w:jc w:val="center"/>
        <w:rPr>
          <w:sz w:val="40"/>
        </w:rPr>
      </w:pPr>
      <w:r>
        <w:rPr>
          <w:sz w:val="40"/>
        </w:rPr>
        <w:t>ČESKÁ REPUBLIKA</w:t>
      </w:r>
      <w:bookmarkStart w:id="0" w:name="_GoBack"/>
      <w:bookmarkEnd w:id="0"/>
    </w:p>
    <w:p w14:paraId="7A7A62F2" w14:textId="77777777" w:rsidR="0073264D" w:rsidRDefault="0073264D" w:rsidP="002A28FE">
      <w:pPr>
        <w:spacing w:line="276" w:lineRule="auto"/>
        <w:jc w:val="center"/>
        <w:rPr>
          <w:sz w:val="48"/>
        </w:rPr>
      </w:pPr>
    </w:p>
    <w:p w14:paraId="4432E29D" w14:textId="77777777" w:rsidR="0073264D" w:rsidRDefault="0073264D" w:rsidP="002A28FE">
      <w:pPr>
        <w:spacing w:line="276" w:lineRule="auto"/>
        <w:jc w:val="center"/>
        <w:rPr>
          <w:sz w:val="32"/>
        </w:rPr>
      </w:pPr>
      <w:r>
        <w:rPr>
          <w:b/>
          <w:bCs/>
          <w:sz w:val="32"/>
          <w:szCs w:val="40"/>
        </w:rPr>
        <w:t>ČESKÁ ROZVOJOVÁ AGENTURA</w:t>
      </w:r>
    </w:p>
    <w:p w14:paraId="6F2C6EE2" w14:textId="77777777" w:rsidR="0073264D" w:rsidRDefault="0073264D" w:rsidP="002A28FE">
      <w:pPr>
        <w:spacing w:line="276" w:lineRule="auto"/>
        <w:jc w:val="center"/>
      </w:pPr>
    </w:p>
    <w:p w14:paraId="16A6C9BE" w14:textId="77777777" w:rsidR="0073264D" w:rsidRDefault="0073264D" w:rsidP="002A28FE">
      <w:pPr>
        <w:spacing w:line="276" w:lineRule="auto"/>
        <w:jc w:val="center"/>
      </w:pPr>
    </w:p>
    <w:p w14:paraId="17963865" w14:textId="77777777" w:rsidR="0073264D" w:rsidRDefault="0073264D" w:rsidP="002A28FE">
      <w:pPr>
        <w:spacing w:line="276" w:lineRule="auto"/>
        <w:jc w:val="center"/>
      </w:pPr>
    </w:p>
    <w:p w14:paraId="78FE4145" w14:textId="77777777" w:rsidR="0073264D" w:rsidRDefault="0073264D" w:rsidP="002A28FE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PROJEKT ROZVOJOVÉ SPOLUPRÁCE</w:t>
      </w:r>
    </w:p>
    <w:p w14:paraId="4D1AF850" w14:textId="147FB07D" w:rsidR="0073264D" w:rsidRDefault="0073264D" w:rsidP="002A28FE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ČESKÉ REPUBLIKY</w:t>
      </w:r>
    </w:p>
    <w:p w14:paraId="1EB505D5" w14:textId="77777777" w:rsidR="0073264D" w:rsidRDefault="0073264D" w:rsidP="002A28FE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</w:t>
      </w:r>
    </w:p>
    <w:p w14:paraId="21AD7E05" w14:textId="77777777" w:rsidR="00B96481" w:rsidRDefault="00B96481" w:rsidP="002A28FE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BOSNOU A HERCEGOVINOU</w:t>
      </w:r>
    </w:p>
    <w:p w14:paraId="17C83DCA" w14:textId="77777777" w:rsidR="0073264D" w:rsidRDefault="0073264D" w:rsidP="002A28FE">
      <w:pPr>
        <w:spacing w:line="276" w:lineRule="auto"/>
        <w:jc w:val="center"/>
        <w:rPr>
          <w:b/>
          <w:bCs/>
          <w:sz w:val="40"/>
          <w:szCs w:val="40"/>
        </w:rPr>
      </w:pPr>
    </w:p>
    <w:p w14:paraId="77F73C28" w14:textId="77777777" w:rsidR="0073264D" w:rsidRDefault="0073264D" w:rsidP="002A28FE">
      <w:pPr>
        <w:spacing w:line="276" w:lineRule="auto"/>
        <w:jc w:val="center"/>
        <w:rPr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3264D" w14:paraId="7E6D9BEF" w14:textId="77777777">
        <w:tc>
          <w:tcPr>
            <w:tcW w:w="9210" w:type="dxa"/>
          </w:tcPr>
          <w:p w14:paraId="3C8CBE4E" w14:textId="58937992" w:rsidR="0073264D" w:rsidRPr="00CB52E9" w:rsidRDefault="00AC4D22" w:rsidP="00CB52E9">
            <w:pPr>
              <w:spacing w:after="120" w:line="276" w:lineRule="auto"/>
              <w:jc w:val="center"/>
              <w:rPr>
                <w:b/>
                <w:sz w:val="52"/>
                <w:szCs w:val="52"/>
              </w:rPr>
            </w:pPr>
            <w:r w:rsidRPr="002A344A">
              <w:rPr>
                <w:b/>
                <w:sz w:val="52"/>
                <w:szCs w:val="52"/>
              </w:rPr>
              <w:t>Institucionální podpora certifikace a kontroly rostlinného materiálu</w:t>
            </w:r>
          </w:p>
        </w:tc>
      </w:tr>
    </w:tbl>
    <w:p w14:paraId="4E042BB7" w14:textId="77777777" w:rsidR="0073264D" w:rsidRDefault="0073264D" w:rsidP="002A28FE">
      <w:pPr>
        <w:spacing w:line="276" w:lineRule="auto"/>
        <w:jc w:val="center"/>
        <w:rPr>
          <w:color w:val="808080"/>
        </w:rPr>
      </w:pPr>
    </w:p>
    <w:p w14:paraId="110DEA1E" w14:textId="77777777" w:rsidR="0073264D" w:rsidRPr="002A344A" w:rsidRDefault="002A344A" w:rsidP="002A28FE">
      <w:pPr>
        <w:spacing w:line="276" w:lineRule="auto"/>
        <w:jc w:val="center"/>
        <w:rPr>
          <w:b/>
          <w:bCs/>
          <w:sz w:val="36"/>
          <w:szCs w:val="36"/>
        </w:rPr>
      </w:pPr>
      <w:r w:rsidRPr="002A344A">
        <w:rPr>
          <w:b/>
          <w:sz w:val="36"/>
          <w:szCs w:val="36"/>
        </w:rPr>
        <w:t>2013-2016</w:t>
      </w:r>
    </w:p>
    <w:p w14:paraId="5DDB442F" w14:textId="77777777" w:rsidR="0073264D" w:rsidRDefault="0073264D" w:rsidP="002A28FE">
      <w:pPr>
        <w:spacing w:line="276" w:lineRule="auto"/>
        <w:jc w:val="center"/>
        <w:rPr>
          <w:b/>
          <w:bCs/>
          <w:color w:val="808080"/>
          <w:sz w:val="40"/>
          <w:szCs w:val="40"/>
        </w:rPr>
      </w:pPr>
    </w:p>
    <w:p w14:paraId="3FD39D42" w14:textId="77777777" w:rsidR="0073264D" w:rsidRDefault="0073264D" w:rsidP="002A28FE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ČESKÁ ROZVOJOVÁ AGENTURA</w:t>
      </w:r>
    </w:p>
    <w:p w14:paraId="3444D32E" w14:textId="77777777" w:rsidR="0073264D" w:rsidRDefault="0073264D" w:rsidP="002A28FE">
      <w:pPr>
        <w:spacing w:line="276" w:lineRule="auto"/>
        <w:jc w:val="center"/>
        <w:rPr>
          <w:b/>
          <w:bCs/>
          <w:color w:val="808080"/>
          <w:sz w:val="40"/>
          <w:szCs w:val="40"/>
        </w:rPr>
      </w:pPr>
    </w:p>
    <w:p w14:paraId="4F665C42" w14:textId="01D754C6" w:rsidR="0073264D" w:rsidRPr="002A344A" w:rsidRDefault="00522713" w:rsidP="002A28FE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Říjen</w:t>
      </w:r>
      <w:r w:rsidR="002A344A" w:rsidRPr="002A344A">
        <w:rPr>
          <w:b/>
          <w:bCs/>
          <w:sz w:val="40"/>
          <w:szCs w:val="40"/>
        </w:rPr>
        <w:t xml:space="preserve"> 2013</w:t>
      </w:r>
    </w:p>
    <w:p w14:paraId="24EE33EF" w14:textId="77777777" w:rsidR="0073264D" w:rsidRDefault="0073264D" w:rsidP="002A28FE">
      <w:pPr>
        <w:spacing w:line="276" w:lineRule="auto"/>
        <w:jc w:val="center"/>
        <w:rPr>
          <w:b/>
          <w:bCs/>
          <w:color w:val="808080"/>
          <w:sz w:val="40"/>
          <w:szCs w:val="40"/>
        </w:rPr>
      </w:pPr>
    </w:p>
    <w:p w14:paraId="614B1723" w14:textId="2088EDC2" w:rsidR="0073264D" w:rsidRDefault="002A28FE" w:rsidP="002A28FE">
      <w:pPr>
        <w:pStyle w:val="Zkladntext2"/>
        <w:spacing w:line="276" w:lineRule="auto"/>
        <w:jc w:val="center"/>
        <w:rPr>
          <w:color w:val="808080"/>
        </w:rPr>
      </w:pPr>
      <w:r>
        <w:rPr>
          <w:noProof/>
        </w:rPr>
        <w:drawing>
          <wp:inline distT="0" distB="0" distL="0" distR="0" wp14:anchorId="769AF61D" wp14:editId="65B9B606">
            <wp:extent cx="3105150" cy="1009650"/>
            <wp:effectExtent l="0" t="0" r="0" b="0"/>
            <wp:docPr id="1" name="obrázek 1" descr="logocr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rd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38637" w14:textId="77777777" w:rsidR="0073264D" w:rsidRDefault="0073264D" w:rsidP="005E2619">
      <w:pPr>
        <w:spacing w:after="120" w:line="276" w:lineRule="auto"/>
        <w:jc w:val="both"/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06"/>
        <w:gridCol w:w="2085"/>
        <w:gridCol w:w="2521"/>
      </w:tblGrid>
      <w:tr w:rsidR="0073264D" w14:paraId="4CC197A6" w14:textId="77777777">
        <w:trPr>
          <w:cantSplit/>
          <w:trHeight w:val="611"/>
          <w:jc w:val="center"/>
        </w:trPr>
        <w:tc>
          <w:tcPr>
            <w:tcW w:w="6691" w:type="dxa"/>
            <w:gridSpan w:val="2"/>
          </w:tcPr>
          <w:p w14:paraId="2000A00F" w14:textId="77777777" w:rsidR="0073264D" w:rsidRDefault="0073264D" w:rsidP="005E2619">
            <w:pPr>
              <w:spacing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 projektu:</w:t>
            </w:r>
          </w:p>
          <w:p w14:paraId="53091C24" w14:textId="2D4CA1A4" w:rsidR="003A5508" w:rsidRPr="003A5508" w:rsidRDefault="003A5508" w:rsidP="005E2619">
            <w:pPr>
              <w:spacing w:after="120" w:line="276" w:lineRule="auto"/>
              <w:jc w:val="both"/>
            </w:pPr>
            <w:r w:rsidRPr="003A5508">
              <w:t>Institucionální podpora certifikace a kontroly rostlinného materiálu</w:t>
            </w:r>
          </w:p>
          <w:p w14:paraId="1F896FDD" w14:textId="77777777" w:rsidR="0073264D" w:rsidRPr="009F215C" w:rsidRDefault="003A5508" w:rsidP="005E2619">
            <w:pPr>
              <w:spacing w:after="120" w:line="276" w:lineRule="auto"/>
              <w:jc w:val="both"/>
              <w:rPr>
                <w:sz w:val="18"/>
                <w:lang w:val="en-GB"/>
              </w:rPr>
            </w:pPr>
            <w:r>
              <w:rPr>
                <w:lang w:val="en-GB"/>
              </w:rPr>
              <w:t xml:space="preserve">Institutional support for certification and control of plant material </w:t>
            </w:r>
          </w:p>
        </w:tc>
        <w:tc>
          <w:tcPr>
            <w:tcW w:w="2521" w:type="dxa"/>
          </w:tcPr>
          <w:p w14:paraId="76954281" w14:textId="77777777" w:rsidR="0073264D" w:rsidRDefault="0073264D" w:rsidP="005E2619">
            <w:pPr>
              <w:spacing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Číslo projektu:</w:t>
            </w:r>
          </w:p>
          <w:p w14:paraId="57254B2B" w14:textId="3305A780" w:rsidR="0073264D" w:rsidRDefault="001E01F9" w:rsidP="005E2619">
            <w:pPr>
              <w:spacing w:after="12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CZDA-RO-BA-2013-3-31192</w:t>
            </w:r>
          </w:p>
        </w:tc>
      </w:tr>
      <w:tr w:rsidR="0073264D" w14:paraId="66B9CBDA" w14:textId="77777777">
        <w:trPr>
          <w:cantSplit/>
          <w:trHeight w:val="900"/>
          <w:jc w:val="center"/>
        </w:trPr>
        <w:tc>
          <w:tcPr>
            <w:tcW w:w="4606" w:type="dxa"/>
          </w:tcPr>
          <w:p w14:paraId="39E38BC7" w14:textId="77777777" w:rsidR="0073264D" w:rsidRDefault="0073264D" w:rsidP="005E2619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Partnerská země</w:t>
            </w:r>
            <w:r>
              <w:t>:</w:t>
            </w:r>
          </w:p>
          <w:p w14:paraId="69762E47" w14:textId="77777777" w:rsidR="0073264D" w:rsidRDefault="007D560A" w:rsidP="005E2619">
            <w:pPr>
              <w:spacing w:after="120" w:line="276" w:lineRule="auto"/>
              <w:jc w:val="both"/>
            </w:pPr>
            <w:r w:rsidRPr="005104AC">
              <w:t>Bosna a Hercegovina</w:t>
            </w:r>
          </w:p>
        </w:tc>
        <w:tc>
          <w:tcPr>
            <w:tcW w:w="4606" w:type="dxa"/>
            <w:gridSpan w:val="2"/>
          </w:tcPr>
          <w:p w14:paraId="75DA4397" w14:textId="77777777" w:rsidR="0073264D" w:rsidRDefault="0073264D" w:rsidP="005E2619">
            <w:pPr>
              <w:spacing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Místo realizace projektu:</w:t>
            </w:r>
          </w:p>
          <w:p w14:paraId="515FE3FA" w14:textId="77777777" w:rsidR="005104AC" w:rsidRPr="002A344A" w:rsidRDefault="005104AC" w:rsidP="005E2619">
            <w:pPr>
              <w:spacing w:after="120" w:line="276" w:lineRule="auto"/>
              <w:jc w:val="both"/>
              <w:rPr>
                <w:bCs/>
              </w:rPr>
            </w:pPr>
            <w:r w:rsidRPr="005104AC">
              <w:rPr>
                <w:bCs/>
              </w:rPr>
              <w:t xml:space="preserve">Sarajevo, </w:t>
            </w:r>
            <w:proofErr w:type="spellStart"/>
            <w:r w:rsidRPr="005104AC">
              <w:rPr>
                <w:bCs/>
              </w:rPr>
              <w:t>Banja</w:t>
            </w:r>
            <w:proofErr w:type="spellEnd"/>
            <w:r w:rsidRPr="005104AC">
              <w:rPr>
                <w:bCs/>
              </w:rPr>
              <w:t xml:space="preserve"> Luka, Mostar</w:t>
            </w:r>
          </w:p>
        </w:tc>
      </w:tr>
      <w:tr w:rsidR="0073264D" w14:paraId="30C6B542" w14:textId="77777777">
        <w:trPr>
          <w:cantSplit/>
          <w:trHeight w:val="900"/>
          <w:jc w:val="center"/>
        </w:trPr>
        <w:tc>
          <w:tcPr>
            <w:tcW w:w="9212" w:type="dxa"/>
            <w:gridSpan w:val="3"/>
          </w:tcPr>
          <w:p w14:paraId="00CE68D4" w14:textId="77777777" w:rsidR="0073264D" w:rsidRDefault="0073264D" w:rsidP="005E2619">
            <w:pPr>
              <w:spacing w:after="120" w:line="276" w:lineRule="auto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Sektorová orientace projektu:</w:t>
            </w:r>
          </w:p>
          <w:p w14:paraId="09983F72" w14:textId="77777777" w:rsidR="0073264D" w:rsidRDefault="007D560A" w:rsidP="005E2619">
            <w:pPr>
              <w:spacing w:after="120" w:line="276" w:lineRule="auto"/>
              <w:jc w:val="both"/>
            </w:pPr>
            <w:r>
              <w:t>Zemědělství</w:t>
            </w:r>
          </w:p>
        </w:tc>
      </w:tr>
      <w:tr w:rsidR="0073264D" w14:paraId="0F8FDE86" w14:textId="77777777">
        <w:trPr>
          <w:cantSplit/>
          <w:trHeight w:val="900"/>
          <w:jc w:val="center"/>
        </w:trPr>
        <w:tc>
          <w:tcPr>
            <w:tcW w:w="4606" w:type="dxa"/>
          </w:tcPr>
          <w:p w14:paraId="522476D6" w14:textId="77777777" w:rsidR="0073264D" w:rsidRDefault="0073264D" w:rsidP="005E2619">
            <w:pPr>
              <w:spacing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Předpokládané datum zahájení projektu:</w:t>
            </w:r>
          </w:p>
          <w:p w14:paraId="6FE1CFAA" w14:textId="77777777" w:rsidR="001E01F9" w:rsidRDefault="0073264D" w:rsidP="005E2619">
            <w:pPr>
              <w:spacing w:after="12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měsíc / rok</w:t>
            </w:r>
            <w:r w:rsidR="002A344A">
              <w:rPr>
                <w:sz w:val="18"/>
              </w:rPr>
              <w:t xml:space="preserve"> </w:t>
            </w:r>
          </w:p>
          <w:p w14:paraId="5BEFC75F" w14:textId="44E8AAB6" w:rsidR="0073264D" w:rsidRPr="00407BD2" w:rsidRDefault="002A344A" w:rsidP="005E2619">
            <w:pPr>
              <w:spacing w:after="120" w:line="276" w:lineRule="auto"/>
              <w:jc w:val="both"/>
            </w:pPr>
            <w:r w:rsidRPr="00407BD2">
              <w:t>11</w:t>
            </w:r>
            <w:r w:rsidR="007D560A" w:rsidRPr="00407BD2">
              <w:t>/2013</w:t>
            </w:r>
          </w:p>
          <w:p w14:paraId="26F93027" w14:textId="77777777" w:rsidR="0073264D" w:rsidRDefault="0073264D" w:rsidP="005E2619">
            <w:pPr>
              <w:spacing w:after="120" w:line="276" w:lineRule="auto"/>
              <w:jc w:val="both"/>
              <w:rPr>
                <w:sz w:val="18"/>
              </w:rPr>
            </w:pPr>
          </w:p>
        </w:tc>
        <w:tc>
          <w:tcPr>
            <w:tcW w:w="4606" w:type="dxa"/>
            <w:gridSpan w:val="2"/>
          </w:tcPr>
          <w:p w14:paraId="40B92095" w14:textId="77777777" w:rsidR="0073264D" w:rsidRDefault="0073264D" w:rsidP="005E2619">
            <w:pPr>
              <w:spacing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Předpokládané datum ukončení projektu:</w:t>
            </w:r>
          </w:p>
          <w:p w14:paraId="32D98A8B" w14:textId="77777777" w:rsidR="001E01F9" w:rsidRDefault="0073264D" w:rsidP="005E2619">
            <w:pPr>
              <w:spacing w:after="12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měsíc / rok</w:t>
            </w:r>
            <w:r w:rsidR="007D560A">
              <w:rPr>
                <w:sz w:val="18"/>
              </w:rPr>
              <w:t xml:space="preserve"> </w:t>
            </w:r>
          </w:p>
          <w:p w14:paraId="1923DADC" w14:textId="14271C1B" w:rsidR="0073264D" w:rsidRDefault="001E01F9" w:rsidP="005E2619">
            <w:pPr>
              <w:spacing w:after="120" w:line="276" w:lineRule="auto"/>
              <w:jc w:val="both"/>
              <w:rPr>
                <w:sz w:val="18"/>
              </w:rPr>
            </w:pPr>
            <w:r w:rsidRPr="00407BD2">
              <w:t>11</w:t>
            </w:r>
            <w:r w:rsidR="007D560A" w:rsidRPr="00407BD2">
              <w:t>/2016</w:t>
            </w:r>
          </w:p>
        </w:tc>
      </w:tr>
      <w:tr w:rsidR="0073264D" w14:paraId="0A08B783" w14:textId="77777777">
        <w:trPr>
          <w:cantSplit/>
          <w:trHeight w:val="900"/>
          <w:jc w:val="center"/>
        </w:trPr>
        <w:tc>
          <w:tcPr>
            <w:tcW w:w="4606" w:type="dxa"/>
            <w:tcBorders>
              <w:bottom w:val="nil"/>
            </w:tcBorders>
          </w:tcPr>
          <w:p w14:paraId="3B6DE644" w14:textId="77777777" w:rsidR="0073264D" w:rsidRDefault="0073264D" w:rsidP="005E2619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 xml:space="preserve">Celková výše prostředků na projekt ze ZRS ČR </w:t>
            </w:r>
            <w:r w:rsidR="00840473">
              <w:t>(Kč):</w:t>
            </w:r>
          </w:p>
          <w:p w14:paraId="1D5881CA" w14:textId="4A79EDCC" w:rsidR="001E01F9" w:rsidRPr="00840473" w:rsidRDefault="001E01F9" w:rsidP="005E2619">
            <w:pPr>
              <w:spacing w:after="120" w:line="276" w:lineRule="auto"/>
              <w:jc w:val="both"/>
            </w:pPr>
            <w:r>
              <w:t>10 338 500,- Kč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14:paraId="6777E451" w14:textId="77777777" w:rsidR="0073264D" w:rsidRDefault="0073264D" w:rsidP="005E2619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Celková výše prostředků na projekt včetně spolufinancování</w:t>
            </w:r>
            <w:r>
              <w:t xml:space="preserve"> (Kč):</w:t>
            </w:r>
          </w:p>
          <w:p w14:paraId="7D7EF1A1" w14:textId="193E578F" w:rsidR="0073264D" w:rsidRDefault="001E01F9" w:rsidP="005E2619">
            <w:pPr>
              <w:spacing w:after="120" w:line="276" w:lineRule="auto"/>
              <w:jc w:val="both"/>
              <w:rPr>
                <w:sz w:val="18"/>
              </w:rPr>
            </w:pPr>
            <w:r w:rsidRPr="001E01F9">
              <w:t>16 784 500,- Kč</w:t>
            </w:r>
          </w:p>
        </w:tc>
      </w:tr>
      <w:tr w:rsidR="0073264D" w14:paraId="6F3F4A1A" w14:textId="77777777">
        <w:trPr>
          <w:trHeight w:val="1600"/>
          <w:jc w:val="center"/>
        </w:trPr>
        <w:tc>
          <w:tcPr>
            <w:tcW w:w="9212" w:type="dxa"/>
            <w:gridSpan w:val="3"/>
          </w:tcPr>
          <w:p w14:paraId="0B74C02F" w14:textId="77777777" w:rsidR="0073264D" w:rsidRDefault="002A344A" w:rsidP="005E2619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Realizátor projektu:</w:t>
            </w:r>
          </w:p>
          <w:p w14:paraId="18FD8944" w14:textId="77777777" w:rsidR="0073264D" w:rsidRPr="00840473" w:rsidRDefault="007D560A" w:rsidP="005E2619">
            <w:pPr>
              <w:spacing w:after="120" w:line="276" w:lineRule="auto"/>
              <w:jc w:val="both"/>
              <w:rPr>
                <w:bCs/>
              </w:rPr>
            </w:pPr>
            <w:r w:rsidRPr="00840473">
              <w:rPr>
                <w:bCs/>
              </w:rPr>
              <w:t>Ústřední kontrolní a zkušební ústav zemědělský</w:t>
            </w:r>
          </w:p>
          <w:p w14:paraId="5187C666" w14:textId="77777777" w:rsidR="007D560A" w:rsidRPr="00840473" w:rsidRDefault="007D560A" w:rsidP="005E2619">
            <w:pPr>
              <w:spacing w:after="120" w:line="276" w:lineRule="auto"/>
              <w:jc w:val="both"/>
              <w:rPr>
                <w:bCs/>
              </w:rPr>
            </w:pPr>
            <w:r w:rsidRPr="00840473">
              <w:rPr>
                <w:bCs/>
              </w:rPr>
              <w:t>Hroznová 2,</w:t>
            </w:r>
          </w:p>
          <w:p w14:paraId="60D328F2" w14:textId="77777777" w:rsidR="007D560A" w:rsidRPr="00840473" w:rsidRDefault="007D560A" w:rsidP="005E2619">
            <w:pPr>
              <w:spacing w:after="120" w:line="276" w:lineRule="auto"/>
              <w:jc w:val="both"/>
              <w:rPr>
                <w:bCs/>
              </w:rPr>
            </w:pPr>
            <w:r w:rsidRPr="00840473">
              <w:rPr>
                <w:bCs/>
              </w:rPr>
              <w:t>Brno 656 06</w:t>
            </w:r>
          </w:p>
          <w:p w14:paraId="1FD6A95A" w14:textId="77777777" w:rsidR="007D560A" w:rsidRPr="00840473" w:rsidRDefault="002A344A" w:rsidP="005E2619">
            <w:pPr>
              <w:spacing w:after="120" w:line="276" w:lineRule="auto"/>
              <w:jc w:val="both"/>
              <w:rPr>
                <w:bCs/>
              </w:rPr>
            </w:pPr>
            <w:r w:rsidRPr="00840473">
              <w:rPr>
                <w:bCs/>
              </w:rPr>
              <w:t xml:space="preserve">Kontaktní osoba: Mgr. </w:t>
            </w:r>
            <w:r w:rsidR="007D560A" w:rsidRPr="00840473">
              <w:rPr>
                <w:bCs/>
              </w:rPr>
              <w:t>Petr Vaculík</w:t>
            </w:r>
          </w:p>
          <w:p w14:paraId="092BA895" w14:textId="77777777" w:rsidR="007D560A" w:rsidRPr="00840473" w:rsidRDefault="007D560A" w:rsidP="005E2619">
            <w:pPr>
              <w:spacing w:after="120" w:line="276" w:lineRule="auto"/>
              <w:jc w:val="both"/>
              <w:rPr>
                <w:bCs/>
              </w:rPr>
            </w:pPr>
            <w:r w:rsidRPr="00840473">
              <w:rPr>
                <w:bCs/>
              </w:rPr>
              <w:t>+420737267611</w:t>
            </w:r>
          </w:p>
          <w:p w14:paraId="6AEF0929" w14:textId="3BA7DE70" w:rsidR="0073264D" w:rsidRDefault="00F4519A" w:rsidP="005E2619">
            <w:pPr>
              <w:spacing w:after="120" w:line="276" w:lineRule="auto"/>
              <w:jc w:val="both"/>
              <w:rPr>
                <w:sz w:val="18"/>
              </w:rPr>
            </w:pPr>
            <w:r>
              <w:rPr>
                <w:bCs/>
              </w:rPr>
              <w:t>p</w:t>
            </w:r>
            <w:r w:rsidR="007D560A" w:rsidRPr="00840473">
              <w:rPr>
                <w:bCs/>
              </w:rPr>
              <w:t>etr.vaculik@ukzuz.cz</w:t>
            </w:r>
          </w:p>
        </w:tc>
      </w:tr>
      <w:tr w:rsidR="0073264D" w14:paraId="555898CE" w14:textId="77777777">
        <w:trPr>
          <w:trHeight w:val="1422"/>
          <w:jc w:val="center"/>
        </w:trPr>
        <w:tc>
          <w:tcPr>
            <w:tcW w:w="9212" w:type="dxa"/>
            <w:gridSpan w:val="3"/>
          </w:tcPr>
          <w:p w14:paraId="6A0AA9F9" w14:textId="77777777" w:rsidR="0073264D" w:rsidRDefault="0073264D" w:rsidP="005E2619">
            <w:pPr>
              <w:spacing w:after="120" w:line="276" w:lineRule="auto"/>
              <w:jc w:val="both"/>
            </w:pPr>
            <w:r>
              <w:rPr>
                <w:b/>
                <w:bCs/>
              </w:rPr>
              <w:t>Partnerská organizace v zemi realizace projektu</w:t>
            </w:r>
            <w:r>
              <w:t>:</w:t>
            </w:r>
          </w:p>
          <w:p w14:paraId="3627B044" w14:textId="77777777" w:rsidR="007D560A" w:rsidRPr="007D560A" w:rsidRDefault="007D560A" w:rsidP="00840473">
            <w:pPr>
              <w:spacing w:line="276" w:lineRule="auto"/>
              <w:rPr>
                <w:lang w:val="en-GB"/>
              </w:rPr>
            </w:pPr>
            <w:r w:rsidRPr="007D560A">
              <w:rPr>
                <w:lang w:val="en-GB"/>
              </w:rPr>
              <w:t>Ministry of Foreign Trade and Economic Relations -</w:t>
            </w:r>
          </w:p>
          <w:p w14:paraId="2BA1EF61" w14:textId="45ADCDB8" w:rsidR="0073264D" w:rsidRPr="007D560A" w:rsidRDefault="007D560A" w:rsidP="00840473">
            <w:pPr>
              <w:spacing w:line="276" w:lineRule="auto"/>
              <w:rPr>
                <w:lang w:val="en-GB"/>
              </w:rPr>
            </w:pPr>
            <w:r w:rsidRPr="007D560A">
              <w:rPr>
                <w:lang w:val="en-GB"/>
              </w:rPr>
              <w:t>Administration of Bosnia and Herzegovina for Plant Heal</w:t>
            </w:r>
            <w:r w:rsidR="005104AC">
              <w:rPr>
                <w:lang w:val="en-GB"/>
              </w:rPr>
              <w:t>th</w:t>
            </w:r>
            <w:r w:rsidR="00776023">
              <w:rPr>
                <w:lang w:val="en-GB"/>
              </w:rPr>
              <w:t xml:space="preserve"> Protection</w:t>
            </w:r>
          </w:p>
          <w:p w14:paraId="7E692B6F" w14:textId="77777777" w:rsidR="0073264D" w:rsidRPr="007D560A" w:rsidRDefault="007D560A" w:rsidP="00840473">
            <w:pPr>
              <w:spacing w:after="120" w:line="276" w:lineRule="auto"/>
              <w:rPr>
                <w:shd w:val="clear" w:color="auto" w:fill="FFFFFF"/>
              </w:rPr>
            </w:pPr>
            <w:proofErr w:type="spellStart"/>
            <w:r w:rsidRPr="007D560A">
              <w:rPr>
                <w:shd w:val="clear" w:color="auto" w:fill="FFFFFF"/>
              </w:rPr>
              <w:t>Radiceva</w:t>
            </w:r>
            <w:proofErr w:type="spellEnd"/>
            <w:r w:rsidRPr="007D560A">
              <w:rPr>
                <w:shd w:val="clear" w:color="auto" w:fill="FFFFFF"/>
              </w:rPr>
              <w:t xml:space="preserve"> no.8/III</w:t>
            </w:r>
            <w:r w:rsidRPr="007D560A">
              <w:rPr>
                <w:rStyle w:val="apple-converted-space"/>
                <w:shd w:val="clear" w:color="auto" w:fill="FFFFFF"/>
              </w:rPr>
              <w:t> </w:t>
            </w:r>
            <w:r w:rsidRPr="007D560A">
              <w:br/>
            </w:r>
            <w:r w:rsidRPr="007D560A">
              <w:rPr>
                <w:shd w:val="clear" w:color="auto" w:fill="FFFFFF"/>
              </w:rPr>
              <w:t>S</w:t>
            </w:r>
            <w:r w:rsidR="009F215C">
              <w:rPr>
                <w:shd w:val="clear" w:color="auto" w:fill="FFFFFF"/>
              </w:rPr>
              <w:t>arajevo</w:t>
            </w:r>
            <w:r w:rsidRPr="007D560A">
              <w:rPr>
                <w:shd w:val="clear" w:color="auto" w:fill="FFFFFF"/>
              </w:rPr>
              <w:t xml:space="preserve"> 71000</w:t>
            </w:r>
          </w:p>
          <w:p w14:paraId="23B4414E" w14:textId="77777777" w:rsidR="007D560A" w:rsidRPr="007D560A" w:rsidRDefault="007D560A" w:rsidP="00840473">
            <w:pPr>
              <w:spacing w:after="120" w:line="276" w:lineRule="auto"/>
            </w:pPr>
            <w:proofErr w:type="gramStart"/>
            <w:r w:rsidRPr="007D560A">
              <w:rPr>
                <w:b/>
                <w:bCs/>
                <w:shd w:val="clear" w:color="auto" w:fill="FFFFFF"/>
              </w:rPr>
              <w:t>Tel</w:t>
            </w:r>
            <w:r w:rsidRPr="007D560A">
              <w:rPr>
                <w:rStyle w:val="apple-converted-space"/>
                <w:shd w:val="clear" w:color="auto" w:fill="FFFFFF"/>
              </w:rPr>
              <w:t> </w:t>
            </w:r>
            <w:r w:rsidRPr="007D560A">
              <w:rPr>
                <w:shd w:val="clear" w:color="auto" w:fill="FFFFFF"/>
              </w:rPr>
              <w:t>: +387 33 212 387</w:t>
            </w:r>
            <w:proofErr w:type="gramEnd"/>
            <w:r w:rsidRPr="007D560A">
              <w:br/>
            </w:r>
            <w:r w:rsidRPr="007D560A">
              <w:rPr>
                <w:b/>
                <w:bCs/>
                <w:shd w:val="clear" w:color="auto" w:fill="FFFFFF"/>
              </w:rPr>
              <w:t>Tel</w:t>
            </w:r>
            <w:r w:rsidRPr="007D560A">
              <w:rPr>
                <w:rStyle w:val="apple-converted-space"/>
                <w:shd w:val="clear" w:color="auto" w:fill="FFFFFF"/>
              </w:rPr>
              <w:t> </w:t>
            </w:r>
            <w:r w:rsidRPr="007D560A">
              <w:rPr>
                <w:shd w:val="clear" w:color="auto" w:fill="FFFFFF"/>
              </w:rPr>
              <w:t>: +387 33 217 032</w:t>
            </w:r>
            <w:r w:rsidRPr="007D560A">
              <w:br/>
            </w:r>
            <w:r w:rsidRPr="007D560A">
              <w:rPr>
                <w:rStyle w:val="Siln"/>
                <w:shd w:val="clear" w:color="auto" w:fill="FFFFFF"/>
              </w:rPr>
              <w:t>E-mail</w:t>
            </w:r>
            <w:r w:rsidRPr="007D560A">
              <w:rPr>
                <w:shd w:val="clear" w:color="auto" w:fill="FFFFFF"/>
              </w:rPr>
              <w:t>:</w:t>
            </w:r>
            <w:r w:rsidRPr="007D560A">
              <w:rPr>
                <w:rStyle w:val="apple-converted-space"/>
                <w:shd w:val="clear" w:color="auto" w:fill="FFFFFF"/>
              </w:rPr>
              <w:t> </w:t>
            </w:r>
            <w:hyperlink r:id="rId10" w:history="1">
              <w:r w:rsidRPr="007D560A">
                <w:rPr>
                  <w:rStyle w:val="Hypertextovodkaz"/>
                  <w:color w:val="auto"/>
                  <w:shd w:val="clear" w:color="auto" w:fill="FFFFFF"/>
                </w:rPr>
                <w:t>upravabihzzb@bih.net.ba</w:t>
              </w:r>
            </w:hyperlink>
          </w:p>
          <w:p w14:paraId="553A0A1A" w14:textId="77777777" w:rsidR="007D560A" w:rsidRPr="007D560A" w:rsidRDefault="007D560A" w:rsidP="00840473">
            <w:pPr>
              <w:spacing w:after="120" w:line="276" w:lineRule="auto"/>
            </w:pPr>
            <w:proofErr w:type="spellStart"/>
            <w:r w:rsidRPr="007D560A">
              <w:rPr>
                <w:shd w:val="clear" w:color="auto" w:fill="FFFFFF"/>
              </w:rPr>
              <w:t>Mr</w:t>
            </w:r>
            <w:proofErr w:type="spellEnd"/>
            <w:r w:rsidRPr="007D560A">
              <w:rPr>
                <w:shd w:val="clear" w:color="auto" w:fill="FFFFFF"/>
              </w:rPr>
              <w:t xml:space="preserve"> </w:t>
            </w:r>
            <w:proofErr w:type="spellStart"/>
            <w:r w:rsidRPr="007D560A">
              <w:rPr>
                <w:shd w:val="clear" w:color="auto" w:fill="FFFFFF"/>
              </w:rPr>
              <w:t>Radenko</w:t>
            </w:r>
            <w:proofErr w:type="spellEnd"/>
            <w:r w:rsidRPr="007D560A">
              <w:rPr>
                <w:shd w:val="clear" w:color="auto" w:fill="FFFFFF"/>
              </w:rPr>
              <w:t xml:space="preserve"> RADOVIC (</w:t>
            </w:r>
            <w:proofErr w:type="spellStart"/>
            <w:r w:rsidRPr="007D560A">
              <w:rPr>
                <w:shd w:val="clear" w:color="auto" w:fill="FFFFFF"/>
              </w:rPr>
              <w:t>Director</w:t>
            </w:r>
            <w:proofErr w:type="spellEnd"/>
            <w:r w:rsidRPr="007D560A">
              <w:rPr>
                <w:shd w:val="clear" w:color="auto" w:fill="FFFFFF"/>
              </w:rPr>
              <w:t>)</w:t>
            </w:r>
            <w:r w:rsidRPr="007D560A">
              <w:br/>
            </w:r>
            <w:r w:rsidRPr="007D560A">
              <w:rPr>
                <w:rStyle w:val="Siln"/>
                <w:shd w:val="clear" w:color="auto" w:fill="FFFFFF"/>
              </w:rPr>
              <w:t>E-mail</w:t>
            </w:r>
            <w:r w:rsidRPr="007D560A">
              <w:rPr>
                <w:shd w:val="clear" w:color="auto" w:fill="FFFFFF"/>
              </w:rPr>
              <w:t>:</w:t>
            </w:r>
            <w:r w:rsidRPr="007D560A">
              <w:rPr>
                <w:rStyle w:val="apple-converted-space"/>
                <w:shd w:val="clear" w:color="auto" w:fill="FFFFFF"/>
              </w:rPr>
              <w:t> </w:t>
            </w:r>
            <w:hyperlink r:id="rId11" w:history="1">
              <w:r w:rsidRPr="007D560A">
                <w:rPr>
                  <w:rStyle w:val="Hypertextovodkaz"/>
                  <w:color w:val="auto"/>
                  <w:shd w:val="clear" w:color="auto" w:fill="FFFFFF"/>
                </w:rPr>
                <w:t>radenko.radovic@uzzb.gov.ba</w:t>
              </w:r>
            </w:hyperlink>
          </w:p>
          <w:p w14:paraId="2EA26D33" w14:textId="77777777" w:rsidR="002A344A" w:rsidRDefault="002A344A" w:rsidP="00840473">
            <w:pPr>
              <w:spacing w:line="276" w:lineRule="auto"/>
              <w:rPr>
                <w:b/>
              </w:rPr>
            </w:pPr>
            <w:r w:rsidRPr="008D315C">
              <w:rPr>
                <w:b/>
              </w:rPr>
              <w:t>Projekt FARMA</w:t>
            </w:r>
          </w:p>
          <w:p w14:paraId="28440AA1" w14:textId="77777777" w:rsidR="0073264D" w:rsidRDefault="002A344A" w:rsidP="005E2619">
            <w:pPr>
              <w:spacing w:line="276" w:lineRule="auto"/>
              <w:jc w:val="both"/>
            </w:pPr>
            <w:r w:rsidRPr="008D315C">
              <w:t xml:space="preserve">Benjamin </w:t>
            </w:r>
            <w:proofErr w:type="spellStart"/>
            <w:r w:rsidRPr="008D315C">
              <w:t>Torić</w:t>
            </w:r>
            <w:proofErr w:type="spellEnd"/>
            <w:r w:rsidRPr="008D315C">
              <w:t xml:space="preserve">, </w:t>
            </w:r>
            <w:hyperlink r:id="rId12" w:history="1">
              <w:r w:rsidRPr="008D315C">
                <w:rPr>
                  <w:rStyle w:val="Hypertextovodkaz"/>
                </w:rPr>
                <w:t>btoric@bosniafarma.ba</w:t>
              </w:r>
            </w:hyperlink>
          </w:p>
        </w:tc>
      </w:tr>
    </w:tbl>
    <w:p w14:paraId="42EAFA44" w14:textId="77777777" w:rsidR="0073264D" w:rsidRDefault="0073264D" w:rsidP="005E2619">
      <w:pPr>
        <w:autoSpaceDE w:val="0"/>
        <w:autoSpaceDN w:val="0"/>
        <w:adjustRightInd w:val="0"/>
        <w:spacing w:after="120" w:line="276" w:lineRule="auto"/>
        <w:jc w:val="both"/>
        <w:rPr>
          <w:u w:val="single"/>
        </w:rPr>
        <w:sectPr w:rsidR="0073264D">
          <w:headerReference w:type="default" r:id="rId13"/>
          <w:footerReference w:type="even" r:id="rId14"/>
          <w:footerReference w:type="default" r:id="rId15"/>
          <w:pgSz w:w="11906" w:h="16838"/>
          <w:pgMar w:top="1418" w:right="1418" w:bottom="1418" w:left="1418" w:header="708" w:footer="708" w:gutter="0"/>
          <w:pgNumType w:start="0"/>
          <w:cols w:space="708"/>
          <w:titlePg/>
          <w:docGrid w:linePitch="360"/>
        </w:sectPr>
      </w:pPr>
    </w:p>
    <w:p w14:paraId="4B8FDDF7" w14:textId="77777777" w:rsidR="009F215C" w:rsidRPr="009F215C" w:rsidRDefault="009F215C" w:rsidP="005E2619">
      <w:pPr>
        <w:spacing w:line="276" w:lineRule="auto"/>
        <w:jc w:val="both"/>
        <w:rPr>
          <w:b/>
          <w:sz w:val="28"/>
          <w:szCs w:val="28"/>
        </w:rPr>
      </w:pPr>
      <w:r w:rsidRPr="009F215C">
        <w:rPr>
          <w:b/>
          <w:sz w:val="28"/>
          <w:szCs w:val="28"/>
        </w:rPr>
        <w:lastRenderedPageBreak/>
        <w:t>Seznam zkratek</w:t>
      </w:r>
    </w:p>
    <w:p w14:paraId="69432FB5" w14:textId="77777777" w:rsidR="009F215C" w:rsidRDefault="009F215C" w:rsidP="005E2619">
      <w:pPr>
        <w:spacing w:line="276" w:lineRule="auto"/>
        <w:jc w:val="both"/>
      </w:pPr>
    </w:p>
    <w:p w14:paraId="518A30EF" w14:textId="77777777" w:rsidR="005104AC" w:rsidRDefault="005104AC" w:rsidP="005E2619">
      <w:pPr>
        <w:spacing w:line="276" w:lineRule="auto"/>
        <w:jc w:val="both"/>
      </w:pPr>
      <w:proofErr w:type="spellStart"/>
      <w:r>
        <w:t>BaH</w:t>
      </w:r>
      <w:proofErr w:type="spellEnd"/>
      <w:r>
        <w:tab/>
      </w:r>
      <w:r>
        <w:tab/>
      </w:r>
      <w:r>
        <w:tab/>
        <w:t>Bosna a Hercegovina</w:t>
      </w:r>
    </w:p>
    <w:p w14:paraId="3D84162B" w14:textId="77777777" w:rsidR="00662D60" w:rsidRDefault="00662D60" w:rsidP="005E2619">
      <w:pPr>
        <w:spacing w:line="276" w:lineRule="auto"/>
        <w:jc w:val="both"/>
      </w:pPr>
      <w:r>
        <w:t xml:space="preserve">                                    </w:t>
      </w:r>
      <w:proofErr w:type="spellStart"/>
      <w:r>
        <w:t>Bosnia</w:t>
      </w:r>
      <w:proofErr w:type="spellEnd"/>
      <w:r>
        <w:t xml:space="preserve"> and </w:t>
      </w:r>
      <w:proofErr w:type="spellStart"/>
      <w:r>
        <w:t>Herzegovina</w:t>
      </w:r>
      <w:proofErr w:type="spellEnd"/>
    </w:p>
    <w:p w14:paraId="0F534531" w14:textId="77777777" w:rsidR="005104AC" w:rsidRDefault="005104AC" w:rsidP="005E2619">
      <w:pPr>
        <w:spacing w:line="276" w:lineRule="auto"/>
        <w:jc w:val="both"/>
      </w:pPr>
      <w:r>
        <w:t xml:space="preserve">BD </w:t>
      </w:r>
      <w:r>
        <w:tab/>
      </w:r>
      <w:r>
        <w:tab/>
      </w:r>
      <w:r>
        <w:tab/>
      </w:r>
      <w:r w:rsidR="00662D60">
        <w:t>Distrikt Brčko</w:t>
      </w:r>
    </w:p>
    <w:p w14:paraId="08922CEA" w14:textId="77777777" w:rsidR="005104AC" w:rsidRDefault="00662D60" w:rsidP="005E2619">
      <w:pPr>
        <w:spacing w:line="276" w:lineRule="auto"/>
        <w:ind w:left="1418" w:firstLine="709"/>
        <w:jc w:val="both"/>
      </w:pPr>
      <w:r>
        <w:t xml:space="preserve">Brčko </w:t>
      </w:r>
      <w:proofErr w:type="spellStart"/>
      <w:r>
        <w:t>District</w:t>
      </w:r>
      <w:proofErr w:type="spellEnd"/>
    </w:p>
    <w:p w14:paraId="6AD1C4C1" w14:textId="77777777" w:rsidR="005104AC" w:rsidRDefault="005104AC" w:rsidP="005E2619">
      <w:pPr>
        <w:spacing w:line="276" w:lineRule="auto"/>
        <w:jc w:val="both"/>
      </w:pPr>
      <w:r>
        <w:t xml:space="preserve">ČR </w:t>
      </w:r>
      <w:r>
        <w:tab/>
      </w:r>
      <w:r>
        <w:tab/>
      </w:r>
      <w:r>
        <w:tab/>
        <w:t>Česká republika</w:t>
      </w:r>
    </w:p>
    <w:p w14:paraId="0C75FF5A" w14:textId="77777777" w:rsidR="009F215C" w:rsidRPr="00B013FB" w:rsidRDefault="009F215C" w:rsidP="005E2619">
      <w:pPr>
        <w:spacing w:line="276" w:lineRule="auto"/>
        <w:jc w:val="both"/>
      </w:pPr>
      <w:r>
        <w:t xml:space="preserve">                                    Czech Republic</w:t>
      </w:r>
    </w:p>
    <w:p w14:paraId="25D1CE14" w14:textId="77777777" w:rsidR="005104AC" w:rsidRDefault="005104AC" w:rsidP="005E2619">
      <w:pPr>
        <w:spacing w:line="276" w:lineRule="auto"/>
        <w:jc w:val="both"/>
      </w:pPr>
      <w:r>
        <w:t>ČRA</w:t>
      </w:r>
      <w:r>
        <w:tab/>
      </w:r>
      <w:r>
        <w:tab/>
      </w:r>
      <w:r>
        <w:tab/>
        <w:t>Česká rozvojová agentura</w:t>
      </w:r>
    </w:p>
    <w:p w14:paraId="7CDB9972" w14:textId="77777777" w:rsidR="00662D60" w:rsidRDefault="00662D60" w:rsidP="005E2619">
      <w:pPr>
        <w:spacing w:line="276" w:lineRule="auto"/>
        <w:jc w:val="both"/>
      </w:pPr>
      <w:r>
        <w:t xml:space="preserve">                                    Czech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Agency</w:t>
      </w:r>
      <w:proofErr w:type="spellEnd"/>
    </w:p>
    <w:p w14:paraId="0F9AB5DC" w14:textId="77777777" w:rsidR="005104AC" w:rsidRDefault="005104AC" w:rsidP="005E2619">
      <w:pPr>
        <w:spacing w:line="276" w:lineRule="auto"/>
        <w:jc w:val="both"/>
      </w:pPr>
      <w:r w:rsidRPr="00B013FB">
        <w:t>DAC</w:t>
      </w:r>
      <w:r>
        <w:t xml:space="preserve"> </w:t>
      </w:r>
      <w:r>
        <w:tab/>
      </w:r>
      <w:r>
        <w:tab/>
      </w:r>
      <w:r>
        <w:tab/>
        <w:t>Výbor pro rozvojovou pomoc</w:t>
      </w:r>
    </w:p>
    <w:p w14:paraId="3D3F6DBF" w14:textId="77777777" w:rsidR="005104AC" w:rsidRDefault="005104AC" w:rsidP="005E2619">
      <w:pPr>
        <w:spacing w:line="276" w:lineRule="auto"/>
        <w:ind w:left="1418" w:firstLine="709"/>
        <w:jc w:val="both"/>
      </w:pPr>
      <w:proofErr w:type="spellStart"/>
      <w:r>
        <w:t>Development</w:t>
      </w:r>
      <w:proofErr w:type="spellEnd"/>
      <w:r>
        <w:t xml:space="preserve"> </w:t>
      </w:r>
      <w:proofErr w:type="spellStart"/>
      <w:r>
        <w:t>Assistanc</w:t>
      </w:r>
      <w:r w:rsidR="00662D60">
        <w:t>e</w:t>
      </w:r>
      <w:proofErr w:type="spellEnd"/>
      <w:r w:rsidR="00662D60">
        <w:t xml:space="preserve"> </w:t>
      </w:r>
      <w:proofErr w:type="spellStart"/>
      <w:r w:rsidR="00662D60">
        <w:t>Committee</w:t>
      </w:r>
      <w:proofErr w:type="spellEnd"/>
    </w:p>
    <w:p w14:paraId="45621466" w14:textId="77777777" w:rsidR="005104AC" w:rsidRDefault="005104AC" w:rsidP="005E2619">
      <w:pPr>
        <w:spacing w:line="276" w:lineRule="auto"/>
        <w:jc w:val="both"/>
      </w:pPr>
      <w:r>
        <w:t>EU</w:t>
      </w:r>
      <w:r>
        <w:tab/>
      </w:r>
      <w:r>
        <w:tab/>
      </w:r>
      <w:r>
        <w:tab/>
        <w:t>Evropská unie</w:t>
      </w:r>
    </w:p>
    <w:p w14:paraId="5EB568FD" w14:textId="77777777" w:rsidR="00662D60" w:rsidRDefault="00662D60" w:rsidP="005E2619">
      <w:pPr>
        <w:spacing w:line="276" w:lineRule="auto"/>
        <w:jc w:val="both"/>
      </w:pPr>
      <w:r>
        <w:t xml:space="preserve">                                   </w:t>
      </w:r>
      <w:proofErr w:type="spellStart"/>
      <w:r>
        <w:t>Europan</w:t>
      </w:r>
      <w:proofErr w:type="spellEnd"/>
      <w:r>
        <w:t xml:space="preserve"> Union</w:t>
      </w:r>
    </w:p>
    <w:p w14:paraId="7089AD3D" w14:textId="77777777" w:rsidR="005104AC" w:rsidRDefault="005104AC" w:rsidP="005E2619">
      <w:pPr>
        <w:spacing w:line="276" w:lineRule="auto"/>
        <w:jc w:val="both"/>
      </w:pPr>
      <w:r>
        <w:t>EK/EC</w:t>
      </w:r>
      <w:r>
        <w:tab/>
      </w:r>
      <w:r>
        <w:tab/>
      </w:r>
      <w:r>
        <w:tab/>
        <w:t xml:space="preserve">Evropská komise </w:t>
      </w:r>
    </w:p>
    <w:p w14:paraId="6CC7FC9C" w14:textId="77777777" w:rsidR="005104AC" w:rsidRDefault="005104AC" w:rsidP="005E2619">
      <w:pPr>
        <w:spacing w:line="276" w:lineRule="auto"/>
        <w:ind w:left="1418" w:firstLine="709"/>
        <w:jc w:val="both"/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Commision</w:t>
      </w:r>
      <w:proofErr w:type="spellEnd"/>
    </w:p>
    <w:p w14:paraId="4F32EBD3" w14:textId="77777777" w:rsidR="005104AC" w:rsidRDefault="005104AC" w:rsidP="005E2619">
      <w:pPr>
        <w:spacing w:line="276" w:lineRule="auto"/>
        <w:jc w:val="both"/>
      </w:pPr>
      <w:r>
        <w:t xml:space="preserve">FARMA </w:t>
      </w:r>
      <w:r>
        <w:tab/>
      </w:r>
      <w:r>
        <w:tab/>
        <w:t>Podpora aktivit zemědělského trhu</w:t>
      </w:r>
    </w:p>
    <w:p w14:paraId="6F8DE0EE" w14:textId="77777777" w:rsidR="005104AC" w:rsidRDefault="005104AC" w:rsidP="005E2619">
      <w:pPr>
        <w:spacing w:line="276" w:lineRule="auto"/>
        <w:ind w:left="1418" w:firstLine="709"/>
        <w:jc w:val="both"/>
      </w:pPr>
      <w:proofErr w:type="spellStart"/>
      <w:r>
        <w:t>Fostering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Market </w:t>
      </w:r>
      <w:proofErr w:type="spellStart"/>
      <w:r>
        <w:t>Activity</w:t>
      </w:r>
      <w:proofErr w:type="spellEnd"/>
    </w:p>
    <w:p w14:paraId="30FAFE27" w14:textId="77777777" w:rsidR="005104AC" w:rsidRDefault="005104AC" w:rsidP="005E2619">
      <w:pPr>
        <w:spacing w:line="276" w:lineRule="auto"/>
        <w:jc w:val="both"/>
      </w:pPr>
      <w:r>
        <w:t xml:space="preserve">FIRMA </w:t>
      </w:r>
      <w:r>
        <w:tab/>
      </w:r>
      <w:r>
        <w:tab/>
        <w:t>Podpora intervencí pro rychlý rozvoj trhu</w:t>
      </w:r>
    </w:p>
    <w:p w14:paraId="27F4E307" w14:textId="77777777" w:rsidR="005104AC" w:rsidRPr="004F78A2" w:rsidRDefault="005104AC" w:rsidP="005E2619">
      <w:pPr>
        <w:spacing w:line="276" w:lineRule="auto"/>
        <w:ind w:left="1418" w:firstLine="709"/>
        <w:jc w:val="both"/>
      </w:pPr>
      <w:proofErr w:type="spellStart"/>
      <w:r w:rsidRPr="00E73F0E">
        <w:t>Fostering</w:t>
      </w:r>
      <w:proofErr w:type="spellEnd"/>
      <w:r w:rsidRPr="00E73F0E">
        <w:t xml:space="preserve"> </w:t>
      </w:r>
      <w:proofErr w:type="spellStart"/>
      <w:r w:rsidRPr="00E73F0E">
        <w:t>Interventions</w:t>
      </w:r>
      <w:proofErr w:type="spellEnd"/>
      <w:r w:rsidRPr="00E73F0E">
        <w:t xml:space="preserve"> </w:t>
      </w:r>
      <w:proofErr w:type="spellStart"/>
      <w:r w:rsidRPr="00E73F0E">
        <w:t>for</w:t>
      </w:r>
      <w:proofErr w:type="spellEnd"/>
      <w:r w:rsidRPr="00E73F0E">
        <w:t xml:space="preserve"> Rapid Market </w:t>
      </w:r>
      <w:proofErr w:type="spellStart"/>
      <w:r w:rsidRPr="00E73F0E">
        <w:t>Advancement</w:t>
      </w:r>
      <w:proofErr w:type="spellEnd"/>
    </w:p>
    <w:p w14:paraId="78B65A9B" w14:textId="77777777" w:rsidR="005104AC" w:rsidRDefault="005104AC" w:rsidP="005E2619">
      <w:pPr>
        <w:spacing w:line="276" w:lineRule="auto"/>
        <w:ind w:left="1418" w:firstLine="709"/>
        <w:jc w:val="both"/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Commision</w:t>
      </w:r>
      <w:proofErr w:type="spellEnd"/>
    </w:p>
    <w:p w14:paraId="06BEEF10" w14:textId="77777777" w:rsidR="005104AC" w:rsidRDefault="005104AC" w:rsidP="005E2619">
      <w:pPr>
        <w:spacing w:line="276" w:lineRule="auto"/>
        <w:jc w:val="both"/>
      </w:pPr>
      <w:proofErr w:type="spellStart"/>
      <w:r>
        <w:t>FBaH</w:t>
      </w:r>
      <w:proofErr w:type="spellEnd"/>
      <w:r>
        <w:t xml:space="preserve"> </w:t>
      </w:r>
      <w:r>
        <w:tab/>
      </w:r>
      <w:r>
        <w:tab/>
      </w:r>
      <w:r>
        <w:tab/>
        <w:t>Federace Bosny a Hercegoviny</w:t>
      </w:r>
    </w:p>
    <w:p w14:paraId="65E5EAF0" w14:textId="77777777" w:rsidR="005104AC" w:rsidRDefault="005104AC" w:rsidP="005E2619">
      <w:pPr>
        <w:spacing w:line="276" w:lineRule="auto"/>
        <w:jc w:val="both"/>
      </w:pPr>
      <w:r>
        <w:t>IMF</w:t>
      </w:r>
      <w:r>
        <w:tab/>
      </w:r>
      <w:r>
        <w:tab/>
      </w:r>
      <w:r>
        <w:tab/>
        <w:t>Mezinárodní měnový fond</w:t>
      </w:r>
    </w:p>
    <w:p w14:paraId="4072E6E2" w14:textId="77777777" w:rsidR="005104AC" w:rsidRDefault="005104AC" w:rsidP="005E2619">
      <w:pPr>
        <w:spacing w:line="276" w:lineRule="auto"/>
        <w:ind w:left="1418" w:firstLine="709"/>
        <w:jc w:val="both"/>
      </w:pPr>
      <w:r>
        <w:t xml:space="preserve">International </w:t>
      </w:r>
      <w:proofErr w:type="spellStart"/>
      <w:r>
        <w:t>Monetary</w:t>
      </w:r>
      <w:proofErr w:type="spellEnd"/>
      <w:r>
        <w:t xml:space="preserve"> </w:t>
      </w:r>
      <w:proofErr w:type="spellStart"/>
      <w:r>
        <w:t>Fund</w:t>
      </w:r>
      <w:proofErr w:type="spellEnd"/>
    </w:p>
    <w:p w14:paraId="131042F2" w14:textId="77777777" w:rsidR="005104AC" w:rsidRDefault="005104AC" w:rsidP="005E2619">
      <w:pPr>
        <w:spacing w:line="276" w:lineRule="auto"/>
        <w:jc w:val="both"/>
      </w:pPr>
      <w:r>
        <w:t xml:space="preserve">IPARD </w:t>
      </w:r>
      <w:r>
        <w:tab/>
      </w:r>
      <w:r>
        <w:tab/>
        <w:t>Nástroj předvstupní pomoci pro rozvoj venkova</w:t>
      </w:r>
    </w:p>
    <w:p w14:paraId="71E50565" w14:textId="77777777" w:rsidR="005104AC" w:rsidRDefault="005104AC" w:rsidP="005E2619">
      <w:pPr>
        <w:spacing w:line="276" w:lineRule="auto"/>
        <w:ind w:left="1418" w:firstLine="709"/>
        <w:jc w:val="both"/>
      </w:pPr>
      <w:r>
        <w:t xml:space="preserve">Instrument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Pre-Accession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Development</w:t>
      </w:r>
      <w:proofErr w:type="spellEnd"/>
    </w:p>
    <w:p w14:paraId="7A0CD877" w14:textId="77777777" w:rsidR="005104AC" w:rsidRDefault="005104AC" w:rsidP="005E2619">
      <w:pPr>
        <w:spacing w:line="276" w:lineRule="auto"/>
        <w:jc w:val="both"/>
      </w:pPr>
      <w:proofErr w:type="spellStart"/>
      <w:r>
        <w:t>MoFTER</w:t>
      </w:r>
      <w:proofErr w:type="spellEnd"/>
      <w:r>
        <w:t xml:space="preserve"> </w:t>
      </w:r>
      <w:r>
        <w:tab/>
      </w:r>
      <w:r>
        <w:tab/>
        <w:t xml:space="preserve">Ministerstvo zahraničního obchodu a ekonomických vztahů </w:t>
      </w:r>
    </w:p>
    <w:p w14:paraId="59D95945" w14:textId="77777777" w:rsidR="005104AC" w:rsidRDefault="005104AC" w:rsidP="005E2619">
      <w:pPr>
        <w:spacing w:line="276" w:lineRule="auto"/>
        <w:ind w:left="1418" w:firstLine="709"/>
        <w:jc w:val="both"/>
      </w:pPr>
      <w:r>
        <w:t xml:space="preserve">Ministry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and </w:t>
      </w:r>
      <w:proofErr w:type="spellStart"/>
      <w:r>
        <w:t>Economic</w:t>
      </w:r>
      <w:proofErr w:type="spellEnd"/>
      <w:r>
        <w:t xml:space="preserve"> Relations</w:t>
      </w:r>
    </w:p>
    <w:p w14:paraId="024298A4" w14:textId="77777777" w:rsidR="005104AC" w:rsidRDefault="005104AC" w:rsidP="005E2619">
      <w:pPr>
        <w:spacing w:line="276" w:lineRule="auto"/>
        <w:jc w:val="both"/>
      </w:pPr>
      <w:r w:rsidRPr="00B013FB">
        <w:t>MZV/ORS</w:t>
      </w:r>
      <w:r>
        <w:tab/>
      </w:r>
      <w:r>
        <w:tab/>
        <w:t>Ministerstvo zahraničních věcí/Odbor rozvojové spolupráce</w:t>
      </w:r>
    </w:p>
    <w:p w14:paraId="4FE6869F" w14:textId="77777777" w:rsidR="005104AC" w:rsidRDefault="005104AC" w:rsidP="005E2619">
      <w:pPr>
        <w:spacing w:line="276" w:lineRule="auto"/>
        <w:jc w:val="both"/>
      </w:pPr>
      <w:r>
        <w:t>OECD</w:t>
      </w:r>
      <w:r w:rsidRPr="00D4638C">
        <w:t xml:space="preserve"> </w:t>
      </w:r>
      <w:r>
        <w:tab/>
      </w:r>
      <w:r>
        <w:tab/>
        <w:t>Organizace pro hospodářskou spolupráci a rozvoj</w:t>
      </w:r>
    </w:p>
    <w:p w14:paraId="59C760B2" w14:textId="77777777" w:rsidR="005104AC" w:rsidRDefault="005104AC" w:rsidP="005E2619">
      <w:pPr>
        <w:spacing w:line="276" w:lineRule="auto"/>
        <w:ind w:left="1418" w:firstLine="709"/>
        <w:jc w:val="both"/>
      </w:pPr>
      <w:proofErr w:type="spellStart"/>
      <w:r>
        <w:t>O</w:t>
      </w:r>
      <w:r w:rsidRPr="00165549">
        <w:t>rganisation</w:t>
      </w:r>
      <w:proofErr w:type="spellEnd"/>
      <w:r w:rsidRPr="00165549">
        <w:t xml:space="preserve"> </w:t>
      </w:r>
      <w:proofErr w:type="spellStart"/>
      <w:r w:rsidRPr="00165549">
        <w:t>for</w:t>
      </w:r>
      <w:proofErr w:type="spellEnd"/>
      <w:r w:rsidRPr="00165549">
        <w:t xml:space="preserve"> </w:t>
      </w:r>
      <w:proofErr w:type="spellStart"/>
      <w:r w:rsidRPr="00165549">
        <w:t>Economic</w:t>
      </w:r>
      <w:proofErr w:type="spellEnd"/>
      <w:r w:rsidRPr="00165549">
        <w:t xml:space="preserve"> Co-</w:t>
      </w:r>
      <w:proofErr w:type="spellStart"/>
      <w:r w:rsidRPr="00165549">
        <w:t>operation</w:t>
      </w:r>
      <w:proofErr w:type="spellEnd"/>
      <w:r w:rsidRPr="00165549">
        <w:t xml:space="preserve"> and </w:t>
      </w:r>
      <w:proofErr w:type="spellStart"/>
      <w:r w:rsidRPr="00165549">
        <w:t>Development</w:t>
      </w:r>
      <w:proofErr w:type="spellEnd"/>
    </w:p>
    <w:p w14:paraId="50D582D3" w14:textId="77777777" w:rsidR="009F215C" w:rsidRDefault="009F215C" w:rsidP="005E2619">
      <w:pPr>
        <w:spacing w:line="276" w:lineRule="auto"/>
        <w:jc w:val="both"/>
      </w:pPr>
      <w:r>
        <w:t xml:space="preserve">PHPA </w:t>
      </w:r>
      <w:r w:rsidRPr="00D4638C">
        <w:t xml:space="preserve"> </w:t>
      </w:r>
      <w:r>
        <w:tab/>
      </w:r>
      <w:r>
        <w:tab/>
        <w:t>Rostlinolékařská s</w:t>
      </w:r>
      <w:r w:rsidRPr="00FF0C23">
        <w:t xml:space="preserve">práva </w:t>
      </w:r>
      <w:r>
        <w:t>Bosny a </w:t>
      </w:r>
      <w:r w:rsidRPr="00FF0C23">
        <w:t>Hercegoviny</w:t>
      </w:r>
    </w:p>
    <w:p w14:paraId="2A08C3A7" w14:textId="77777777" w:rsidR="009F215C" w:rsidRDefault="009F215C" w:rsidP="005E2619">
      <w:pPr>
        <w:spacing w:line="276" w:lineRule="auto"/>
        <w:ind w:left="1418" w:firstLine="709"/>
        <w:jc w:val="both"/>
      </w:pPr>
      <w:proofErr w:type="spellStart"/>
      <w:r>
        <w:t>Phytosanitary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Bosnia</w:t>
      </w:r>
      <w:proofErr w:type="spellEnd"/>
      <w:r>
        <w:t xml:space="preserve"> and </w:t>
      </w:r>
      <w:proofErr w:type="spellStart"/>
      <w:r>
        <w:t>Herecgovina</w:t>
      </w:r>
      <w:proofErr w:type="spellEnd"/>
    </w:p>
    <w:p w14:paraId="2D469FD5" w14:textId="77777777" w:rsidR="005104AC" w:rsidRDefault="005104AC" w:rsidP="005E2619">
      <w:pPr>
        <w:spacing w:line="276" w:lineRule="auto"/>
        <w:jc w:val="both"/>
      </w:pPr>
      <w:r>
        <w:t xml:space="preserve">RS </w:t>
      </w:r>
      <w:r>
        <w:tab/>
      </w:r>
      <w:r>
        <w:tab/>
      </w:r>
      <w:r>
        <w:tab/>
        <w:t>Republika Srbská</w:t>
      </w:r>
    </w:p>
    <w:p w14:paraId="096E70C5" w14:textId="77777777" w:rsidR="005104AC" w:rsidRDefault="005104AC" w:rsidP="005E2619">
      <w:pPr>
        <w:spacing w:line="276" w:lineRule="auto"/>
        <w:jc w:val="both"/>
      </w:pPr>
      <w:r>
        <w:t>SIDA</w:t>
      </w:r>
      <w:r>
        <w:tab/>
      </w:r>
      <w:r>
        <w:tab/>
      </w:r>
      <w:r>
        <w:tab/>
      </w:r>
      <w:r w:rsidRPr="00E71CE7">
        <w:rPr>
          <w:rStyle w:val="Zvraznn"/>
          <w:i w:val="0"/>
        </w:rPr>
        <w:t>Švédská agentura</w:t>
      </w:r>
      <w:r w:rsidRPr="00E71CE7">
        <w:rPr>
          <w:rStyle w:val="st"/>
          <w:i/>
        </w:rPr>
        <w:t xml:space="preserve"> </w:t>
      </w:r>
      <w:r w:rsidRPr="00E71CE7">
        <w:rPr>
          <w:rStyle w:val="st"/>
        </w:rPr>
        <w:t>pro mezinárodní</w:t>
      </w:r>
      <w:r w:rsidRPr="00E71CE7">
        <w:rPr>
          <w:rStyle w:val="st"/>
          <w:i/>
        </w:rPr>
        <w:t xml:space="preserve"> </w:t>
      </w:r>
      <w:r w:rsidRPr="00E71CE7">
        <w:rPr>
          <w:rStyle w:val="Zvraznn"/>
          <w:i w:val="0"/>
        </w:rPr>
        <w:t>rozvojovou</w:t>
      </w:r>
      <w:r w:rsidRPr="00E71CE7">
        <w:rPr>
          <w:rStyle w:val="st"/>
          <w:i/>
        </w:rPr>
        <w:t xml:space="preserve"> </w:t>
      </w:r>
      <w:r w:rsidRPr="00E71CE7">
        <w:rPr>
          <w:rStyle w:val="st"/>
        </w:rPr>
        <w:t>pomoc</w:t>
      </w:r>
    </w:p>
    <w:p w14:paraId="6CE8E67E" w14:textId="77777777" w:rsidR="005104AC" w:rsidRDefault="005104AC" w:rsidP="005E2619">
      <w:pPr>
        <w:spacing w:line="276" w:lineRule="auto"/>
        <w:ind w:left="1418" w:firstLine="709"/>
        <w:jc w:val="both"/>
      </w:pPr>
      <w:proofErr w:type="spellStart"/>
      <w:r>
        <w:t>Swedish</w:t>
      </w:r>
      <w:proofErr w:type="spellEnd"/>
      <w:r>
        <w:t xml:space="preserve"> International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Agency</w:t>
      </w:r>
      <w:proofErr w:type="spellEnd"/>
    </w:p>
    <w:p w14:paraId="3DDF6111" w14:textId="77777777" w:rsidR="009D7A87" w:rsidRDefault="009D7A87" w:rsidP="005E2619">
      <w:pPr>
        <w:spacing w:line="276" w:lineRule="auto"/>
        <w:jc w:val="both"/>
      </w:pPr>
      <w:r>
        <w:t>ÚKZÚZ</w:t>
      </w:r>
      <w:r>
        <w:tab/>
      </w:r>
      <w:r>
        <w:tab/>
      </w:r>
      <w:r>
        <w:rPr>
          <w:rStyle w:val="Zvraznn"/>
          <w:i w:val="0"/>
        </w:rPr>
        <w:t>Ústřední kontrolní a zkušební ústav zemědělský</w:t>
      </w:r>
    </w:p>
    <w:p w14:paraId="3D9B953A" w14:textId="77777777" w:rsidR="009D7A87" w:rsidRDefault="009D7A87" w:rsidP="005E2619">
      <w:pPr>
        <w:spacing w:line="276" w:lineRule="auto"/>
        <w:jc w:val="both"/>
      </w:pPr>
      <w:r>
        <w:t xml:space="preserve">                                    </w:t>
      </w:r>
      <w:proofErr w:type="spellStart"/>
      <w:r>
        <w:t>Central</w:t>
      </w:r>
      <w:proofErr w:type="spellEnd"/>
      <w:r>
        <w:t xml:space="preserve"> Institute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Supervising</w:t>
      </w:r>
      <w:proofErr w:type="spellEnd"/>
      <w:r>
        <w:t xml:space="preserve"> and </w:t>
      </w:r>
      <w:proofErr w:type="spellStart"/>
      <w:r>
        <w:t>Testing</w:t>
      </w:r>
      <w:proofErr w:type="spellEnd"/>
      <w:r>
        <w:t xml:space="preserve"> in </w:t>
      </w:r>
      <w:proofErr w:type="spellStart"/>
      <w:r>
        <w:t>Agriculture</w:t>
      </w:r>
      <w:proofErr w:type="spellEnd"/>
    </w:p>
    <w:p w14:paraId="14B8B9ED" w14:textId="77777777" w:rsidR="005104AC" w:rsidRDefault="005104AC" w:rsidP="005E2619">
      <w:pPr>
        <w:spacing w:line="276" w:lineRule="auto"/>
        <w:jc w:val="both"/>
      </w:pPr>
      <w:r>
        <w:t>UNDP</w:t>
      </w:r>
      <w:r>
        <w:tab/>
      </w:r>
      <w:r>
        <w:tab/>
      </w:r>
      <w:r>
        <w:tab/>
        <w:t>Rozvojový program OSN</w:t>
      </w:r>
    </w:p>
    <w:p w14:paraId="0DC16323" w14:textId="77777777" w:rsidR="005104AC" w:rsidRDefault="005104AC" w:rsidP="005E2619">
      <w:pPr>
        <w:spacing w:line="276" w:lineRule="auto"/>
        <w:ind w:left="1418" w:firstLine="709"/>
        <w:jc w:val="both"/>
      </w:pPr>
      <w:r>
        <w:t xml:space="preserve">United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Programme</w:t>
      </w:r>
      <w:proofErr w:type="spellEnd"/>
    </w:p>
    <w:p w14:paraId="4F04E55E" w14:textId="77777777" w:rsidR="005104AC" w:rsidRDefault="005104AC" w:rsidP="005E2619">
      <w:pPr>
        <w:spacing w:line="276" w:lineRule="auto"/>
        <w:jc w:val="both"/>
      </w:pPr>
      <w:r>
        <w:t xml:space="preserve">US </w:t>
      </w:r>
      <w:r>
        <w:tab/>
      </w:r>
      <w:r>
        <w:tab/>
      </w:r>
      <w:r>
        <w:tab/>
        <w:t>Spojené státy americké</w:t>
      </w:r>
    </w:p>
    <w:p w14:paraId="09E03512" w14:textId="77777777" w:rsidR="005104AC" w:rsidRDefault="005104AC" w:rsidP="005E2619">
      <w:pPr>
        <w:spacing w:line="276" w:lineRule="auto"/>
        <w:ind w:left="1418" w:firstLine="709"/>
        <w:jc w:val="both"/>
      </w:pPr>
      <w:r>
        <w:t xml:space="preserve">United </w:t>
      </w:r>
      <w:proofErr w:type="spellStart"/>
      <w:r>
        <w:t>States</w:t>
      </w:r>
      <w:proofErr w:type="spellEnd"/>
    </w:p>
    <w:p w14:paraId="7960B8EB" w14:textId="77777777" w:rsidR="005104AC" w:rsidRDefault="005104AC" w:rsidP="005E2619">
      <w:pPr>
        <w:spacing w:line="276" w:lineRule="auto"/>
        <w:jc w:val="both"/>
      </w:pPr>
      <w:r>
        <w:t>USAID</w:t>
      </w:r>
      <w:r>
        <w:tab/>
      </w:r>
      <w:r>
        <w:tab/>
        <w:t>Americká rozvojová agentura</w:t>
      </w:r>
    </w:p>
    <w:p w14:paraId="0EA31738" w14:textId="77777777" w:rsidR="005104AC" w:rsidRDefault="005104AC" w:rsidP="005E2619">
      <w:pPr>
        <w:spacing w:line="276" w:lineRule="auto"/>
        <w:ind w:left="1418" w:firstLine="709"/>
        <w:jc w:val="both"/>
      </w:pPr>
      <w:r>
        <w:t xml:space="preserve">United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International </w:t>
      </w:r>
      <w:proofErr w:type="spellStart"/>
      <w:r>
        <w:t>Development</w:t>
      </w:r>
      <w:proofErr w:type="spellEnd"/>
    </w:p>
    <w:p w14:paraId="21BE7EF6" w14:textId="77777777" w:rsidR="005104AC" w:rsidRDefault="005104AC" w:rsidP="005E2619">
      <w:pPr>
        <w:spacing w:line="276" w:lineRule="auto"/>
        <w:jc w:val="both"/>
      </w:pPr>
      <w:r w:rsidRPr="00B013FB">
        <w:lastRenderedPageBreak/>
        <w:t>USD</w:t>
      </w:r>
      <w:r>
        <w:t xml:space="preserve"> </w:t>
      </w:r>
      <w:r>
        <w:tab/>
      </w:r>
      <w:r>
        <w:tab/>
      </w:r>
      <w:r>
        <w:tab/>
        <w:t>Americký dolar</w:t>
      </w:r>
    </w:p>
    <w:p w14:paraId="24195F03" w14:textId="77777777" w:rsidR="005104AC" w:rsidRPr="00B013FB" w:rsidRDefault="005104AC" w:rsidP="005E2619">
      <w:pPr>
        <w:spacing w:line="276" w:lineRule="auto"/>
        <w:ind w:left="1418" w:firstLine="709"/>
        <w:jc w:val="both"/>
      </w:pPr>
      <w:r>
        <w:t xml:space="preserve">United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Dollar</w:t>
      </w:r>
      <w:proofErr w:type="spellEnd"/>
    </w:p>
    <w:p w14:paraId="7C5EC00A" w14:textId="77777777" w:rsidR="005104AC" w:rsidRDefault="005104AC" w:rsidP="005E2619">
      <w:pPr>
        <w:spacing w:line="276" w:lineRule="auto"/>
        <w:jc w:val="both"/>
      </w:pPr>
      <w:r>
        <w:t>ZRS</w:t>
      </w:r>
      <w:r>
        <w:tab/>
      </w:r>
      <w:r>
        <w:tab/>
      </w:r>
      <w:r>
        <w:tab/>
        <w:t>Zahraniční rozvojová spolupráce</w:t>
      </w:r>
    </w:p>
    <w:p w14:paraId="59FA4A8C" w14:textId="77777777" w:rsidR="0073264D" w:rsidRDefault="0073264D" w:rsidP="005E2619">
      <w:pPr>
        <w:spacing w:after="120" w:line="276" w:lineRule="auto"/>
        <w:jc w:val="both"/>
      </w:pPr>
    </w:p>
    <w:p w14:paraId="720AD411" w14:textId="77777777" w:rsidR="0073264D" w:rsidRDefault="0073264D" w:rsidP="005E2619">
      <w:pPr>
        <w:spacing w:after="120" w:line="276" w:lineRule="auto"/>
        <w:jc w:val="both"/>
      </w:pPr>
    </w:p>
    <w:p w14:paraId="24769001" w14:textId="77777777" w:rsidR="00662D60" w:rsidRPr="008539FE" w:rsidRDefault="00662D60" w:rsidP="008539FE">
      <w:pPr>
        <w:spacing w:after="120" w:line="276" w:lineRule="auto"/>
        <w:jc w:val="both"/>
      </w:pPr>
    </w:p>
    <w:p w14:paraId="737F4BB4" w14:textId="77777777" w:rsidR="00662D60" w:rsidRPr="008539FE" w:rsidRDefault="00662D60" w:rsidP="008539FE">
      <w:pPr>
        <w:spacing w:after="120" w:line="276" w:lineRule="auto"/>
        <w:jc w:val="both"/>
      </w:pPr>
    </w:p>
    <w:p w14:paraId="75883452" w14:textId="77777777" w:rsidR="00662D60" w:rsidRPr="008539FE" w:rsidRDefault="00662D60" w:rsidP="008539FE">
      <w:pPr>
        <w:spacing w:after="120" w:line="276" w:lineRule="auto"/>
        <w:jc w:val="both"/>
      </w:pPr>
    </w:p>
    <w:p w14:paraId="054C186A" w14:textId="77777777" w:rsidR="00662D60" w:rsidRPr="008539FE" w:rsidRDefault="00662D60" w:rsidP="008539FE">
      <w:pPr>
        <w:spacing w:after="120" w:line="276" w:lineRule="auto"/>
        <w:jc w:val="both"/>
      </w:pPr>
    </w:p>
    <w:p w14:paraId="53516044" w14:textId="77777777" w:rsidR="00662D60" w:rsidRPr="008539FE" w:rsidRDefault="00662D60" w:rsidP="008539FE">
      <w:pPr>
        <w:spacing w:after="120" w:line="276" w:lineRule="auto"/>
        <w:jc w:val="both"/>
      </w:pPr>
    </w:p>
    <w:p w14:paraId="73E6EEA9" w14:textId="77777777" w:rsidR="00662D60" w:rsidRPr="008539FE" w:rsidRDefault="00662D60" w:rsidP="008539FE">
      <w:pPr>
        <w:spacing w:after="120" w:line="276" w:lineRule="auto"/>
        <w:jc w:val="both"/>
      </w:pPr>
    </w:p>
    <w:p w14:paraId="7D5EC10D" w14:textId="77777777" w:rsidR="00662D60" w:rsidRPr="008539FE" w:rsidRDefault="00662D60" w:rsidP="008539FE">
      <w:pPr>
        <w:spacing w:after="120" w:line="276" w:lineRule="auto"/>
        <w:jc w:val="both"/>
      </w:pPr>
    </w:p>
    <w:p w14:paraId="37211313" w14:textId="77777777" w:rsidR="007B1BC6" w:rsidRDefault="008A49AC" w:rsidP="008539FE">
      <w:pPr>
        <w:pStyle w:val="Nadpis1"/>
        <w:numPr>
          <w:ilvl w:val="0"/>
          <w:numId w:val="0"/>
        </w:numPr>
      </w:pPr>
      <w:r>
        <w:br w:type="page"/>
      </w:r>
      <w:bookmarkStart w:id="1" w:name="_Toc370471070"/>
      <w:r w:rsidR="007B1BC6">
        <w:lastRenderedPageBreak/>
        <w:t>O</w:t>
      </w:r>
      <w:r w:rsidR="008539FE">
        <w:t>snova</w:t>
      </w:r>
      <w:bookmarkEnd w:id="1"/>
    </w:p>
    <w:p w14:paraId="0AE5836B" w14:textId="77777777" w:rsidR="007B1BC6" w:rsidRPr="008539FE" w:rsidRDefault="007B1BC6" w:rsidP="008539FE">
      <w:pPr>
        <w:spacing w:after="120" w:line="276" w:lineRule="auto"/>
        <w:jc w:val="both"/>
      </w:pPr>
    </w:p>
    <w:p w14:paraId="12436CF8" w14:textId="77777777" w:rsidR="00522713" w:rsidRDefault="007B1BC6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0471070" w:history="1">
        <w:r w:rsidR="00522713" w:rsidRPr="00A56DFB">
          <w:rPr>
            <w:rStyle w:val="Hypertextovodkaz"/>
            <w:noProof/>
          </w:rPr>
          <w:t>Osnova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_Toc370471070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5</w:t>
        </w:r>
        <w:r w:rsidR="00522713">
          <w:rPr>
            <w:noProof/>
            <w:webHidden/>
          </w:rPr>
          <w:fldChar w:fldCharType="end"/>
        </w:r>
      </w:hyperlink>
    </w:p>
    <w:p w14:paraId="3FB80FAE" w14:textId="77777777" w:rsidR="00522713" w:rsidRDefault="00CB52E9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71" w:history="1">
        <w:r w:rsidR="00522713" w:rsidRPr="00A56DFB">
          <w:rPr>
            <w:rStyle w:val="Hypertextovodkaz"/>
            <w:noProof/>
          </w:rPr>
          <w:t>1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noProof/>
          </w:rPr>
          <w:t>Shrnutí projektu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_Toc370471071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6</w:t>
        </w:r>
        <w:r w:rsidR="00522713">
          <w:rPr>
            <w:noProof/>
            <w:webHidden/>
          </w:rPr>
          <w:fldChar w:fldCharType="end"/>
        </w:r>
      </w:hyperlink>
    </w:p>
    <w:p w14:paraId="133E58C9" w14:textId="77777777" w:rsidR="00522713" w:rsidRDefault="00CB52E9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72" w:history="1">
        <w:r w:rsidR="00522713" w:rsidRPr="00A56DFB">
          <w:rPr>
            <w:rStyle w:val="Hypertextovodkaz"/>
            <w:noProof/>
          </w:rPr>
          <w:t>2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noProof/>
          </w:rPr>
          <w:t>Popis výchozího stavu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_Toc370471072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7</w:t>
        </w:r>
        <w:r w:rsidR="00522713">
          <w:rPr>
            <w:noProof/>
            <w:webHidden/>
          </w:rPr>
          <w:fldChar w:fldCharType="end"/>
        </w:r>
      </w:hyperlink>
    </w:p>
    <w:p w14:paraId="59E0D0F0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73" w:history="1">
        <w:r w:rsidR="00522713" w:rsidRPr="00A56DFB">
          <w:rPr>
            <w:rStyle w:val="Hypertextovodkaz"/>
            <w:rFonts w:ascii="Cambria" w:hAnsi="Cambria"/>
            <w:noProof/>
          </w:rPr>
          <w:t>2.1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Ekonomická a sociální situace v zemi, rozvojová strategie země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_Toc370471073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7</w:t>
        </w:r>
        <w:r w:rsidR="00522713">
          <w:rPr>
            <w:noProof/>
            <w:webHidden/>
          </w:rPr>
          <w:fldChar w:fldCharType="end"/>
        </w:r>
      </w:hyperlink>
    </w:p>
    <w:p w14:paraId="20BC70B0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74" w:history="1">
        <w:r w:rsidR="00522713" w:rsidRPr="00A56DFB">
          <w:rPr>
            <w:rStyle w:val="Hypertextovodkaz"/>
            <w:rFonts w:ascii="Cambria" w:hAnsi="Cambria"/>
            <w:noProof/>
          </w:rPr>
          <w:t>2.2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Vládní politika a aktivity donorů v daném sektoru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_Toc370471074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8</w:t>
        </w:r>
        <w:r w:rsidR="00522713">
          <w:rPr>
            <w:noProof/>
            <w:webHidden/>
          </w:rPr>
          <w:fldChar w:fldCharType="end"/>
        </w:r>
      </w:hyperlink>
    </w:p>
    <w:p w14:paraId="783BE02F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75" w:history="1">
        <w:r w:rsidR="00522713" w:rsidRPr="00A56DFB">
          <w:rPr>
            <w:rStyle w:val="Hypertextovodkaz"/>
            <w:rFonts w:ascii="Cambria" w:hAnsi="Cambria"/>
            <w:noProof/>
          </w:rPr>
          <w:t>2.3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Kontext spolupráce ZRS ČR v Bosně a Hercegovině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_Toc370471075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9</w:t>
        </w:r>
        <w:r w:rsidR="00522713">
          <w:rPr>
            <w:noProof/>
            <w:webHidden/>
          </w:rPr>
          <w:fldChar w:fldCharType="end"/>
        </w:r>
      </w:hyperlink>
    </w:p>
    <w:p w14:paraId="2C145985" w14:textId="77777777" w:rsidR="00522713" w:rsidRDefault="00CB52E9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76" w:history="1">
        <w:r w:rsidR="00522713" w:rsidRPr="00A56DFB">
          <w:rPr>
            <w:rStyle w:val="Hypertextovodkaz"/>
            <w:noProof/>
          </w:rPr>
          <w:t>3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noProof/>
          </w:rPr>
          <w:t>Analýza problému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_Toc370471076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10</w:t>
        </w:r>
        <w:r w:rsidR="00522713">
          <w:rPr>
            <w:noProof/>
            <w:webHidden/>
          </w:rPr>
          <w:fldChar w:fldCharType="end"/>
        </w:r>
      </w:hyperlink>
    </w:p>
    <w:p w14:paraId="23BB1344" w14:textId="77777777" w:rsidR="00522713" w:rsidRDefault="00CB52E9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77" w:history="1">
        <w:r w:rsidR="00522713" w:rsidRPr="00A56DFB">
          <w:rPr>
            <w:rStyle w:val="Hypertextovodkaz"/>
            <w:noProof/>
          </w:rPr>
          <w:t>4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noProof/>
          </w:rPr>
          <w:t>Analýza zainteresovaných stran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_Toc370471077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11</w:t>
        </w:r>
        <w:r w:rsidR="00522713">
          <w:rPr>
            <w:noProof/>
            <w:webHidden/>
          </w:rPr>
          <w:fldChar w:fldCharType="end"/>
        </w:r>
      </w:hyperlink>
    </w:p>
    <w:p w14:paraId="5ADEEA46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78" w:history="1">
        <w:r w:rsidR="00522713" w:rsidRPr="00A56DFB">
          <w:rPr>
            <w:rStyle w:val="Hypertextovodkaz"/>
            <w:rFonts w:ascii="Cambria" w:hAnsi="Cambria"/>
            <w:noProof/>
          </w:rPr>
          <w:t>4.1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Zainteresované subjekty/partneři projektu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_Toc370471078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11</w:t>
        </w:r>
        <w:r w:rsidR="00522713">
          <w:rPr>
            <w:noProof/>
            <w:webHidden/>
          </w:rPr>
          <w:fldChar w:fldCharType="end"/>
        </w:r>
      </w:hyperlink>
    </w:p>
    <w:p w14:paraId="34CE5FB7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79" w:history="1">
        <w:r w:rsidR="00522713" w:rsidRPr="00A56DFB">
          <w:rPr>
            <w:rStyle w:val="Hypertextovodkaz"/>
            <w:rFonts w:ascii="Cambria" w:hAnsi="Cambria"/>
            <w:noProof/>
          </w:rPr>
          <w:t>4.2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Cílové skupiny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_Toc370471079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12</w:t>
        </w:r>
        <w:r w:rsidR="00522713">
          <w:rPr>
            <w:noProof/>
            <w:webHidden/>
          </w:rPr>
          <w:fldChar w:fldCharType="end"/>
        </w:r>
      </w:hyperlink>
    </w:p>
    <w:p w14:paraId="6C3AB29D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80" w:history="1">
        <w:r w:rsidR="00522713" w:rsidRPr="00A56DFB">
          <w:rPr>
            <w:rStyle w:val="Hypertextovodkaz"/>
            <w:rFonts w:ascii="Cambria" w:hAnsi="Cambria"/>
            <w:noProof/>
          </w:rPr>
          <w:t>4.3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Podpora projektu ze strany země příjemce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_Toc370471080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13</w:t>
        </w:r>
        <w:r w:rsidR="00522713">
          <w:rPr>
            <w:noProof/>
            <w:webHidden/>
          </w:rPr>
          <w:fldChar w:fldCharType="end"/>
        </w:r>
      </w:hyperlink>
    </w:p>
    <w:p w14:paraId="22E327A6" w14:textId="77777777" w:rsidR="00522713" w:rsidRDefault="00CB52E9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81" w:history="1">
        <w:r w:rsidR="00522713" w:rsidRPr="00A56DFB">
          <w:rPr>
            <w:rStyle w:val="Hypertextovodkaz"/>
            <w:noProof/>
          </w:rPr>
          <w:t>5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noProof/>
          </w:rPr>
          <w:t>Logický rámec projektu (viz příloha č. 1)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_Toc370471081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13</w:t>
        </w:r>
        <w:r w:rsidR="00522713">
          <w:rPr>
            <w:noProof/>
            <w:webHidden/>
          </w:rPr>
          <w:fldChar w:fldCharType="end"/>
        </w:r>
      </w:hyperlink>
    </w:p>
    <w:p w14:paraId="7F74D375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82" w:history="1">
        <w:r w:rsidR="00522713" w:rsidRPr="00A56DFB">
          <w:rPr>
            <w:rStyle w:val="Hypertextovodkaz"/>
            <w:rFonts w:ascii="Cambria" w:hAnsi="Cambria"/>
            <w:noProof/>
          </w:rPr>
          <w:t>5.1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Záměr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_Toc370471082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13</w:t>
        </w:r>
        <w:r w:rsidR="00522713">
          <w:rPr>
            <w:noProof/>
            <w:webHidden/>
          </w:rPr>
          <w:fldChar w:fldCharType="end"/>
        </w:r>
      </w:hyperlink>
    </w:p>
    <w:p w14:paraId="3FE12CA2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83" w:history="1">
        <w:r w:rsidR="00522713" w:rsidRPr="00A56DFB">
          <w:rPr>
            <w:rStyle w:val="Hypertextovodkaz"/>
            <w:rFonts w:ascii="Cambria" w:hAnsi="Cambria"/>
            <w:noProof/>
          </w:rPr>
          <w:t>5.2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Cíl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_Toc370471083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13</w:t>
        </w:r>
        <w:r w:rsidR="00522713">
          <w:rPr>
            <w:noProof/>
            <w:webHidden/>
          </w:rPr>
          <w:fldChar w:fldCharType="end"/>
        </w:r>
      </w:hyperlink>
    </w:p>
    <w:p w14:paraId="3C7A29E1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84" w:history="1">
        <w:r w:rsidR="00522713" w:rsidRPr="00A56DFB">
          <w:rPr>
            <w:rStyle w:val="Hypertextovodkaz"/>
            <w:rFonts w:ascii="Cambria" w:hAnsi="Cambria"/>
            <w:noProof/>
          </w:rPr>
          <w:t>5.3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Výstupy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_Toc370471084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14</w:t>
        </w:r>
        <w:r w:rsidR="00522713">
          <w:rPr>
            <w:noProof/>
            <w:webHidden/>
          </w:rPr>
          <w:fldChar w:fldCharType="end"/>
        </w:r>
      </w:hyperlink>
    </w:p>
    <w:p w14:paraId="35A56D36" w14:textId="77777777" w:rsidR="00522713" w:rsidRDefault="00CB52E9" w:rsidP="00522713">
      <w:pPr>
        <w:pStyle w:val="Obsah3"/>
        <w:tabs>
          <w:tab w:val="clear" w:pos="1320"/>
          <w:tab w:val="clear" w:pos="9060"/>
          <w:tab w:val="left" w:pos="1701"/>
          <w:tab w:val="right" w:leader="dot" w:pos="9072"/>
        </w:tabs>
        <w:ind w:left="1701" w:right="423" w:hanging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85" w:history="1">
        <w:r w:rsidR="00522713" w:rsidRPr="00A56DFB">
          <w:rPr>
            <w:rStyle w:val="Hypertextovodkaz"/>
            <w:noProof/>
          </w:rPr>
          <w:t>Výstup č. 1: Optimalizovaná státní správa v oblasti certifikace rostlinného rozmnožovacího materiálu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_Toc370471085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14</w:t>
        </w:r>
        <w:r w:rsidR="00522713">
          <w:rPr>
            <w:noProof/>
            <w:webHidden/>
          </w:rPr>
          <w:fldChar w:fldCharType="end"/>
        </w:r>
      </w:hyperlink>
    </w:p>
    <w:p w14:paraId="265B8D9B" w14:textId="77777777" w:rsidR="00522713" w:rsidRDefault="00CB52E9" w:rsidP="00522713">
      <w:pPr>
        <w:pStyle w:val="Obsah3"/>
        <w:tabs>
          <w:tab w:val="clear" w:pos="1320"/>
          <w:tab w:val="clear" w:pos="9060"/>
          <w:tab w:val="left" w:pos="1701"/>
          <w:tab w:val="right" w:leader="dot" w:pos="9072"/>
        </w:tabs>
        <w:ind w:left="1701" w:right="423" w:hanging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86" w:history="1">
        <w:r w:rsidR="00522713" w:rsidRPr="00A56DFB">
          <w:rPr>
            <w:rStyle w:val="Hypertextovodkaz"/>
            <w:noProof/>
          </w:rPr>
          <w:t>Výstup č. 2: Harmonizovaná legislativa v oblasti certifikace rostlinného rozmnožovacího materiálu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_Toc370471086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15</w:t>
        </w:r>
        <w:r w:rsidR="00522713">
          <w:rPr>
            <w:noProof/>
            <w:webHidden/>
          </w:rPr>
          <w:fldChar w:fldCharType="end"/>
        </w:r>
      </w:hyperlink>
    </w:p>
    <w:p w14:paraId="215436BF" w14:textId="77777777" w:rsidR="00522713" w:rsidRDefault="00CB52E9" w:rsidP="00522713">
      <w:pPr>
        <w:pStyle w:val="Obsah3"/>
        <w:tabs>
          <w:tab w:val="clear" w:pos="1320"/>
          <w:tab w:val="clear" w:pos="9060"/>
          <w:tab w:val="left" w:pos="1701"/>
          <w:tab w:val="right" w:leader="dot" w:pos="9072"/>
        </w:tabs>
        <w:ind w:left="1701" w:right="423" w:hanging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87" w:history="1">
        <w:r w:rsidR="00522713" w:rsidRPr="00A56DFB">
          <w:rPr>
            <w:rStyle w:val="Hypertextovodkaz"/>
            <w:noProof/>
          </w:rPr>
          <w:t>Výstup č. 3: Funkční systém pro registraci nových odrůd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_Toc370471087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15</w:t>
        </w:r>
        <w:r w:rsidR="00522713">
          <w:rPr>
            <w:noProof/>
            <w:webHidden/>
          </w:rPr>
          <w:fldChar w:fldCharType="end"/>
        </w:r>
      </w:hyperlink>
    </w:p>
    <w:p w14:paraId="36C50325" w14:textId="77777777" w:rsidR="00522713" w:rsidRDefault="00CB52E9" w:rsidP="00522713">
      <w:pPr>
        <w:pStyle w:val="Obsah3"/>
        <w:tabs>
          <w:tab w:val="clear" w:pos="1320"/>
          <w:tab w:val="clear" w:pos="9060"/>
          <w:tab w:val="left" w:pos="1701"/>
          <w:tab w:val="right" w:leader="dot" w:pos="9072"/>
        </w:tabs>
        <w:ind w:left="1701" w:right="423" w:hanging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88" w:history="1">
        <w:r w:rsidR="00522713" w:rsidRPr="00A56DFB">
          <w:rPr>
            <w:rStyle w:val="Hypertextovodkaz"/>
            <w:noProof/>
          </w:rPr>
          <w:t>Výstup č. 4: Obnovený  registr producentů a dodavatelů v BaH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_Toc370471088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16</w:t>
        </w:r>
        <w:r w:rsidR="00522713">
          <w:rPr>
            <w:noProof/>
            <w:webHidden/>
          </w:rPr>
          <w:fldChar w:fldCharType="end"/>
        </w:r>
      </w:hyperlink>
    </w:p>
    <w:p w14:paraId="3F168067" w14:textId="77777777" w:rsidR="00522713" w:rsidRDefault="00CB52E9" w:rsidP="00522713">
      <w:pPr>
        <w:pStyle w:val="Obsah3"/>
        <w:tabs>
          <w:tab w:val="clear" w:pos="1320"/>
          <w:tab w:val="clear" w:pos="9060"/>
          <w:tab w:val="left" w:pos="1701"/>
          <w:tab w:val="right" w:leader="dot" w:pos="9072"/>
        </w:tabs>
        <w:ind w:left="1701" w:right="423" w:hanging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89" w:history="1">
        <w:r w:rsidR="00522713" w:rsidRPr="00A56DFB">
          <w:rPr>
            <w:rStyle w:val="Hypertextovodkaz"/>
            <w:noProof/>
          </w:rPr>
          <w:t>Výstup č. 5: Kvalitnější produkce školek pěstujících trvalé kultury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_Toc370471089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16</w:t>
        </w:r>
        <w:r w:rsidR="00522713">
          <w:rPr>
            <w:noProof/>
            <w:webHidden/>
          </w:rPr>
          <w:fldChar w:fldCharType="end"/>
        </w:r>
      </w:hyperlink>
    </w:p>
    <w:p w14:paraId="5D48C0B7" w14:textId="77777777" w:rsidR="00522713" w:rsidRDefault="00CB52E9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90" w:history="1">
        <w:r w:rsidR="00522713" w:rsidRPr="00A56DFB">
          <w:rPr>
            <w:rStyle w:val="Hypertextovodkaz"/>
            <w:noProof/>
          </w:rPr>
          <w:t>6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noProof/>
          </w:rPr>
          <w:t>Postup realizace a monitoring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_Toc370471090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17</w:t>
        </w:r>
        <w:r w:rsidR="00522713">
          <w:rPr>
            <w:noProof/>
            <w:webHidden/>
          </w:rPr>
          <w:fldChar w:fldCharType="end"/>
        </w:r>
      </w:hyperlink>
    </w:p>
    <w:p w14:paraId="4B160964" w14:textId="77777777" w:rsidR="00522713" w:rsidRDefault="00CB52E9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91" w:history="1">
        <w:r w:rsidR="00522713" w:rsidRPr="00A56DFB">
          <w:rPr>
            <w:rStyle w:val="Hypertextovodkaz"/>
            <w:noProof/>
          </w:rPr>
          <w:t>7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noProof/>
          </w:rPr>
          <w:t>Faktory kvality a udržitelnosti výsledků projektu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_Toc370471091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17</w:t>
        </w:r>
        <w:r w:rsidR="00522713">
          <w:rPr>
            <w:noProof/>
            <w:webHidden/>
          </w:rPr>
          <w:fldChar w:fldCharType="end"/>
        </w:r>
      </w:hyperlink>
    </w:p>
    <w:p w14:paraId="27732429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92" w:history="1">
        <w:r w:rsidR="00522713" w:rsidRPr="00A56DFB">
          <w:rPr>
            <w:rStyle w:val="Hypertextovodkaz"/>
            <w:rFonts w:ascii="Cambria" w:hAnsi="Cambria"/>
            <w:noProof/>
          </w:rPr>
          <w:t>7.1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Participace a vlastnictví projektu příjemci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_Toc370471092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17</w:t>
        </w:r>
        <w:r w:rsidR="00522713">
          <w:rPr>
            <w:noProof/>
            <w:webHidden/>
          </w:rPr>
          <w:fldChar w:fldCharType="end"/>
        </w:r>
      </w:hyperlink>
    </w:p>
    <w:p w14:paraId="073F02C7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93" w:history="1">
        <w:r w:rsidR="00522713" w:rsidRPr="00A56DFB">
          <w:rPr>
            <w:rStyle w:val="Hypertextovodkaz"/>
            <w:rFonts w:ascii="Cambria" w:hAnsi="Cambria"/>
            <w:noProof/>
          </w:rPr>
          <w:t>7.2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Vedlejší dopady projektu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_Toc370471093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18</w:t>
        </w:r>
        <w:r w:rsidR="00522713">
          <w:rPr>
            <w:noProof/>
            <w:webHidden/>
          </w:rPr>
          <w:fldChar w:fldCharType="end"/>
        </w:r>
      </w:hyperlink>
    </w:p>
    <w:p w14:paraId="175A4385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94" w:history="1">
        <w:r w:rsidR="00522713" w:rsidRPr="00A56DFB">
          <w:rPr>
            <w:rStyle w:val="Hypertextovodkaz"/>
            <w:rFonts w:ascii="Cambria" w:hAnsi="Cambria"/>
            <w:noProof/>
          </w:rPr>
          <w:t>7.3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Sociální a kulturní faktory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_Toc370471094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18</w:t>
        </w:r>
        <w:r w:rsidR="00522713">
          <w:rPr>
            <w:noProof/>
            <w:webHidden/>
          </w:rPr>
          <w:fldChar w:fldCharType="end"/>
        </w:r>
      </w:hyperlink>
    </w:p>
    <w:p w14:paraId="7CDCF3C5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95" w:history="1">
        <w:r w:rsidR="00522713" w:rsidRPr="00A56DFB">
          <w:rPr>
            <w:rStyle w:val="Hypertextovodkaz"/>
            <w:rFonts w:ascii="Cambria" w:hAnsi="Cambria"/>
            <w:noProof/>
          </w:rPr>
          <w:t>7.4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Rovný přístup žen a mužů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_Toc370471095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19</w:t>
        </w:r>
        <w:r w:rsidR="00522713">
          <w:rPr>
            <w:noProof/>
            <w:webHidden/>
          </w:rPr>
          <w:fldChar w:fldCharType="end"/>
        </w:r>
      </w:hyperlink>
    </w:p>
    <w:p w14:paraId="4380BE15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96" w:history="1">
        <w:r w:rsidR="00522713" w:rsidRPr="00A56DFB">
          <w:rPr>
            <w:rStyle w:val="Hypertextovodkaz"/>
            <w:rFonts w:ascii="Cambria" w:hAnsi="Cambria"/>
            <w:noProof/>
          </w:rPr>
          <w:t>7.5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Vhodná technologie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_Toc370471096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19</w:t>
        </w:r>
        <w:r w:rsidR="00522713">
          <w:rPr>
            <w:noProof/>
            <w:webHidden/>
          </w:rPr>
          <w:fldChar w:fldCharType="end"/>
        </w:r>
      </w:hyperlink>
    </w:p>
    <w:p w14:paraId="3D090CA9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97" w:history="1">
        <w:r w:rsidR="00522713" w:rsidRPr="00A56DFB">
          <w:rPr>
            <w:rStyle w:val="Hypertextovodkaz"/>
            <w:rFonts w:ascii="Cambria" w:hAnsi="Cambria"/>
            <w:noProof/>
          </w:rPr>
          <w:t>7.6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Dopady na životní prostředí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_Toc370471097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19</w:t>
        </w:r>
        <w:r w:rsidR="00522713">
          <w:rPr>
            <w:noProof/>
            <w:webHidden/>
          </w:rPr>
          <w:fldChar w:fldCharType="end"/>
        </w:r>
      </w:hyperlink>
    </w:p>
    <w:p w14:paraId="1F3791DA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98" w:history="1">
        <w:r w:rsidR="00522713" w:rsidRPr="00A56DFB">
          <w:rPr>
            <w:rStyle w:val="Hypertextovodkaz"/>
            <w:rFonts w:ascii="Cambria" w:hAnsi="Cambria"/>
            <w:noProof/>
          </w:rPr>
          <w:t>7.7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Ekonomická a finanční životaschopnost projektu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_Toc370471098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19</w:t>
        </w:r>
        <w:r w:rsidR="00522713">
          <w:rPr>
            <w:noProof/>
            <w:webHidden/>
          </w:rPr>
          <w:fldChar w:fldCharType="end"/>
        </w:r>
      </w:hyperlink>
    </w:p>
    <w:p w14:paraId="31E32599" w14:textId="77777777" w:rsidR="00522713" w:rsidRDefault="00CB52E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099" w:history="1">
        <w:r w:rsidR="00522713" w:rsidRPr="00A56DFB">
          <w:rPr>
            <w:rStyle w:val="Hypertextovodkaz"/>
            <w:rFonts w:ascii="Cambria" w:hAnsi="Cambria"/>
            <w:noProof/>
          </w:rPr>
          <w:t>7.8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rFonts w:ascii="Cambria" w:hAnsi="Cambria"/>
            <w:noProof/>
          </w:rPr>
          <w:t>Management a organizace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_Toc370471099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19</w:t>
        </w:r>
        <w:r w:rsidR="00522713">
          <w:rPr>
            <w:noProof/>
            <w:webHidden/>
          </w:rPr>
          <w:fldChar w:fldCharType="end"/>
        </w:r>
      </w:hyperlink>
    </w:p>
    <w:p w14:paraId="72262A68" w14:textId="77777777" w:rsidR="00522713" w:rsidRDefault="00CB52E9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0471100" w:history="1">
        <w:r w:rsidR="00522713" w:rsidRPr="00A56DFB">
          <w:rPr>
            <w:rStyle w:val="Hypertextovodkaz"/>
            <w:noProof/>
          </w:rPr>
          <w:t>8</w:t>
        </w:r>
        <w:r w:rsidR="0052271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2713" w:rsidRPr="00A56DFB">
          <w:rPr>
            <w:rStyle w:val="Hypertextovodkaz"/>
            <w:noProof/>
          </w:rPr>
          <w:t>Analýza rizik a předpokladů</w:t>
        </w:r>
        <w:r w:rsidR="00522713">
          <w:rPr>
            <w:noProof/>
            <w:webHidden/>
          </w:rPr>
          <w:tab/>
        </w:r>
        <w:r w:rsidR="00522713">
          <w:rPr>
            <w:noProof/>
            <w:webHidden/>
          </w:rPr>
          <w:fldChar w:fldCharType="begin"/>
        </w:r>
        <w:r w:rsidR="00522713">
          <w:rPr>
            <w:noProof/>
            <w:webHidden/>
          </w:rPr>
          <w:instrText xml:space="preserve"> PAGEREF _Toc370471100 \h </w:instrText>
        </w:r>
        <w:r w:rsidR="00522713">
          <w:rPr>
            <w:noProof/>
            <w:webHidden/>
          </w:rPr>
        </w:r>
        <w:r w:rsidR="00522713">
          <w:rPr>
            <w:noProof/>
            <w:webHidden/>
          </w:rPr>
          <w:fldChar w:fldCharType="separate"/>
        </w:r>
        <w:r w:rsidR="00522713">
          <w:rPr>
            <w:noProof/>
            <w:webHidden/>
          </w:rPr>
          <w:t>20</w:t>
        </w:r>
        <w:r w:rsidR="00522713">
          <w:rPr>
            <w:noProof/>
            <w:webHidden/>
          </w:rPr>
          <w:fldChar w:fldCharType="end"/>
        </w:r>
      </w:hyperlink>
    </w:p>
    <w:p w14:paraId="17830C93" w14:textId="77777777" w:rsidR="007B1BC6" w:rsidRDefault="007B1BC6" w:rsidP="005E2619">
      <w:pPr>
        <w:spacing w:line="276" w:lineRule="auto"/>
        <w:jc w:val="both"/>
        <w:rPr>
          <w:b/>
          <w:bCs/>
        </w:rPr>
      </w:pPr>
      <w:r>
        <w:rPr>
          <w:b/>
          <w:bCs/>
        </w:rPr>
        <w:fldChar w:fldCharType="end"/>
      </w:r>
    </w:p>
    <w:p w14:paraId="19863155" w14:textId="77777777" w:rsidR="007B1BC6" w:rsidRDefault="007B1BC6" w:rsidP="005E2619">
      <w:pPr>
        <w:spacing w:line="276" w:lineRule="auto"/>
        <w:jc w:val="both"/>
        <w:rPr>
          <w:b/>
          <w:bCs/>
        </w:rPr>
      </w:pPr>
    </w:p>
    <w:p w14:paraId="4C1F39C2" w14:textId="77777777" w:rsidR="007B1BC6" w:rsidRDefault="007B1BC6" w:rsidP="005E2619">
      <w:pPr>
        <w:spacing w:line="276" w:lineRule="auto"/>
        <w:jc w:val="both"/>
        <w:rPr>
          <w:b/>
          <w:bCs/>
        </w:rPr>
      </w:pPr>
    </w:p>
    <w:p w14:paraId="64F7A3F0" w14:textId="77777777" w:rsidR="007B1BC6" w:rsidRPr="007B1BC6" w:rsidRDefault="007B1BC6" w:rsidP="005E2619">
      <w:pPr>
        <w:spacing w:line="276" w:lineRule="auto"/>
        <w:jc w:val="both"/>
      </w:pPr>
    </w:p>
    <w:p w14:paraId="0B590D93" w14:textId="77777777" w:rsidR="0073264D" w:rsidRPr="00645C48" w:rsidRDefault="008A49AC" w:rsidP="006B640B">
      <w:pPr>
        <w:pStyle w:val="Nadpis1"/>
        <w:spacing w:before="0" w:after="240"/>
        <w:ind w:left="431" w:hanging="431"/>
      </w:pPr>
      <w:r>
        <w:br w:type="page"/>
      </w:r>
      <w:bookmarkStart w:id="2" w:name="_Toc370471071"/>
      <w:r w:rsidR="0073264D" w:rsidRPr="00645C48">
        <w:lastRenderedPageBreak/>
        <w:t>Shrnutí projektu</w:t>
      </w:r>
      <w:bookmarkEnd w:id="2"/>
    </w:p>
    <w:p w14:paraId="726A7CA4" w14:textId="4136CD81" w:rsidR="005104AC" w:rsidRDefault="004918EC" w:rsidP="00DA016C">
      <w:pPr>
        <w:widowControl w:val="0"/>
        <w:spacing w:after="120" w:line="276" w:lineRule="auto"/>
        <w:jc w:val="both"/>
      </w:pPr>
      <w:r>
        <w:t xml:space="preserve">V současnosti </w:t>
      </w:r>
      <w:r w:rsidR="005104AC" w:rsidRPr="000C083B">
        <w:t xml:space="preserve">Bosna a Hercegovina </w:t>
      </w:r>
      <w:r w:rsidR="005104AC">
        <w:t xml:space="preserve">nesplňuje požadavky kladené </w:t>
      </w:r>
      <w:r>
        <w:t>evropskou legislativou a evropskými standar</w:t>
      </w:r>
      <w:r w:rsidR="009C3CD9">
        <w:t>d</w:t>
      </w:r>
      <w:r>
        <w:t xml:space="preserve">y na oblast rostlinné produkce včetně oblasti rozmnožovacího materiálu rostlin a ovocných školek. To způsobuje, že </w:t>
      </w:r>
      <w:r w:rsidR="005104AC" w:rsidRPr="000C083B">
        <w:t>nemůže exportovat zemědělské výrobky</w:t>
      </w:r>
      <w:r>
        <w:t xml:space="preserve"> (rozmnožovací materiál)</w:t>
      </w:r>
      <w:r w:rsidR="005104AC" w:rsidRPr="000C083B">
        <w:t xml:space="preserve"> </w:t>
      </w:r>
      <w:r>
        <w:t xml:space="preserve">do zemí </w:t>
      </w:r>
      <w:r w:rsidR="005104AC" w:rsidRPr="000C083B">
        <w:t xml:space="preserve">Evropské Unie. </w:t>
      </w:r>
      <w:r>
        <w:t>Tato situace se zhoršila vstupem Chorvatska do EU jako jednoho z nejvýznamnějších obchodních partnerů BaH</w:t>
      </w:r>
      <w:r w:rsidR="00056C75">
        <w:t xml:space="preserve"> pro </w:t>
      </w:r>
      <w:r w:rsidR="00CE7C72">
        <w:t xml:space="preserve">export bosenských produktů. Zároveň díky nestabilnímu právnímu prostředí neprobíhají žádné zahraniční investice do této oblasti. </w:t>
      </w:r>
    </w:p>
    <w:p w14:paraId="7A3CA147" w14:textId="77777777" w:rsidR="005104AC" w:rsidRDefault="00CE7C72" w:rsidP="00DA016C">
      <w:pPr>
        <w:widowControl w:val="0"/>
        <w:spacing w:after="120" w:line="276" w:lineRule="auto"/>
        <w:jc w:val="both"/>
      </w:pPr>
      <w:proofErr w:type="gramStart"/>
      <w:r>
        <w:t>Aby</w:t>
      </w:r>
      <w:proofErr w:type="gramEnd"/>
      <w:r>
        <w:t xml:space="preserve"> BaH odstranila  překážky pro export svých produktů do </w:t>
      </w:r>
      <w:proofErr w:type="gramStart"/>
      <w:r>
        <w:t>EU a zárove</w:t>
      </w:r>
      <w:r w:rsidR="00187CA6">
        <w:t>ň</w:t>
      </w:r>
      <w:proofErr w:type="gramEnd"/>
      <w:r w:rsidR="00187CA6">
        <w:t xml:space="preserve"> narovnala</w:t>
      </w:r>
      <w:r>
        <w:t xml:space="preserve"> právní prostředí pro případné zahraniční investory, musí zavést systém certifikace rostlinného materiálu běžný v zemích EU včetně harmonizace právních předpisů, optimalizace úřední kontroly a zavedení funkčních registrů. </w:t>
      </w:r>
    </w:p>
    <w:p w14:paraId="03040AD2" w14:textId="62BF7CD2" w:rsidR="00187CA6" w:rsidRDefault="005104AC" w:rsidP="00DA016C">
      <w:pPr>
        <w:widowControl w:val="0"/>
        <w:spacing w:after="120" w:line="276" w:lineRule="auto"/>
        <w:jc w:val="both"/>
      </w:pPr>
      <w:r w:rsidRPr="000C083B">
        <w:t xml:space="preserve">Tento projekt </w:t>
      </w:r>
      <w:r w:rsidR="00010F27">
        <w:t xml:space="preserve">pomůže </w:t>
      </w:r>
      <w:r w:rsidRPr="000C083B">
        <w:t>k</w:t>
      </w:r>
      <w:r w:rsidR="00187CA6">
        <w:t> zavedení fungujícího systému certifikace rostlinného rozmnožovacího materiálu</w:t>
      </w:r>
      <w:r w:rsidR="00056C75">
        <w:t>.</w:t>
      </w:r>
      <w:r w:rsidR="00187CA6">
        <w:t xml:space="preserve"> </w:t>
      </w:r>
      <w:r w:rsidR="002A344A">
        <w:t>Mimo odstranění překážek při exportu a narovnání podmínek na místním trhu, dojde i k </w:t>
      </w:r>
      <w:r w:rsidR="009C3CD9">
        <w:t xml:space="preserve">posílení </w:t>
      </w:r>
      <w:r w:rsidR="002A344A">
        <w:t xml:space="preserve">postavení spotřebitele na trhu. Nelze opomenout </w:t>
      </w:r>
      <w:r w:rsidR="00F4519A">
        <w:t>an</w:t>
      </w:r>
      <w:r w:rsidR="002A344A">
        <w:t>i stabilizaci právního prostředí v dané oblasti, což by mělo přispět k přílivu investic ze zahraničí.</w:t>
      </w:r>
    </w:p>
    <w:p w14:paraId="4D1FCEAA" w14:textId="39901FA3" w:rsidR="002A344A" w:rsidRDefault="002A344A" w:rsidP="00DA016C">
      <w:pPr>
        <w:widowControl w:val="0"/>
        <w:spacing w:after="120" w:line="276" w:lineRule="auto"/>
        <w:jc w:val="both"/>
      </w:pPr>
      <w:r>
        <w:t xml:space="preserve">Významnou roli bude hrát i </w:t>
      </w:r>
      <w:r w:rsidR="009C3CD9">
        <w:t xml:space="preserve">posílení </w:t>
      </w:r>
      <w:r>
        <w:t xml:space="preserve">státní správy především v oblasti dozorové, a to </w:t>
      </w:r>
      <w:r w:rsidR="00645C48">
        <w:t>do</w:t>
      </w:r>
      <w:r>
        <w:t> rozsahu běžné</w:t>
      </w:r>
      <w:r w:rsidR="00F4519A">
        <w:t>ho</w:t>
      </w:r>
      <w:r>
        <w:t xml:space="preserve"> v zemích EU. </w:t>
      </w:r>
      <w:r w:rsidR="00645C48">
        <w:t xml:space="preserve">Důraz bude kladen i na zavedení </w:t>
      </w:r>
      <w:r w:rsidR="009C3CD9">
        <w:t xml:space="preserve">vhodného </w:t>
      </w:r>
      <w:r w:rsidR="00645C48">
        <w:t xml:space="preserve">registru osob podnikajících v oblasti rozmnožovacího materiálu a vytvoření funkčního systému registrování </w:t>
      </w:r>
      <w:r w:rsidR="009C3CD9">
        <w:t xml:space="preserve">nových </w:t>
      </w:r>
      <w:r w:rsidR="00645C48">
        <w:t xml:space="preserve">odrůd včetně jejich </w:t>
      </w:r>
      <w:r w:rsidR="009C3CD9">
        <w:t xml:space="preserve">úředního </w:t>
      </w:r>
      <w:r w:rsidR="00645C48">
        <w:t>popisu.</w:t>
      </w:r>
    </w:p>
    <w:p w14:paraId="58482853" w14:textId="2CAE1226" w:rsidR="00645C48" w:rsidRPr="005E2619" w:rsidRDefault="00645C48" w:rsidP="00DA016C">
      <w:pPr>
        <w:widowControl w:val="0"/>
        <w:spacing w:after="120" w:line="276" w:lineRule="auto"/>
        <w:jc w:val="both"/>
      </w:pPr>
      <w:r w:rsidRPr="005E2619">
        <w:t xml:space="preserve">Mezi </w:t>
      </w:r>
      <w:r w:rsidR="00060DB6" w:rsidRPr="005E2619">
        <w:t xml:space="preserve">nejdůležitější </w:t>
      </w:r>
      <w:r w:rsidRPr="005E2619">
        <w:t xml:space="preserve">aktivity v rámci projektu patří harmonizace legislativy (vytvoření návrhu příslušné legislativy), optimalizace státní správy v dané oblasti (vytvoření návrhu </w:t>
      </w:r>
      <w:r w:rsidR="00060DB6" w:rsidRPr="005E2619">
        <w:t>nového systému včetně úřední kontroly</w:t>
      </w:r>
      <w:r w:rsidR="00F4519A">
        <w:t>)</w:t>
      </w:r>
      <w:r w:rsidR="00060DB6" w:rsidRPr="005E2619">
        <w:t xml:space="preserve"> a změny kompetencí</w:t>
      </w:r>
      <w:r w:rsidR="005E2619" w:rsidRPr="005E2619">
        <w:t>. Součástí projektu jsou praktická školení, v institucích příjemce pomoci a také prostřednictvím studijních návštěv v České republice. Klíčoví experti předají své znalosti, zkušenosti a osvědčené postupy (</w:t>
      </w:r>
      <w:proofErr w:type="spellStart"/>
      <w:r w:rsidR="005E2619" w:rsidRPr="005E2619">
        <w:t>best</w:t>
      </w:r>
      <w:proofErr w:type="spellEnd"/>
      <w:r w:rsidR="005E2619" w:rsidRPr="005E2619">
        <w:t xml:space="preserve"> </w:t>
      </w:r>
      <w:proofErr w:type="spellStart"/>
      <w:r w:rsidR="005E2619" w:rsidRPr="005E2619">
        <w:t>practice</w:t>
      </w:r>
      <w:proofErr w:type="spellEnd"/>
      <w:r w:rsidR="005E2619" w:rsidRPr="005E2619">
        <w:t xml:space="preserve">) </w:t>
      </w:r>
      <w:r w:rsidR="00056C75">
        <w:t>příjemcům projektu</w:t>
      </w:r>
      <w:r w:rsidR="009C3CD9">
        <w:t xml:space="preserve"> </w:t>
      </w:r>
      <w:r w:rsidR="005E2619" w:rsidRPr="005E2619">
        <w:t xml:space="preserve">prostřednictvím školení, workshopů a seminářů. Získané znalosti budou vyškolenými </w:t>
      </w:r>
      <w:r w:rsidR="00056C75">
        <w:t xml:space="preserve">místními </w:t>
      </w:r>
      <w:r w:rsidR="005E2619" w:rsidRPr="005E2619">
        <w:t xml:space="preserve">experty následně předány jejich kolegům. </w:t>
      </w:r>
      <w:r w:rsidR="009C3CD9">
        <w:t>W</w:t>
      </w:r>
      <w:r w:rsidR="005E2619" w:rsidRPr="005E2619">
        <w:t xml:space="preserve">orkshop na konci </w:t>
      </w:r>
      <w:r w:rsidR="00840473">
        <w:t xml:space="preserve">projektu </w:t>
      </w:r>
      <w:r w:rsidR="005E2619" w:rsidRPr="005E2619">
        <w:t xml:space="preserve">shrne výsledky a poznatky získané při realizaci projektu a poskytne je </w:t>
      </w:r>
      <w:r w:rsidR="00840473">
        <w:t>široké odborné veřejnosti</w:t>
      </w:r>
      <w:r w:rsidR="005E2619" w:rsidRPr="005E2619">
        <w:t xml:space="preserve">. </w:t>
      </w:r>
      <w:r w:rsidR="00840473">
        <w:t>Zároveň tento</w:t>
      </w:r>
      <w:r w:rsidR="005E2619" w:rsidRPr="005E2619">
        <w:t xml:space="preserve"> workshop nabídne možnost další</w:t>
      </w:r>
      <w:r w:rsidR="00840473">
        <w:t>ch</w:t>
      </w:r>
      <w:r w:rsidR="005E2619" w:rsidRPr="005E2619">
        <w:t xml:space="preserve"> aktivit v této oblasti.</w:t>
      </w:r>
    </w:p>
    <w:p w14:paraId="633FDD74" w14:textId="7E4D28E8" w:rsidR="005E2619" w:rsidRPr="005E2619" w:rsidRDefault="005E2619" w:rsidP="00DA016C">
      <w:pPr>
        <w:widowControl w:val="0"/>
        <w:spacing w:after="120" w:line="276" w:lineRule="auto"/>
        <w:jc w:val="both"/>
      </w:pPr>
      <w:r w:rsidRPr="005E2619">
        <w:t xml:space="preserve">Tento projekt bude mít </w:t>
      </w:r>
      <w:r w:rsidR="00056C75">
        <w:t xml:space="preserve">přímý </w:t>
      </w:r>
      <w:r w:rsidRPr="005E2619">
        <w:t>vliv nejen na instituce p</w:t>
      </w:r>
      <w:r w:rsidR="00F4519A">
        <w:t>říjemc</w:t>
      </w:r>
      <w:r w:rsidR="00056C75">
        <w:t>ů ZRS</w:t>
      </w:r>
      <w:r w:rsidR="00F4519A">
        <w:t xml:space="preserve">, ale také </w:t>
      </w:r>
      <w:r w:rsidR="00A264A4">
        <w:t>na</w:t>
      </w:r>
      <w:r w:rsidR="00A264A4" w:rsidRPr="005E2619">
        <w:t xml:space="preserve"> </w:t>
      </w:r>
      <w:r w:rsidRPr="005E2619">
        <w:t xml:space="preserve">podstatné zlepšení správní </w:t>
      </w:r>
      <w:r w:rsidR="004359A0">
        <w:t xml:space="preserve">i odborné </w:t>
      </w:r>
      <w:r w:rsidRPr="005E2619">
        <w:t xml:space="preserve">kapacity </w:t>
      </w:r>
      <w:r w:rsidR="00A264A4">
        <w:t xml:space="preserve">dalších </w:t>
      </w:r>
      <w:r w:rsidRPr="005E2619">
        <w:t>příslušných institucí odpovědných za zemědělství a rozvoj venkova a zvýš</w:t>
      </w:r>
      <w:r w:rsidR="00F4519A">
        <w:t>í</w:t>
      </w:r>
      <w:r w:rsidRPr="005E2619">
        <w:t xml:space="preserve"> povědomí veřejnosti o výhodách systému certifikace produktů rozmnožovacího materiálu rostlin prostřednictvím seminářů, kampaní a webové stránky. Fungující systém bude mít pozitivní dopad na celé odvětví zemědělství v Bosně a Hercegovině.</w:t>
      </w:r>
    </w:p>
    <w:p w14:paraId="241F9B29" w14:textId="045AED23" w:rsidR="00645C48" w:rsidRPr="005E2619" w:rsidRDefault="00840473" w:rsidP="00DA016C">
      <w:pPr>
        <w:widowControl w:val="0"/>
        <w:spacing w:after="120" w:line="276" w:lineRule="auto"/>
        <w:jc w:val="both"/>
      </w:pPr>
      <w:r>
        <w:t xml:space="preserve">Nelze opomenout </w:t>
      </w:r>
      <w:r w:rsidR="004406A0">
        <w:t xml:space="preserve">ani </w:t>
      </w:r>
      <w:r>
        <w:t xml:space="preserve">fakt, že tento projekt posílí dlouhodobé </w:t>
      </w:r>
      <w:r w:rsidR="005E2619" w:rsidRPr="005E2619">
        <w:t xml:space="preserve">partnerství mezi českými a </w:t>
      </w:r>
      <w:r>
        <w:t>bosenskými</w:t>
      </w:r>
      <w:r w:rsidR="005E2619" w:rsidRPr="005E2619">
        <w:t xml:space="preserve"> institucemi </w:t>
      </w:r>
      <w:r>
        <w:t>a současně pomůže k propagaci České republiky v zemi příjemce</w:t>
      </w:r>
      <w:r w:rsidR="005E2619" w:rsidRPr="005E2619">
        <w:t>.</w:t>
      </w:r>
      <w:r w:rsidR="00056C75">
        <w:t xml:space="preserve"> </w:t>
      </w:r>
    </w:p>
    <w:p w14:paraId="6B903C93" w14:textId="77777777" w:rsidR="0073264D" w:rsidRPr="00054F85" w:rsidRDefault="008A49AC" w:rsidP="006B640B">
      <w:pPr>
        <w:pStyle w:val="Nadpis1"/>
        <w:spacing w:before="0" w:after="240"/>
        <w:ind w:left="431" w:hanging="431"/>
      </w:pPr>
      <w:r>
        <w:rPr>
          <w:sz w:val="28"/>
          <w:szCs w:val="28"/>
        </w:rPr>
        <w:br w:type="page"/>
      </w:r>
      <w:bookmarkStart w:id="3" w:name="_Toc370471072"/>
      <w:r w:rsidR="0073264D" w:rsidRPr="00054F85">
        <w:lastRenderedPageBreak/>
        <w:t>Popis výchozího stavu</w:t>
      </w:r>
      <w:bookmarkEnd w:id="3"/>
      <w:r w:rsidR="0073264D" w:rsidRPr="00054F85">
        <w:t xml:space="preserve">  </w:t>
      </w:r>
    </w:p>
    <w:p w14:paraId="1770B496" w14:textId="77777777" w:rsidR="0073264D" w:rsidRPr="007E7BCE" w:rsidRDefault="0073264D" w:rsidP="00787D4B">
      <w:pPr>
        <w:pStyle w:val="Nadpis2"/>
        <w:spacing w:before="360" w:after="120"/>
        <w:ind w:left="578" w:hanging="578"/>
        <w:rPr>
          <w:rFonts w:ascii="Cambria" w:hAnsi="Cambria"/>
          <w:sz w:val="26"/>
          <w:szCs w:val="26"/>
        </w:rPr>
      </w:pPr>
      <w:bookmarkStart w:id="4" w:name="_Toc370471073"/>
      <w:r w:rsidRPr="007E7BCE">
        <w:rPr>
          <w:rFonts w:ascii="Cambria" w:hAnsi="Cambria"/>
          <w:sz w:val="26"/>
          <w:szCs w:val="26"/>
        </w:rPr>
        <w:t>Ekonomická a sociální situace v zemi, rozvojová strategie země</w:t>
      </w:r>
      <w:bookmarkEnd w:id="4"/>
    </w:p>
    <w:p w14:paraId="59CCA898" w14:textId="6EEB5113" w:rsidR="007158C0" w:rsidRPr="00814FA3" w:rsidRDefault="007158C0" w:rsidP="00DA016C">
      <w:pPr>
        <w:widowControl w:val="0"/>
        <w:spacing w:after="120" w:line="276" w:lineRule="auto"/>
        <w:jc w:val="both"/>
      </w:pPr>
      <w:r>
        <w:t xml:space="preserve">Z ekonomického pohledu byla Bosna a </w:t>
      </w:r>
      <w:r w:rsidRPr="009E6DAD">
        <w:t>Hercegovina (BaH)</w:t>
      </w:r>
      <w:r>
        <w:t xml:space="preserve"> před válkou (1992-1995) charakterizována průměrným rozvojem.</w:t>
      </w:r>
      <w:r>
        <w:rPr>
          <w:rStyle w:val="Znakapoznpodarou"/>
        </w:rPr>
        <w:footnoteReference w:id="1"/>
      </w:r>
      <w:r>
        <w:t xml:space="preserve"> Po skončení konfliktu se však země potýkala s nízkým HDP, poničenou infrastrukturou, značnou závislostí na potravinové pomoci a politickým systémem neumožňujícím dostatečnou funkci </w:t>
      </w:r>
      <w:r w:rsidR="00940672">
        <w:t xml:space="preserve">odpovědných </w:t>
      </w:r>
      <w:r>
        <w:t>institucí.</w:t>
      </w:r>
      <w:r>
        <w:rPr>
          <w:rStyle w:val="Znakapoznpodarou"/>
        </w:rPr>
        <w:footnoteReference w:id="2"/>
      </w:r>
      <w:r>
        <w:t xml:space="preserve"> V současnosti je řazena do skupiny zemí s vyšším středním příjmem</w:t>
      </w:r>
      <w:r>
        <w:rPr>
          <w:rStyle w:val="Znakapoznpodarou"/>
        </w:rPr>
        <w:footnoteReference w:id="3"/>
      </w:r>
      <w:r>
        <w:t>, kde HDP (2011) dosáhlo 18,09 mld. USD</w:t>
      </w:r>
      <w:r>
        <w:rPr>
          <w:rStyle w:val="Znakapoznpodarou"/>
        </w:rPr>
        <w:footnoteReference w:id="4"/>
      </w:r>
      <w:r>
        <w:t>. Dle hodnocení indexu lidského rozvoje (HDI; 2012) je BaH řazena na 81. místo (HDI=0,735) z celkového počtu 187 zemí</w:t>
      </w:r>
      <w:r>
        <w:rPr>
          <w:rStyle w:val="Znakapoznpodarou"/>
        </w:rPr>
        <w:footnoteReference w:id="5"/>
      </w:r>
      <w:r>
        <w:t xml:space="preserve">. Ekonomický růst (roční zvýšení </w:t>
      </w:r>
      <w:proofErr w:type="gramStart"/>
      <w:r>
        <w:t>HDP o cca</w:t>
      </w:r>
      <w:proofErr w:type="gramEnd"/>
      <w:r>
        <w:t>. 6</w:t>
      </w:r>
      <w:r w:rsidR="004359A0">
        <w:t xml:space="preserve"> </w:t>
      </w:r>
      <w:r>
        <w:t>%) zaznamenaný v období 2000-2008 především díky exportu, domácí spotřebě a investicím se sice významně podílel na snížení chudoby</w:t>
      </w:r>
      <w:r>
        <w:rPr>
          <w:rStyle w:val="Znakapoznpodarou"/>
        </w:rPr>
        <w:footnoteReference w:id="6"/>
      </w:r>
      <w:r>
        <w:t>, nicméně i přesto z celkové populace (</w:t>
      </w:r>
      <w:smartTag w:uri="urn:schemas-microsoft-com:office:smarttags" w:element="metricconverter">
        <w:smartTagPr>
          <w:attr w:name="ProductID" w:val="3,752 mil"/>
        </w:smartTagPr>
        <w:r>
          <w:t>3,752 mil</w:t>
        </w:r>
      </w:smartTag>
      <w:r>
        <w:t>.)</w:t>
      </w:r>
      <w:r>
        <w:rPr>
          <w:rStyle w:val="Znakapoznpodarou"/>
        </w:rPr>
        <w:footnoteReference w:id="7"/>
      </w:r>
      <w:r>
        <w:t xml:space="preserve"> </w:t>
      </w:r>
      <w:r w:rsidR="004359A0">
        <w:t xml:space="preserve">žije </w:t>
      </w:r>
      <w:r>
        <w:t>14 % obyvatel pod hranicí chudoby</w:t>
      </w:r>
      <w:r>
        <w:rPr>
          <w:rStyle w:val="Znakapoznpodarou"/>
        </w:rPr>
        <w:footnoteReference w:id="8"/>
      </w:r>
      <w:r>
        <w:t xml:space="preserve"> a země se potýká s vysokou mírou nezaměstnanosti, která mezi mladými lidmi (15-29 let) dosahuje až ke hranici 57</w:t>
      </w:r>
      <w:r w:rsidR="004359A0">
        <w:t xml:space="preserve"> </w:t>
      </w:r>
      <w:r>
        <w:t>%</w:t>
      </w:r>
      <w:r>
        <w:rPr>
          <w:rStyle w:val="Znakapoznpodarou"/>
        </w:rPr>
        <w:footnoteReference w:id="9"/>
      </w:r>
      <w:r>
        <w:t xml:space="preserve">. K </w:t>
      </w:r>
      <w:r w:rsidRPr="00946678">
        <w:t>dalším problémům také patří roztříštěnost státní správy. V důsledku administrativního členění do politických entit: F</w:t>
      </w:r>
      <w:r w:rsidR="004406A0">
        <w:t>ederace Bosny a Hercegoviny (</w:t>
      </w:r>
      <w:proofErr w:type="spellStart"/>
      <w:r w:rsidR="004406A0">
        <w:t>FBa</w:t>
      </w:r>
      <w:r w:rsidRPr="00946678">
        <w:t>H</w:t>
      </w:r>
      <w:proofErr w:type="spellEnd"/>
      <w:r w:rsidRPr="00946678">
        <w:t>) a Republiky srbské (RS) a Distriktu Brčko, vznikl</w:t>
      </w:r>
      <w:r>
        <w:t xml:space="preserve"> vícevrstvý a zdvojený legislativní rámec</w:t>
      </w:r>
      <w:r>
        <w:rPr>
          <w:rStyle w:val="Znakapoznpodarou"/>
        </w:rPr>
        <w:footnoteReference w:id="10"/>
      </w:r>
      <w:r>
        <w:t xml:space="preserve">. </w:t>
      </w:r>
    </w:p>
    <w:p w14:paraId="1B6CC1B6" w14:textId="71274CB5" w:rsidR="0073264D" w:rsidRDefault="007158C0" w:rsidP="00DA016C">
      <w:pPr>
        <w:widowControl w:val="0"/>
        <w:spacing w:after="120" w:line="276" w:lineRule="auto"/>
        <w:jc w:val="both"/>
      </w:pPr>
      <w:r>
        <w:t>Zemědělství, které se na HDP podílí 8</w:t>
      </w:r>
      <w:r w:rsidR="004359A0">
        <w:t xml:space="preserve"> </w:t>
      </w:r>
      <w:r>
        <w:t>% (RS 13</w:t>
      </w:r>
      <w:r w:rsidR="004359A0">
        <w:t xml:space="preserve"> </w:t>
      </w:r>
      <w:r w:rsidR="004406A0">
        <w:t xml:space="preserve">% a </w:t>
      </w:r>
      <w:proofErr w:type="spellStart"/>
      <w:r w:rsidR="004406A0">
        <w:t>FBa</w:t>
      </w:r>
      <w:r>
        <w:t>H</w:t>
      </w:r>
      <w:proofErr w:type="spellEnd"/>
      <w:r>
        <w:t xml:space="preserve"> 6</w:t>
      </w:r>
      <w:r w:rsidR="004359A0">
        <w:t xml:space="preserve"> </w:t>
      </w:r>
      <w:r>
        <w:t>%)</w:t>
      </w:r>
      <w:r>
        <w:rPr>
          <w:rStyle w:val="Znakapoznpodarou"/>
        </w:rPr>
        <w:footnoteReference w:id="11"/>
      </w:r>
      <w:r>
        <w:t xml:space="preserve"> a přímo zaměstnává 21</w:t>
      </w:r>
      <w:r w:rsidR="004359A0">
        <w:t xml:space="preserve"> </w:t>
      </w:r>
      <w:r>
        <w:t>% pracovních sil</w:t>
      </w:r>
      <w:r>
        <w:rPr>
          <w:rStyle w:val="Znakapoznpodarou"/>
        </w:rPr>
        <w:footnoteReference w:id="12"/>
      </w:r>
      <w:r>
        <w:t xml:space="preserve"> (většina venkovského obyvatelstva si navíc přilepšuje drobnou zemědělskou produkcí), představuje pro zemi významný ekonomický potenciál</w:t>
      </w:r>
      <w:r>
        <w:rPr>
          <w:rStyle w:val="Znakapoznpodarou"/>
        </w:rPr>
        <w:footnoteReference w:id="13"/>
      </w:r>
      <w:r>
        <w:t>. Je také považováno za nástroj, který může přispět k zlepšení životní úrovně a to zejména obyvatelstva žijícího na venkově tvořícího polovinu z celkové populace</w:t>
      </w:r>
      <w:r>
        <w:rPr>
          <w:rStyle w:val="Znakapoznpodarou"/>
        </w:rPr>
        <w:footnoteReference w:id="14"/>
      </w:r>
      <w:r>
        <w:t>. Podpora zemědělství tak přispívá k politické a ekonomické stabilitě státu</w:t>
      </w:r>
      <w:r>
        <w:rPr>
          <w:rStyle w:val="Znakapoznpodarou"/>
        </w:rPr>
        <w:footnoteReference w:id="15"/>
      </w:r>
      <w:r>
        <w:t xml:space="preserve">. Měla by však dále směřovat nejen do oblasti lidského rozvoje ale také </w:t>
      </w:r>
      <w:r w:rsidR="004406A0">
        <w:t xml:space="preserve">rozvoje </w:t>
      </w:r>
      <w:r>
        <w:t>technologií</w:t>
      </w:r>
      <w:r>
        <w:rPr>
          <w:rStyle w:val="Znakapoznpodarou"/>
        </w:rPr>
        <w:footnoteReference w:id="16"/>
      </w:r>
      <w:r>
        <w:t>.</w:t>
      </w:r>
    </w:p>
    <w:p w14:paraId="36502B93" w14:textId="77777777" w:rsidR="0073264D" w:rsidRPr="007E7BCE" w:rsidRDefault="0073264D" w:rsidP="00787D4B">
      <w:pPr>
        <w:pStyle w:val="Nadpis2"/>
        <w:spacing w:before="360" w:after="120"/>
        <w:ind w:left="578" w:hanging="578"/>
        <w:rPr>
          <w:rFonts w:ascii="Cambria" w:hAnsi="Cambria"/>
          <w:sz w:val="26"/>
          <w:szCs w:val="26"/>
        </w:rPr>
      </w:pPr>
      <w:bookmarkStart w:id="5" w:name="_Toc370471074"/>
      <w:r w:rsidRPr="007E7BCE">
        <w:rPr>
          <w:rFonts w:ascii="Cambria" w:hAnsi="Cambria"/>
          <w:sz w:val="26"/>
          <w:szCs w:val="26"/>
        </w:rPr>
        <w:lastRenderedPageBreak/>
        <w:t>Vládní politika a aktivity donorů v daném sektoru</w:t>
      </w:r>
      <w:bookmarkEnd w:id="5"/>
    </w:p>
    <w:p w14:paraId="3CA472AE" w14:textId="0299B79C" w:rsidR="007158C0" w:rsidRPr="002D4C65" w:rsidRDefault="007158C0" w:rsidP="00DA016C">
      <w:pPr>
        <w:widowControl w:val="0"/>
        <w:spacing w:after="120" w:line="276" w:lineRule="auto"/>
        <w:jc w:val="both"/>
      </w:pPr>
      <w:r>
        <w:t>Budoucnost BaH významně ovlivní postupná integrace do EU. V návaznosti na tyto snahy byla podepsána mezinárodní smlouva "</w:t>
      </w:r>
      <w:proofErr w:type="spellStart"/>
      <w:r w:rsidRPr="006A0C67">
        <w:rPr>
          <w:i/>
        </w:rPr>
        <w:t>Stabilization</w:t>
      </w:r>
      <w:proofErr w:type="spellEnd"/>
      <w:r w:rsidRPr="006A0C67">
        <w:rPr>
          <w:i/>
        </w:rPr>
        <w:t xml:space="preserve"> and </w:t>
      </w:r>
      <w:proofErr w:type="spellStart"/>
      <w:r w:rsidRPr="006A0C67">
        <w:rPr>
          <w:i/>
        </w:rPr>
        <w:t>Association</w:t>
      </w:r>
      <w:proofErr w:type="spellEnd"/>
      <w:r w:rsidRPr="006A0C67">
        <w:rPr>
          <w:i/>
        </w:rPr>
        <w:t xml:space="preserve"> </w:t>
      </w:r>
      <w:proofErr w:type="spellStart"/>
      <w:r w:rsidRPr="006A0C67">
        <w:rPr>
          <w:i/>
        </w:rPr>
        <w:t>Agreement</w:t>
      </w:r>
      <w:proofErr w:type="spellEnd"/>
      <w:r>
        <w:t xml:space="preserve">" (2008), </w:t>
      </w:r>
      <w:r w:rsidR="004406A0">
        <w:t>v rámci</w:t>
      </w:r>
      <w:r>
        <w:t xml:space="preserve"> níž se BaH zavázala k plnění </w:t>
      </w:r>
      <w:r w:rsidR="004406A0">
        <w:t>kritérií</w:t>
      </w:r>
      <w:r>
        <w:t xml:space="preserve"> stanovených pro EU členy a evropských standardů (zahrnující postupnou harmonizaci legislativy a politiky s "</w:t>
      </w:r>
      <w:proofErr w:type="spellStart"/>
      <w:r w:rsidRPr="00CB2799">
        <w:rPr>
          <w:i/>
        </w:rPr>
        <w:t>EU's</w:t>
      </w:r>
      <w:proofErr w:type="spellEnd"/>
      <w:r w:rsidRPr="00CB2799">
        <w:rPr>
          <w:i/>
        </w:rPr>
        <w:t xml:space="preserve"> </w:t>
      </w:r>
      <w:proofErr w:type="spellStart"/>
      <w:r w:rsidRPr="00CB2799">
        <w:rPr>
          <w:i/>
        </w:rPr>
        <w:t>Acquis</w:t>
      </w:r>
      <w:proofErr w:type="spellEnd"/>
      <w:r w:rsidRPr="00CB2799">
        <w:rPr>
          <w:i/>
        </w:rPr>
        <w:t xml:space="preserve"> </w:t>
      </w:r>
      <w:proofErr w:type="spellStart"/>
      <w:r w:rsidRPr="00CB2799">
        <w:rPr>
          <w:i/>
        </w:rPr>
        <w:t>Communautaire</w:t>
      </w:r>
      <w:proofErr w:type="spellEnd"/>
      <w:r>
        <w:t>"</w:t>
      </w:r>
      <w:r>
        <w:rPr>
          <w:rStyle w:val="Znakapoznpodarou"/>
        </w:rPr>
        <w:footnoteReference w:id="17"/>
      </w:r>
      <w:r w:rsidR="004359A0">
        <w:t>)</w:t>
      </w:r>
      <w:r>
        <w:t>. Jako nástroj stabilizačního procesu byl ustanoven program "</w:t>
      </w:r>
      <w:proofErr w:type="spellStart"/>
      <w:r w:rsidRPr="006D128C">
        <w:rPr>
          <w:i/>
        </w:rPr>
        <w:t>European</w:t>
      </w:r>
      <w:proofErr w:type="spellEnd"/>
      <w:r w:rsidRPr="006D128C">
        <w:rPr>
          <w:i/>
        </w:rPr>
        <w:t xml:space="preserve"> </w:t>
      </w:r>
      <w:proofErr w:type="spellStart"/>
      <w:r w:rsidRPr="006D128C">
        <w:rPr>
          <w:i/>
        </w:rPr>
        <w:t>Partnership</w:t>
      </w:r>
      <w:proofErr w:type="spellEnd"/>
      <w:r>
        <w:t>" definující principy a krátkodobé/střednědobé priority země, které (v r. 2008) stanovily mezi hlavními prioritami státu zavedení základního legislativního rámce pro zemědělství</w:t>
      </w:r>
      <w:r>
        <w:rPr>
          <w:rStyle w:val="Znakapoznpodarou"/>
        </w:rPr>
        <w:footnoteReference w:id="18"/>
      </w:r>
      <w:r>
        <w:t>.</w:t>
      </w:r>
    </w:p>
    <w:p w14:paraId="0BD0539B" w14:textId="5E2594D7" w:rsidR="007158C0" w:rsidRPr="002C0FA6" w:rsidRDefault="007158C0" w:rsidP="00DA016C">
      <w:pPr>
        <w:widowControl w:val="0"/>
        <w:spacing w:after="120" w:line="276" w:lineRule="auto"/>
        <w:jc w:val="both"/>
      </w:pPr>
      <w:r>
        <w:t>Dále byl sepsán strategický programový dokument</w:t>
      </w:r>
      <w:r w:rsidR="004359A0">
        <w:t xml:space="preserve"> </w:t>
      </w:r>
      <w:r>
        <w:t>"</w:t>
      </w:r>
      <w:proofErr w:type="spellStart"/>
      <w:r w:rsidRPr="002C0FA6">
        <w:rPr>
          <w:i/>
        </w:rPr>
        <w:t>Strategic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Plan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for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Harmonisation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of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BiH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Agriculture</w:t>
      </w:r>
      <w:proofErr w:type="spellEnd"/>
      <w:r w:rsidRPr="002C0FA6">
        <w:rPr>
          <w:i/>
        </w:rPr>
        <w:t xml:space="preserve"> and </w:t>
      </w:r>
      <w:proofErr w:type="spellStart"/>
      <w:r w:rsidRPr="002C0FA6">
        <w:rPr>
          <w:i/>
        </w:rPr>
        <w:t>Rural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Development</w:t>
      </w:r>
      <w:proofErr w:type="spellEnd"/>
      <w:r w:rsidRPr="002C0FA6">
        <w:rPr>
          <w:i/>
        </w:rPr>
        <w:t xml:space="preserve"> 2008-2011</w:t>
      </w:r>
      <w:r w:rsidRPr="002C0FA6">
        <w:t>"</w:t>
      </w:r>
      <w:r w:rsidR="004359A0">
        <w:t>,</w:t>
      </w:r>
      <w:r w:rsidRPr="002C0FA6">
        <w:t xml:space="preserve"> představující vládní politiku země v oblasti zemědělství </w:t>
      </w:r>
      <w:r w:rsidR="004359A0">
        <w:t xml:space="preserve">a </w:t>
      </w:r>
      <w:r w:rsidRPr="002C0FA6">
        <w:t>zaměřující se na agendu potravinové bezpečnosti</w:t>
      </w:r>
      <w:r>
        <w:t>,</w:t>
      </w:r>
      <w:r w:rsidRPr="002C0FA6">
        <w:t xml:space="preserve"> </w:t>
      </w:r>
      <w:r w:rsidR="004406A0">
        <w:t xml:space="preserve">na </w:t>
      </w:r>
      <w:r w:rsidRPr="002C0FA6">
        <w:t>veterinární</w:t>
      </w:r>
      <w:r w:rsidR="004359A0">
        <w:t>ch</w:t>
      </w:r>
      <w:r w:rsidRPr="002C0FA6">
        <w:t xml:space="preserve"> a fytosanitární</w:t>
      </w:r>
      <w:r w:rsidR="004359A0">
        <w:t>ch</w:t>
      </w:r>
      <w:r w:rsidRPr="002C0FA6">
        <w:t xml:space="preserve"> opatření</w:t>
      </w:r>
      <w:r w:rsidRPr="002C0FA6">
        <w:rPr>
          <w:rStyle w:val="Znakapoznpodarou"/>
        </w:rPr>
        <w:footnoteReference w:id="19"/>
      </w:r>
      <w:r w:rsidRPr="002C0FA6">
        <w:t>. Zemědělský sektor by tak měl směřovat ke zvýšení své produkce v objemu, struktuře i kvalitě</w:t>
      </w:r>
      <w:r w:rsidRPr="002C0FA6">
        <w:rPr>
          <w:rStyle w:val="Znakapoznpodarou"/>
        </w:rPr>
        <w:footnoteReference w:id="20"/>
      </w:r>
      <w:r w:rsidRPr="002C0FA6">
        <w:t xml:space="preserve">. </w:t>
      </w:r>
    </w:p>
    <w:p w14:paraId="52242558" w14:textId="44428667" w:rsidR="007158C0" w:rsidRDefault="007158C0" w:rsidP="00DA016C">
      <w:pPr>
        <w:widowControl w:val="0"/>
        <w:spacing w:after="120" w:line="276" w:lineRule="auto"/>
        <w:jc w:val="both"/>
      </w:pPr>
      <w:r w:rsidRPr="002C0FA6">
        <w:t xml:space="preserve">V souladu se strategickým plánem </w:t>
      </w:r>
      <w:r>
        <w:t xml:space="preserve">jsou </w:t>
      </w:r>
      <w:r w:rsidRPr="002C0FA6">
        <w:t>defin</w:t>
      </w:r>
      <w:r>
        <w:t>ovány</w:t>
      </w:r>
      <w:r w:rsidRPr="002C0FA6">
        <w:t xml:space="preserve"> zemědělské strategie pro každou entitu zvlášť "</w:t>
      </w:r>
      <w:proofErr w:type="spellStart"/>
      <w:r w:rsidRPr="002C0FA6">
        <w:rPr>
          <w:i/>
        </w:rPr>
        <w:t>FBiH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Strategy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for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Agriculture</w:t>
      </w:r>
      <w:proofErr w:type="spellEnd"/>
      <w:r w:rsidRPr="002C0FA6">
        <w:rPr>
          <w:i/>
        </w:rPr>
        <w:t xml:space="preserve"> and </w:t>
      </w:r>
      <w:proofErr w:type="spellStart"/>
      <w:r w:rsidRPr="002C0FA6">
        <w:rPr>
          <w:i/>
        </w:rPr>
        <w:t>Rural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Development</w:t>
      </w:r>
      <w:proofErr w:type="spellEnd"/>
      <w:r w:rsidRPr="002C0FA6">
        <w:rPr>
          <w:i/>
        </w:rPr>
        <w:t>" (2006-2010</w:t>
      </w:r>
      <w:r w:rsidRPr="002C0FA6">
        <w:t>) a "</w:t>
      </w:r>
      <w:r w:rsidRPr="002C0FA6">
        <w:rPr>
          <w:i/>
        </w:rPr>
        <w:t xml:space="preserve">RS </w:t>
      </w:r>
      <w:proofErr w:type="spellStart"/>
      <w:r w:rsidRPr="002C0FA6">
        <w:rPr>
          <w:i/>
        </w:rPr>
        <w:t>Strategy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for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Agricultural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Development</w:t>
      </w:r>
      <w:proofErr w:type="spellEnd"/>
      <w:r w:rsidRPr="002C0FA6">
        <w:rPr>
          <w:i/>
        </w:rPr>
        <w:t>" (2009-2015</w:t>
      </w:r>
      <w:r w:rsidRPr="002C0FA6">
        <w:t>). Na státní úrovni byl dále sepsán dokument "</w:t>
      </w:r>
      <w:proofErr w:type="spellStart"/>
      <w:r w:rsidRPr="002C0FA6">
        <w:rPr>
          <w:i/>
        </w:rPr>
        <w:t>Operational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Programmes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for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the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Harmonisation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of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BiH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Agriculture</w:t>
      </w:r>
      <w:proofErr w:type="spellEnd"/>
      <w:r w:rsidRPr="002C0FA6">
        <w:rPr>
          <w:i/>
        </w:rPr>
        <w:t xml:space="preserve">, Food and </w:t>
      </w:r>
      <w:proofErr w:type="spellStart"/>
      <w:r w:rsidRPr="002C0FA6">
        <w:rPr>
          <w:i/>
        </w:rPr>
        <w:t>Rural</w:t>
      </w:r>
      <w:proofErr w:type="spellEnd"/>
      <w:r w:rsidRPr="002C0FA6">
        <w:rPr>
          <w:i/>
        </w:rPr>
        <w:t xml:space="preserve"> </w:t>
      </w:r>
      <w:proofErr w:type="spellStart"/>
      <w:r w:rsidRPr="002C0FA6">
        <w:rPr>
          <w:i/>
        </w:rPr>
        <w:t>Development</w:t>
      </w:r>
      <w:proofErr w:type="spellEnd"/>
      <w:r w:rsidRPr="002C0FA6">
        <w:rPr>
          <w:i/>
        </w:rPr>
        <w:t xml:space="preserve"> 2008-2011</w:t>
      </w:r>
      <w:r w:rsidRPr="002C0FA6">
        <w:t>") předpokládající postupnou harmonizaci politiky a hospodářství na úrovni státu, entit a kantonů respektující</w:t>
      </w:r>
      <w:r>
        <w:t xml:space="preserve"> směrnice EU pro </w:t>
      </w:r>
      <w:r w:rsidRPr="007813AF">
        <w:t>nástroje předvstupní pomoci</w:t>
      </w:r>
      <w:r>
        <w:rPr>
          <w:rStyle w:val="Znakapoznpodarou"/>
        </w:rPr>
        <w:footnoteReference w:id="21"/>
      </w:r>
      <w:r>
        <w:t xml:space="preserve">. Velký význam pro udržitelný rozvoj země, zejména </w:t>
      </w:r>
      <w:r w:rsidR="004406A0">
        <w:t>kvůli</w:t>
      </w:r>
      <w:r>
        <w:t xml:space="preserve"> následkům války, představují také  tzv. </w:t>
      </w:r>
      <w:proofErr w:type="spellStart"/>
      <w:r>
        <w:t>MDGs</w:t>
      </w:r>
      <w:proofErr w:type="spellEnd"/>
      <w:r w:rsidR="004359A0">
        <w:t xml:space="preserve"> </w:t>
      </w:r>
      <w:r>
        <w:t>"</w:t>
      </w:r>
      <w:proofErr w:type="spellStart"/>
      <w:r w:rsidRPr="009D0EC4">
        <w:rPr>
          <w:i/>
        </w:rPr>
        <w:t>Millenium</w:t>
      </w:r>
      <w:proofErr w:type="spellEnd"/>
      <w:r w:rsidRPr="009D0EC4">
        <w:rPr>
          <w:i/>
        </w:rPr>
        <w:t xml:space="preserve"> </w:t>
      </w:r>
      <w:proofErr w:type="spellStart"/>
      <w:r w:rsidRPr="009D0EC4">
        <w:rPr>
          <w:i/>
        </w:rPr>
        <w:t>Developments</w:t>
      </w:r>
      <w:proofErr w:type="spellEnd"/>
      <w:r w:rsidRPr="009D0EC4">
        <w:rPr>
          <w:i/>
        </w:rPr>
        <w:t xml:space="preserve"> </w:t>
      </w:r>
      <w:proofErr w:type="spellStart"/>
      <w:r w:rsidRPr="009D0EC4">
        <w:rPr>
          <w:i/>
        </w:rPr>
        <w:t>Goals</w:t>
      </w:r>
      <w:proofErr w:type="spellEnd"/>
      <w:r>
        <w:t>", jejichž plnění bylo zahrnuto do střednědobého plánu rozvoje "</w:t>
      </w:r>
      <w:r w:rsidRPr="009D0EC4">
        <w:rPr>
          <w:i/>
        </w:rPr>
        <w:t xml:space="preserve">Medium-Term </w:t>
      </w:r>
      <w:proofErr w:type="spellStart"/>
      <w:r w:rsidRPr="009D0EC4">
        <w:rPr>
          <w:i/>
        </w:rPr>
        <w:t>Development</w:t>
      </w:r>
      <w:proofErr w:type="spellEnd"/>
      <w:r w:rsidRPr="009D0EC4">
        <w:rPr>
          <w:i/>
        </w:rPr>
        <w:t xml:space="preserve"> </w:t>
      </w:r>
      <w:proofErr w:type="spellStart"/>
      <w:r w:rsidRPr="009D0EC4">
        <w:rPr>
          <w:i/>
        </w:rPr>
        <w:t>Strategy</w:t>
      </w:r>
      <w:proofErr w:type="spellEnd"/>
      <w:r w:rsidRPr="009D0EC4">
        <w:rPr>
          <w:i/>
        </w:rPr>
        <w:t xml:space="preserve"> 2004-2007</w:t>
      </w:r>
      <w:r>
        <w:t>"</w:t>
      </w:r>
      <w:r>
        <w:rPr>
          <w:rStyle w:val="Znakapoznpodarou"/>
        </w:rPr>
        <w:footnoteReference w:id="22"/>
      </w:r>
      <w:r>
        <w:t>.</w:t>
      </w:r>
    </w:p>
    <w:p w14:paraId="4FB9781C" w14:textId="6E7B37F4" w:rsidR="007158C0" w:rsidRDefault="007158C0" w:rsidP="00DA016C">
      <w:pPr>
        <w:widowControl w:val="0"/>
        <w:spacing w:after="120" w:line="276" w:lineRule="auto"/>
        <w:jc w:val="both"/>
      </w:pPr>
      <w:r>
        <w:t>V poválečném období se stala BaH příjemcem velkého množství finanční i expertní pomoci, kterou v oblasti rozvoje venkova poskytla řada mezinárodních organizací i rozvojových agentur. Mimo EU (Evropské komise a členských států)</w:t>
      </w:r>
      <w:r w:rsidR="004406A0">
        <w:t>,</w:t>
      </w:r>
      <w:r>
        <w:t xml:space="preserve"> jako největšího z donorů v zemi následované USA</w:t>
      </w:r>
      <w:r>
        <w:rPr>
          <w:rStyle w:val="Znakapoznpodarou"/>
        </w:rPr>
        <w:footnoteReference w:id="23"/>
      </w:r>
      <w:r>
        <w:t xml:space="preserve"> působí i </w:t>
      </w:r>
      <w:r w:rsidR="004406A0">
        <w:t xml:space="preserve">multilaterální </w:t>
      </w:r>
      <w:r>
        <w:t>donoři EBRD (</w:t>
      </w:r>
      <w:proofErr w:type="spellStart"/>
      <w:r w:rsidRPr="003A7118">
        <w:rPr>
          <w:i/>
        </w:rPr>
        <w:t>European</w:t>
      </w:r>
      <w:proofErr w:type="spellEnd"/>
      <w:r w:rsidRPr="003A7118">
        <w:rPr>
          <w:i/>
        </w:rPr>
        <w:t xml:space="preserve"> Bank </w:t>
      </w:r>
      <w:proofErr w:type="spellStart"/>
      <w:r w:rsidRPr="003A7118">
        <w:rPr>
          <w:i/>
        </w:rPr>
        <w:t>for</w:t>
      </w:r>
      <w:proofErr w:type="spellEnd"/>
      <w:r w:rsidRPr="003A7118">
        <w:rPr>
          <w:i/>
        </w:rPr>
        <w:t xml:space="preserve"> </w:t>
      </w:r>
      <w:proofErr w:type="spellStart"/>
      <w:r w:rsidRPr="003A7118">
        <w:rPr>
          <w:i/>
        </w:rPr>
        <w:t>Reconstruction</w:t>
      </w:r>
      <w:proofErr w:type="spellEnd"/>
      <w:r w:rsidRPr="003A7118">
        <w:rPr>
          <w:i/>
        </w:rPr>
        <w:t xml:space="preserve"> and </w:t>
      </w:r>
      <w:proofErr w:type="spellStart"/>
      <w:r w:rsidRPr="003A7118">
        <w:rPr>
          <w:i/>
        </w:rPr>
        <w:t>Developmen</w:t>
      </w:r>
      <w:r>
        <w:rPr>
          <w:i/>
        </w:rPr>
        <w:t>t</w:t>
      </w:r>
      <w:proofErr w:type="spellEnd"/>
      <w:r>
        <w:rPr>
          <w:i/>
        </w:rPr>
        <w:t>)</w:t>
      </w:r>
      <w:r>
        <w:t>, EIB (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Invsetment</w:t>
      </w:r>
      <w:proofErr w:type="spellEnd"/>
      <w:r>
        <w:rPr>
          <w:i/>
        </w:rPr>
        <w:t xml:space="preserve"> Bank), WB (</w:t>
      </w:r>
      <w:proofErr w:type="spellStart"/>
      <w:r>
        <w:rPr>
          <w:i/>
        </w:rPr>
        <w:t>World</w:t>
      </w:r>
      <w:proofErr w:type="spellEnd"/>
      <w:r>
        <w:rPr>
          <w:i/>
        </w:rPr>
        <w:t xml:space="preserve"> Bank), </w:t>
      </w:r>
      <w:r>
        <w:t xml:space="preserve">či agentury OSN </w:t>
      </w:r>
      <w:r>
        <w:rPr>
          <w:i/>
        </w:rPr>
        <w:t xml:space="preserve">"United </w:t>
      </w:r>
      <w:proofErr w:type="spellStart"/>
      <w:r>
        <w:rPr>
          <w:i/>
        </w:rPr>
        <w:t>Nations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agencies</w:t>
      </w:r>
      <w:proofErr w:type="spellEnd"/>
      <w:r>
        <w:rPr>
          <w:i/>
        </w:rPr>
        <w:t xml:space="preserve">". </w:t>
      </w:r>
      <w:r>
        <w:t xml:space="preserve">Skupinu dále doplňují bilaterální dárci zahrnující Švédsko, Německo, Itálii, Švýcarsko, Norsko či Japonsko </w:t>
      </w:r>
      <w:r>
        <w:rPr>
          <w:rStyle w:val="Znakapoznpodarou"/>
        </w:rPr>
        <w:footnoteReference w:id="24"/>
      </w:r>
      <w:r>
        <w:t xml:space="preserve">. </w:t>
      </w:r>
    </w:p>
    <w:p w14:paraId="1941AD88" w14:textId="49D77A1F" w:rsidR="007158C0" w:rsidRPr="00A0399D" w:rsidRDefault="007158C0" w:rsidP="00DA016C">
      <w:pPr>
        <w:widowControl w:val="0"/>
        <w:spacing w:after="120" w:line="276" w:lineRule="auto"/>
        <w:jc w:val="both"/>
      </w:pPr>
      <w:r>
        <w:t xml:space="preserve">Podporu </w:t>
      </w:r>
      <w:r w:rsidR="004406A0">
        <w:t xml:space="preserve">v oblasti </w:t>
      </w:r>
      <w:r>
        <w:t xml:space="preserve">zemědělství, lesnictví či </w:t>
      </w:r>
      <w:r w:rsidRPr="00A0399D">
        <w:t>rozvoj</w:t>
      </w:r>
      <w:r>
        <w:t>e</w:t>
      </w:r>
      <w:r w:rsidRPr="00A0399D">
        <w:t xml:space="preserve"> venkova BaH obdržela od </w:t>
      </w:r>
      <w:r>
        <w:t xml:space="preserve">rozvojových </w:t>
      </w:r>
      <w:r>
        <w:lastRenderedPageBreak/>
        <w:t>agentur USA (USAID), Švédska (</w:t>
      </w:r>
      <w:r w:rsidRPr="00A0399D">
        <w:t>SIDA</w:t>
      </w:r>
      <w:r>
        <w:t>), Itálie, Velké Británie (</w:t>
      </w:r>
      <w:r w:rsidRPr="00A0399D">
        <w:t>DFID</w:t>
      </w:r>
      <w:r>
        <w:t>), Japonska (</w:t>
      </w:r>
      <w:r w:rsidRPr="00A0399D">
        <w:t>JICA</w:t>
      </w:r>
      <w:r>
        <w:t>), Španělska (</w:t>
      </w:r>
      <w:r w:rsidRPr="00A0399D">
        <w:t>AECID</w:t>
      </w:r>
      <w:r>
        <w:t>)</w:t>
      </w:r>
      <w:r w:rsidRPr="00A0399D">
        <w:t>,</w:t>
      </w:r>
      <w:r>
        <w:t xml:space="preserve"> Švýcarska (</w:t>
      </w:r>
      <w:r w:rsidRPr="00A0399D">
        <w:t>SDC/SECO</w:t>
      </w:r>
      <w:r>
        <w:t>), České republiky (ČRA</w:t>
      </w:r>
      <w:r w:rsidRPr="00707DD8">
        <w:t xml:space="preserve">), Evropské komise, </w:t>
      </w:r>
      <w:r>
        <w:t>WB</w:t>
      </w:r>
      <w:r w:rsidRPr="00707DD8">
        <w:t xml:space="preserve">, </w:t>
      </w:r>
      <w:r>
        <w:t>EBRD</w:t>
      </w:r>
      <w:r w:rsidRPr="00707DD8">
        <w:t>, UNDP, FAO</w:t>
      </w:r>
      <w:r>
        <w:t xml:space="preserve"> a dalších</w:t>
      </w:r>
      <w:r w:rsidRPr="00707DD8">
        <w:t>.</w:t>
      </w:r>
      <w:r w:rsidRPr="00707DD8">
        <w:rPr>
          <w:rStyle w:val="Znakapoznpodarou"/>
        </w:rPr>
        <w:footnoteReference w:id="25"/>
      </w:r>
    </w:p>
    <w:p w14:paraId="07AAE857" w14:textId="61184A28" w:rsidR="007158C0" w:rsidRPr="00140B52" w:rsidRDefault="007158C0" w:rsidP="00DA016C">
      <w:pPr>
        <w:widowControl w:val="0"/>
        <w:spacing w:after="120" w:line="276" w:lineRule="auto"/>
        <w:jc w:val="both"/>
      </w:pPr>
      <w:r>
        <w:t>V posledních letech se však množství alokované pomoci značně snížilo. Mnoho donorů opustilo BaH v době politické stagnace a zhoršené ekonomické situace</w:t>
      </w:r>
      <w:r>
        <w:rPr>
          <w:rStyle w:val="Znakapoznpodarou"/>
        </w:rPr>
        <w:footnoteReference w:id="26"/>
      </w:r>
      <w:r>
        <w:t xml:space="preserve">. V roce 2009 6 % z celkové </w:t>
      </w:r>
      <w:r w:rsidRPr="00140B52">
        <w:t>zahraniční spolupráce připadalo na sektor zemědělství a lesnictví</w:t>
      </w:r>
      <w:r w:rsidRPr="00140B52">
        <w:rPr>
          <w:rStyle w:val="Znakapoznpodarou"/>
        </w:rPr>
        <w:footnoteReference w:id="27"/>
      </w:r>
      <w:r w:rsidRPr="00140B52">
        <w:t>, v r</w:t>
      </w:r>
      <w:r>
        <w:t>oce</w:t>
      </w:r>
      <w:r w:rsidRPr="00140B52">
        <w:t xml:space="preserve"> 2012 však hodnoty dosahovaly </w:t>
      </w:r>
      <w:r w:rsidR="008A47F9">
        <w:t xml:space="preserve">pouze </w:t>
      </w:r>
      <w:r w:rsidRPr="00140B52">
        <w:t>4</w:t>
      </w:r>
      <w:r>
        <w:t xml:space="preserve"> </w:t>
      </w:r>
      <w:r w:rsidRPr="00140B52">
        <w:t>%.</w:t>
      </w:r>
      <w:r>
        <w:t xml:space="preserve"> I přes velké množství alokované pomoci, zůstává </w:t>
      </w:r>
      <w:proofErr w:type="spellStart"/>
      <w:r>
        <w:t>socio</w:t>
      </w:r>
      <w:proofErr w:type="spellEnd"/>
      <w:r>
        <w:t>-ekonomický rozvoj venkova</w:t>
      </w:r>
      <w:r w:rsidRPr="00140B52">
        <w:t xml:space="preserve"> </w:t>
      </w:r>
      <w:r>
        <w:t>stále nedostatečný</w:t>
      </w:r>
      <w:r w:rsidRPr="00140B52">
        <w:rPr>
          <w:rStyle w:val="Znakapoznpodarou"/>
        </w:rPr>
        <w:footnoteReference w:id="28"/>
      </w:r>
      <w:r>
        <w:t>.</w:t>
      </w:r>
    </w:p>
    <w:p w14:paraId="42A01258" w14:textId="7BE1CFDF" w:rsidR="007158C0" w:rsidRPr="0053095B" w:rsidRDefault="007158C0" w:rsidP="00DA016C">
      <w:pPr>
        <w:widowControl w:val="0"/>
        <w:spacing w:after="120" w:line="276" w:lineRule="auto"/>
        <w:jc w:val="both"/>
      </w:pPr>
      <w:r w:rsidRPr="00140B52">
        <w:t xml:space="preserve">V současné době se </w:t>
      </w:r>
      <w:r>
        <w:t xml:space="preserve">např. </w:t>
      </w:r>
      <w:r w:rsidRPr="00140B52">
        <w:t>projekty</w:t>
      </w:r>
      <w:r>
        <w:t xml:space="preserve"> Světové banky</w:t>
      </w:r>
      <w:r w:rsidRPr="00140B52">
        <w:t xml:space="preserve"> soustřeďují na institucionální podporu zajišťující efektiv</w:t>
      </w:r>
      <w:r>
        <w:t>ní zemědělské služby a podporu</w:t>
      </w:r>
      <w:r w:rsidRPr="00140B52">
        <w:t xml:space="preserve"> EU nástrojů předvstupní pomoci vztahující se k rozvoji venkova, dále na </w:t>
      </w:r>
      <w:r>
        <w:t>oblast lesů a chráněných horských oblastí,</w:t>
      </w:r>
      <w:r w:rsidRPr="00140B52">
        <w:t xml:space="preserve"> či čištění odpadních vod</w:t>
      </w:r>
      <w:r w:rsidRPr="00140B52">
        <w:rPr>
          <w:rStyle w:val="Znakapoznpodarou"/>
        </w:rPr>
        <w:footnoteReference w:id="29"/>
      </w:r>
      <w:r>
        <w:t>.</w:t>
      </w:r>
      <w:r w:rsidRPr="00140B52">
        <w:t xml:space="preserve"> </w:t>
      </w:r>
      <w:r>
        <w:t>Dále jsou v zemi realizovány p</w:t>
      </w:r>
      <w:r w:rsidRPr="00140B52">
        <w:t xml:space="preserve">rojekty </w:t>
      </w:r>
      <w:r>
        <w:t xml:space="preserve">zaměřující se na sektor zemědělství </w:t>
      </w:r>
      <w:r w:rsidRPr="00140B52">
        <w:t xml:space="preserve">financované </w:t>
      </w:r>
      <w:r>
        <w:t xml:space="preserve">např. </w:t>
      </w:r>
      <w:r w:rsidRPr="00140B52">
        <w:t>USAID (</w:t>
      </w:r>
      <w:r>
        <w:t>"</w:t>
      </w:r>
      <w:r w:rsidRPr="00140B52">
        <w:rPr>
          <w:i/>
        </w:rPr>
        <w:t xml:space="preserve">REGA - </w:t>
      </w:r>
      <w:proofErr w:type="spellStart"/>
      <w:r w:rsidRPr="00140B52">
        <w:rPr>
          <w:i/>
        </w:rPr>
        <w:t>Rural</w:t>
      </w:r>
      <w:proofErr w:type="spellEnd"/>
      <w:r w:rsidRPr="00140B52">
        <w:rPr>
          <w:i/>
        </w:rPr>
        <w:t xml:space="preserve"> </w:t>
      </w:r>
      <w:proofErr w:type="spellStart"/>
      <w:r w:rsidRPr="00140B52">
        <w:rPr>
          <w:i/>
        </w:rPr>
        <w:t>Employment</w:t>
      </w:r>
      <w:proofErr w:type="spellEnd"/>
      <w:r w:rsidRPr="00140B52">
        <w:rPr>
          <w:i/>
        </w:rPr>
        <w:t xml:space="preserve"> </w:t>
      </w:r>
      <w:proofErr w:type="spellStart"/>
      <w:r w:rsidRPr="00140B52">
        <w:rPr>
          <w:i/>
        </w:rPr>
        <w:t>Generation</w:t>
      </w:r>
      <w:proofErr w:type="spellEnd"/>
      <w:r w:rsidRPr="00140B52">
        <w:rPr>
          <w:i/>
        </w:rPr>
        <w:t xml:space="preserve"> </w:t>
      </w:r>
      <w:proofErr w:type="spellStart"/>
      <w:r w:rsidRPr="00140B52">
        <w:rPr>
          <w:i/>
        </w:rPr>
        <w:t>Activity</w:t>
      </w:r>
      <w:proofErr w:type="spellEnd"/>
      <w:r>
        <w:rPr>
          <w:i/>
        </w:rPr>
        <w:t>"</w:t>
      </w:r>
      <w:r w:rsidRPr="00140B52">
        <w:rPr>
          <w:i/>
        </w:rPr>
        <w:t xml:space="preserve">; </w:t>
      </w:r>
      <w:r>
        <w:rPr>
          <w:i/>
        </w:rPr>
        <w:t>"</w:t>
      </w:r>
      <w:r w:rsidRPr="00140B52">
        <w:rPr>
          <w:i/>
        </w:rPr>
        <w:t xml:space="preserve">FARMA - </w:t>
      </w:r>
      <w:proofErr w:type="spellStart"/>
      <w:r w:rsidRPr="00140B52">
        <w:rPr>
          <w:i/>
        </w:rPr>
        <w:t>Fostering</w:t>
      </w:r>
      <w:proofErr w:type="spellEnd"/>
      <w:r w:rsidRPr="00140B52">
        <w:rPr>
          <w:i/>
        </w:rPr>
        <w:t xml:space="preserve"> </w:t>
      </w:r>
      <w:proofErr w:type="spellStart"/>
      <w:r w:rsidRPr="00140B52">
        <w:rPr>
          <w:i/>
        </w:rPr>
        <w:t>Agriculture</w:t>
      </w:r>
      <w:proofErr w:type="spellEnd"/>
      <w:r w:rsidRPr="00140B52">
        <w:rPr>
          <w:i/>
        </w:rPr>
        <w:t xml:space="preserve"> Market </w:t>
      </w:r>
      <w:proofErr w:type="spellStart"/>
      <w:r w:rsidRPr="00140B52">
        <w:rPr>
          <w:i/>
        </w:rPr>
        <w:t>Activity</w:t>
      </w:r>
      <w:proofErr w:type="spellEnd"/>
      <w:r>
        <w:rPr>
          <w:i/>
        </w:rPr>
        <w:t>"</w:t>
      </w:r>
      <w:r w:rsidRPr="00140B52">
        <w:rPr>
          <w:i/>
        </w:rPr>
        <w:t xml:space="preserve">; </w:t>
      </w:r>
      <w:r>
        <w:rPr>
          <w:i/>
        </w:rPr>
        <w:t>"</w:t>
      </w:r>
      <w:proofErr w:type="spellStart"/>
      <w:r w:rsidRPr="00140B52">
        <w:rPr>
          <w:i/>
        </w:rPr>
        <w:t>Fostering</w:t>
      </w:r>
      <w:proofErr w:type="spellEnd"/>
      <w:r w:rsidRPr="00140B52">
        <w:rPr>
          <w:i/>
        </w:rPr>
        <w:t xml:space="preserve"> </w:t>
      </w:r>
      <w:proofErr w:type="spellStart"/>
      <w:r w:rsidRPr="00140B52">
        <w:rPr>
          <w:i/>
        </w:rPr>
        <w:t>Entrepreneurship</w:t>
      </w:r>
      <w:proofErr w:type="spellEnd"/>
      <w:r w:rsidRPr="00140B52">
        <w:rPr>
          <w:i/>
        </w:rPr>
        <w:t xml:space="preserve"> in </w:t>
      </w:r>
      <w:proofErr w:type="spellStart"/>
      <w:r w:rsidRPr="00140B52">
        <w:rPr>
          <w:i/>
        </w:rPr>
        <w:t>Rural</w:t>
      </w:r>
      <w:proofErr w:type="spellEnd"/>
      <w:r w:rsidRPr="00140B52">
        <w:rPr>
          <w:i/>
        </w:rPr>
        <w:t xml:space="preserve"> </w:t>
      </w:r>
      <w:proofErr w:type="spellStart"/>
      <w:r w:rsidRPr="00140B52">
        <w:rPr>
          <w:i/>
        </w:rPr>
        <w:t>Areas</w:t>
      </w:r>
      <w:proofErr w:type="spellEnd"/>
      <w:r w:rsidRPr="00140B52">
        <w:rPr>
          <w:i/>
        </w:rPr>
        <w:t xml:space="preserve"> by </w:t>
      </w:r>
      <w:proofErr w:type="spellStart"/>
      <w:r w:rsidRPr="00140B52">
        <w:rPr>
          <w:i/>
        </w:rPr>
        <w:t>Improving</w:t>
      </w:r>
      <w:proofErr w:type="spellEnd"/>
      <w:r w:rsidRPr="00140B52">
        <w:rPr>
          <w:i/>
        </w:rPr>
        <w:t xml:space="preserve"> </w:t>
      </w:r>
      <w:proofErr w:type="spellStart"/>
      <w:r w:rsidRPr="00140B52">
        <w:rPr>
          <w:i/>
        </w:rPr>
        <w:t>Competitiveness</w:t>
      </w:r>
      <w:proofErr w:type="spellEnd"/>
      <w:r w:rsidRPr="00140B52">
        <w:rPr>
          <w:i/>
        </w:rPr>
        <w:t xml:space="preserve"> and Market </w:t>
      </w:r>
      <w:proofErr w:type="spellStart"/>
      <w:r w:rsidRPr="00140B52">
        <w:rPr>
          <w:i/>
        </w:rPr>
        <w:t>Potential</w:t>
      </w:r>
      <w:proofErr w:type="spellEnd"/>
      <w:r w:rsidRPr="00140B52">
        <w:rPr>
          <w:i/>
        </w:rPr>
        <w:t xml:space="preserve"> Project in </w:t>
      </w:r>
      <w:proofErr w:type="spellStart"/>
      <w:r w:rsidRPr="00140B52">
        <w:rPr>
          <w:i/>
        </w:rPr>
        <w:t>BiH</w:t>
      </w:r>
      <w:proofErr w:type="spellEnd"/>
      <w:r>
        <w:rPr>
          <w:i/>
        </w:rPr>
        <w:t>"</w:t>
      </w:r>
      <w:r w:rsidRPr="00140B52">
        <w:rPr>
          <w:i/>
        </w:rPr>
        <w:t xml:space="preserve">; </w:t>
      </w:r>
      <w:r>
        <w:rPr>
          <w:i/>
        </w:rPr>
        <w:t>"</w:t>
      </w:r>
      <w:proofErr w:type="spellStart"/>
      <w:r w:rsidRPr="00140B52">
        <w:rPr>
          <w:i/>
        </w:rPr>
        <w:t>Women</w:t>
      </w:r>
      <w:proofErr w:type="spellEnd"/>
      <w:r w:rsidRPr="00140B52">
        <w:rPr>
          <w:i/>
        </w:rPr>
        <w:t xml:space="preserve"> </w:t>
      </w:r>
      <w:proofErr w:type="spellStart"/>
      <w:r w:rsidRPr="00140B52">
        <w:rPr>
          <w:i/>
        </w:rPr>
        <w:t>Empowerment</w:t>
      </w:r>
      <w:proofErr w:type="spellEnd"/>
      <w:r w:rsidRPr="00140B52">
        <w:rPr>
          <w:i/>
        </w:rPr>
        <w:t xml:space="preserve"> </w:t>
      </w:r>
      <w:proofErr w:type="spellStart"/>
      <w:r w:rsidRPr="00140B52">
        <w:rPr>
          <w:i/>
        </w:rPr>
        <w:t>through</w:t>
      </w:r>
      <w:proofErr w:type="spellEnd"/>
      <w:r w:rsidRPr="00140B52">
        <w:rPr>
          <w:i/>
        </w:rPr>
        <w:t xml:space="preserve"> </w:t>
      </w:r>
      <w:proofErr w:type="spellStart"/>
      <w:r w:rsidRPr="00140B52">
        <w:rPr>
          <w:i/>
        </w:rPr>
        <w:t>Organic</w:t>
      </w:r>
      <w:proofErr w:type="spellEnd"/>
      <w:r w:rsidRPr="00140B52">
        <w:rPr>
          <w:i/>
        </w:rPr>
        <w:t xml:space="preserve"> </w:t>
      </w:r>
      <w:proofErr w:type="spellStart"/>
      <w:r w:rsidRPr="00140B52">
        <w:rPr>
          <w:i/>
        </w:rPr>
        <w:t>Farming</w:t>
      </w:r>
      <w:proofErr w:type="spellEnd"/>
      <w:r w:rsidRPr="00140B52">
        <w:rPr>
          <w:i/>
        </w:rPr>
        <w:t xml:space="preserve"> in </w:t>
      </w:r>
      <w:proofErr w:type="spellStart"/>
      <w:r w:rsidRPr="00140B52">
        <w:rPr>
          <w:i/>
        </w:rPr>
        <w:t>Bosnia</w:t>
      </w:r>
      <w:proofErr w:type="spellEnd"/>
      <w:r w:rsidRPr="00140B52">
        <w:rPr>
          <w:i/>
        </w:rPr>
        <w:t xml:space="preserve"> and </w:t>
      </w:r>
      <w:proofErr w:type="spellStart"/>
      <w:r w:rsidRPr="00140B52">
        <w:rPr>
          <w:i/>
        </w:rPr>
        <w:t>Herzegovina</w:t>
      </w:r>
      <w:proofErr w:type="spellEnd"/>
      <w:r>
        <w:rPr>
          <w:i/>
        </w:rPr>
        <w:t>"</w:t>
      </w:r>
      <w:r w:rsidRPr="00140B52">
        <w:t>) Českou republikou (</w:t>
      </w:r>
      <w:r>
        <w:t>"</w:t>
      </w:r>
      <w:proofErr w:type="spellStart"/>
      <w:r w:rsidRPr="00140B52">
        <w:rPr>
          <w:i/>
        </w:rPr>
        <w:t>Increasing</w:t>
      </w:r>
      <w:proofErr w:type="spellEnd"/>
      <w:r w:rsidRPr="00140B52">
        <w:rPr>
          <w:i/>
        </w:rPr>
        <w:t xml:space="preserve"> </w:t>
      </w:r>
      <w:proofErr w:type="spellStart"/>
      <w:r w:rsidRPr="00140B52">
        <w:rPr>
          <w:i/>
        </w:rPr>
        <w:t>Quality</w:t>
      </w:r>
      <w:proofErr w:type="spellEnd"/>
      <w:r w:rsidRPr="00140B52">
        <w:rPr>
          <w:i/>
        </w:rPr>
        <w:t xml:space="preserve"> and Market </w:t>
      </w:r>
      <w:proofErr w:type="spellStart"/>
      <w:r w:rsidRPr="00140B52">
        <w:rPr>
          <w:i/>
        </w:rPr>
        <w:t>Production</w:t>
      </w:r>
      <w:proofErr w:type="spellEnd"/>
      <w:r w:rsidRPr="00140B52">
        <w:rPr>
          <w:i/>
        </w:rPr>
        <w:t xml:space="preserve"> </w:t>
      </w:r>
      <w:proofErr w:type="spellStart"/>
      <w:r w:rsidRPr="00140B52">
        <w:rPr>
          <w:i/>
        </w:rPr>
        <w:t>of</w:t>
      </w:r>
      <w:proofErr w:type="spellEnd"/>
      <w:r w:rsidRPr="00140B52">
        <w:rPr>
          <w:i/>
        </w:rPr>
        <w:t xml:space="preserve"> </w:t>
      </w:r>
      <w:proofErr w:type="spellStart"/>
      <w:r w:rsidRPr="00140B52">
        <w:rPr>
          <w:i/>
        </w:rPr>
        <w:t>Milk</w:t>
      </w:r>
      <w:proofErr w:type="spellEnd"/>
      <w:r w:rsidRPr="00140B52">
        <w:rPr>
          <w:i/>
        </w:rPr>
        <w:t xml:space="preserve"> </w:t>
      </w:r>
      <w:r w:rsidR="008A47F9">
        <w:rPr>
          <w:i/>
        </w:rPr>
        <w:t xml:space="preserve">in </w:t>
      </w:r>
      <w:proofErr w:type="spellStart"/>
      <w:r w:rsidRPr="00140B52">
        <w:rPr>
          <w:i/>
        </w:rPr>
        <w:t>North</w:t>
      </w:r>
      <w:proofErr w:type="spellEnd"/>
      <w:r w:rsidRPr="00140B52">
        <w:rPr>
          <w:i/>
        </w:rPr>
        <w:t xml:space="preserve">-East </w:t>
      </w:r>
      <w:proofErr w:type="spellStart"/>
      <w:r w:rsidRPr="00140B52">
        <w:rPr>
          <w:i/>
        </w:rPr>
        <w:t>Bosnia</w:t>
      </w:r>
      <w:proofErr w:type="spellEnd"/>
      <w:r w:rsidRPr="00140B52">
        <w:rPr>
          <w:i/>
        </w:rPr>
        <w:t xml:space="preserve"> and </w:t>
      </w:r>
      <w:proofErr w:type="spellStart"/>
      <w:r w:rsidRPr="00140B52">
        <w:rPr>
          <w:i/>
        </w:rPr>
        <w:t>Herzegovina</w:t>
      </w:r>
      <w:proofErr w:type="spellEnd"/>
      <w:r>
        <w:t>"</w:t>
      </w:r>
      <w:r w:rsidRPr="00140B52">
        <w:t xml:space="preserve">) </w:t>
      </w:r>
      <w:r>
        <w:t xml:space="preserve">i </w:t>
      </w:r>
      <w:r w:rsidRPr="00140B52">
        <w:t xml:space="preserve">Evropskou </w:t>
      </w:r>
      <w:r>
        <w:t>k</w:t>
      </w:r>
      <w:r w:rsidRPr="00140B52">
        <w:t xml:space="preserve">omisí </w:t>
      </w:r>
      <w:r w:rsidRPr="00481579">
        <w:t>(</w:t>
      </w:r>
      <w:r w:rsidRPr="00481579">
        <w:rPr>
          <w:i/>
        </w:rPr>
        <w:t xml:space="preserve">"Support to </w:t>
      </w:r>
      <w:proofErr w:type="spellStart"/>
      <w:r w:rsidRPr="00481579">
        <w:rPr>
          <w:i/>
        </w:rPr>
        <w:t>BiH</w:t>
      </w:r>
      <w:proofErr w:type="spellEnd"/>
      <w:r w:rsidRPr="00481579">
        <w:rPr>
          <w:i/>
        </w:rPr>
        <w:t xml:space="preserve"> plant </w:t>
      </w:r>
      <w:proofErr w:type="spellStart"/>
      <w:r w:rsidRPr="00481579">
        <w:rPr>
          <w:i/>
        </w:rPr>
        <w:t>health</w:t>
      </w:r>
      <w:proofErr w:type="spellEnd"/>
      <w:r w:rsidRPr="00481579">
        <w:rPr>
          <w:i/>
        </w:rPr>
        <w:t xml:space="preserve"> </w:t>
      </w:r>
      <w:proofErr w:type="spellStart"/>
      <w:r w:rsidRPr="00481579">
        <w:rPr>
          <w:i/>
        </w:rPr>
        <w:t>administration</w:t>
      </w:r>
      <w:proofErr w:type="spellEnd"/>
      <w:r w:rsidRPr="00481579">
        <w:rPr>
          <w:i/>
        </w:rPr>
        <w:t>"</w:t>
      </w:r>
      <w:r w:rsidRPr="00140B52">
        <w:t>)</w:t>
      </w:r>
      <w:r>
        <w:rPr>
          <w:rStyle w:val="Znakapoznpodarou"/>
        </w:rPr>
        <w:footnoteReference w:id="30"/>
      </w:r>
      <w:r>
        <w:t>. FAO se zaměřuje např. na podporu přípravy strategie v oblasti vlastnictví půdy "</w:t>
      </w:r>
      <w:proofErr w:type="spellStart"/>
      <w:r w:rsidRPr="0053095B">
        <w:rPr>
          <w:i/>
        </w:rPr>
        <w:t>National</w:t>
      </w:r>
      <w:proofErr w:type="spellEnd"/>
      <w:r w:rsidRPr="0053095B">
        <w:rPr>
          <w:i/>
        </w:rPr>
        <w:t xml:space="preserve"> Land </w:t>
      </w:r>
      <w:proofErr w:type="spellStart"/>
      <w:r w:rsidRPr="0053095B">
        <w:rPr>
          <w:i/>
        </w:rPr>
        <w:t>Consolidation</w:t>
      </w:r>
      <w:proofErr w:type="spellEnd"/>
      <w:r w:rsidRPr="0053095B">
        <w:rPr>
          <w:i/>
        </w:rPr>
        <w:t xml:space="preserve"> </w:t>
      </w:r>
      <w:proofErr w:type="spellStart"/>
      <w:r w:rsidRPr="0053095B">
        <w:rPr>
          <w:i/>
        </w:rPr>
        <w:t>Strategy</w:t>
      </w:r>
      <w:proofErr w:type="spellEnd"/>
      <w:r>
        <w:t>" a realizaci pilotního projektu</w:t>
      </w:r>
      <w:r w:rsidRPr="0053095B">
        <w:t xml:space="preserve"> </w:t>
      </w:r>
      <w:r>
        <w:t>"</w:t>
      </w:r>
      <w:r w:rsidRPr="0053095B">
        <w:rPr>
          <w:i/>
        </w:rPr>
        <w:t xml:space="preserve">Land </w:t>
      </w:r>
      <w:proofErr w:type="spellStart"/>
      <w:r w:rsidRPr="0053095B">
        <w:rPr>
          <w:i/>
        </w:rPr>
        <w:t>Consolidation</w:t>
      </w:r>
      <w:proofErr w:type="spellEnd"/>
      <w:r>
        <w:t>"</w:t>
      </w:r>
      <w:r w:rsidR="0025234E">
        <w:t xml:space="preserve">, dále </w:t>
      </w:r>
      <w:r>
        <w:t>také na mezinárodní standardy pro zdravotní stav vodních živočichů, či politiku rozvoje zemědělství a venkova.</w:t>
      </w:r>
      <w:r>
        <w:rPr>
          <w:rStyle w:val="Znakapoznpodarou"/>
        </w:rPr>
        <w:footnoteReference w:id="31"/>
      </w:r>
    </w:p>
    <w:p w14:paraId="11EC916A" w14:textId="77777777" w:rsidR="0073264D" w:rsidRPr="007E7BCE" w:rsidRDefault="0073264D" w:rsidP="00787D4B">
      <w:pPr>
        <w:pStyle w:val="Nadpis2"/>
        <w:spacing w:before="360" w:after="120"/>
        <w:ind w:left="578" w:hanging="578"/>
        <w:rPr>
          <w:rFonts w:ascii="Cambria" w:hAnsi="Cambria"/>
          <w:sz w:val="26"/>
          <w:szCs w:val="26"/>
        </w:rPr>
      </w:pPr>
      <w:bookmarkStart w:id="6" w:name="_Toc370471075"/>
      <w:r w:rsidRPr="007E7BCE">
        <w:rPr>
          <w:rFonts w:ascii="Cambria" w:hAnsi="Cambria"/>
          <w:sz w:val="26"/>
          <w:szCs w:val="26"/>
        </w:rPr>
        <w:t>Kontext spolupráce ZRS ČR v</w:t>
      </w:r>
      <w:r w:rsidR="0034076D" w:rsidRPr="007E7BCE">
        <w:rPr>
          <w:rFonts w:ascii="Cambria" w:hAnsi="Cambria"/>
          <w:sz w:val="26"/>
          <w:szCs w:val="26"/>
        </w:rPr>
        <w:t> Bosně a Hercegovině</w:t>
      </w:r>
      <w:bookmarkEnd w:id="6"/>
    </w:p>
    <w:p w14:paraId="3B934203" w14:textId="20F09B12" w:rsidR="00AB7032" w:rsidRDefault="007158C0" w:rsidP="00DA016C">
      <w:pPr>
        <w:widowControl w:val="0"/>
        <w:spacing w:after="120" w:line="276" w:lineRule="auto"/>
        <w:jc w:val="both"/>
      </w:pPr>
      <w:r>
        <w:t>V rámci Koncepce zahraniční rozvojové spolupráce České republiky na období 2010-2017</w:t>
      </w:r>
      <w:r>
        <w:rPr>
          <w:rStyle w:val="Znakapoznpodarou"/>
        </w:rPr>
        <w:footnoteReference w:id="32"/>
      </w:r>
      <w:r>
        <w:t xml:space="preserve"> je Bosna a Hercegovina zařazena mezi prioritní programové země. Spolupráce s Bosnou a Hercegovinou navazuje na tradici již dříve úspěšné realizovaných projektů ZRS v této zemi. Program rozvojové spolupráce s Bosnou a Hercegovinou na období 2011-2017</w:t>
      </w:r>
      <w:r>
        <w:rPr>
          <w:rStyle w:val="Znakapoznpodarou"/>
        </w:rPr>
        <w:footnoteReference w:id="33"/>
      </w:r>
      <w:r>
        <w:t xml:space="preserve"> definuje zemědělství jako jeden z prioritních sektorů spolupráce. V rámci tohoto sektoru je </w:t>
      </w:r>
      <w:r w:rsidR="0025234E">
        <w:t xml:space="preserve">jako hlavní cíl rozvojových intervencí ČR </w:t>
      </w:r>
      <w:r>
        <w:t xml:space="preserve">stanovena podpora jak institucí tak drobných a středních </w:t>
      </w:r>
      <w:r>
        <w:lastRenderedPageBreak/>
        <w:t xml:space="preserve">zemědělců v oblasti </w:t>
      </w:r>
      <w:r w:rsidR="00AB7032">
        <w:t>rostlinné výroby</w:t>
      </w:r>
      <w:r>
        <w:t xml:space="preserve"> s ohledem na uplatnění zemědělských produktů. </w:t>
      </w:r>
      <w:r w:rsidR="00060DB6">
        <w:t>V současné době úspě</w:t>
      </w:r>
      <w:r w:rsidR="00AB7032">
        <w:t xml:space="preserve">šně probíhá společný projekt ZRS </w:t>
      </w:r>
      <w:r w:rsidR="008A47F9">
        <w:t xml:space="preserve">ČR </w:t>
      </w:r>
      <w:r w:rsidR="00AB7032">
        <w:t xml:space="preserve">a US </w:t>
      </w:r>
      <w:proofErr w:type="spellStart"/>
      <w:r w:rsidR="00AB7032">
        <w:t>Emerging</w:t>
      </w:r>
      <w:proofErr w:type="spellEnd"/>
      <w:r w:rsidR="00AB7032">
        <w:t xml:space="preserve"> </w:t>
      </w:r>
      <w:proofErr w:type="spellStart"/>
      <w:r w:rsidR="00AB7032">
        <w:t>Donors</w:t>
      </w:r>
      <w:proofErr w:type="spellEnd"/>
      <w:r w:rsidR="00AB7032">
        <w:t xml:space="preserve"> </w:t>
      </w:r>
      <w:proofErr w:type="spellStart"/>
      <w:r w:rsidR="00AB7032">
        <w:t>Challenge</w:t>
      </w:r>
      <w:proofErr w:type="spellEnd"/>
      <w:r w:rsidR="00AB7032">
        <w:t xml:space="preserve"> </w:t>
      </w:r>
      <w:proofErr w:type="spellStart"/>
      <w:r w:rsidR="00AB7032">
        <w:t>Fund</w:t>
      </w:r>
      <w:proofErr w:type="spellEnd"/>
      <w:r w:rsidR="00AB7032">
        <w:t xml:space="preserve"> </w:t>
      </w:r>
      <w:r w:rsidR="00AB7032" w:rsidRPr="00840473">
        <w:rPr>
          <w:i/>
        </w:rPr>
        <w:t>Posilování kapacit veterinárních laboratoří a inspekčních vet</w:t>
      </w:r>
      <w:r w:rsidR="0025234E">
        <w:rPr>
          <w:i/>
        </w:rPr>
        <w:t xml:space="preserve">erinárních služeb zapojených do </w:t>
      </w:r>
      <w:r w:rsidR="00AB7032" w:rsidRPr="00840473">
        <w:rPr>
          <w:i/>
        </w:rPr>
        <w:t>implementace Národního programu monitoringu reziduí v souladu se standardy EU</w:t>
      </w:r>
      <w:r w:rsidR="00AB7032">
        <w:t xml:space="preserve">. </w:t>
      </w:r>
    </w:p>
    <w:p w14:paraId="2158D028" w14:textId="77777777" w:rsidR="0073264D" w:rsidRPr="000A1022" w:rsidRDefault="0073264D" w:rsidP="006B640B">
      <w:pPr>
        <w:pStyle w:val="Nadpis1"/>
        <w:spacing w:before="600" w:after="240"/>
        <w:ind w:left="431" w:hanging="431"/>
      </w:pPr>
      <w:bookmarkStart w:id="7" w:name="_Toc370471076"/>
      <w:r w:rsidRPr="000A1022">
        <w:t>Analýza problému</w:t>
      </w:r>
      <w:bookmarkEnd w:id="7"/>
      <w:r w:rsidRPr="000A1022">
        <w:t xml:space="preserve"> </w:t>
      </w:r>
    </w:p>
    <w:p w14:paraId="673657E2" w14:textId="58F856F7" w:rsidR="00060DB6" w:rsidRDefault="00997CCC" w:rsidP="00D347FE">
      <w:pPr>
        <w:widowControl w:val="0"/>
        <w:spacing w:after="80" w:line="276" w:lineRule="auto"/>
        <w:jc w:val="both"/>
      </w:pPr>
      <w:r w:rsidRPr="00060DB6">
        <w:t xml:space="preserve">Na </w:t>
      </w:r>
      <w:r w:rsidR="00802A57" w:rsidRPr="00060DB6">
        <w:t>základě politiky</w:t>
      </w:r>
      <w:r w:rsidR="002F0D3F" w:rsidRPr="00060DB6">
        <w:t xml:space="preserve"> EU</w:t>
      </w:r>
      <w:r w:rsidR="00BC6028" w:rsidRPr="00060DB6">
        <w:t xml:space="preserve">, jakož i </w:t>
      </w:r>
      <w:r w:rsidRPr="00060DB6">
        <w:t xml:space="preserve">jejích </w:t>
      </w:r>
      <w:r w:rsidR="00802A57" w:rsidRPr="00060DB6">
        <w:t>právních</w:t>
      </w:r>
      <w:r w:rsidR="002F0D3F" w:rsidRPr="00060DB6">
        <w:t xml:space="preserve"> </w:t>
      </w:r>
      <w:r w:rsidR="00802A57" w:rsidRPr="00060DB6">
        <w:t>předpisů</w:t>
      </w:r>
      <w:r w:rsidR="00CE7C72" w:rsidRPr="00060DB6">
        <w:t xml:space="preserve">, </w:t>
      </w:r>
      <w:r w:rsidR="00802A57" w:rsidRPr="00060DB6">
        <w:t>může</w:t>
      </w:r>
      <w:r w:rsidR="009E0A0D">
        <w:t xml:space="preserve"> být sadbový a</w:t>
      </w:r>
      <w:r w:rsidR="00BC6028" w:rsidRPr="00060DB6">
        <w:t xml:space="preserve"> </w:t>
      </w:r>
      <w:r w:rsidRPr="00060DB6">
        <w:t xml:space="preserve">rozmnožovací </w:t>
      </w:r>
      <w:r w:rsidR="00BC6028" w:rsidRPr="00060DB6">
        <w:t xml:space="preserve">materiál ze třetích zemí </w:t>
      </w:r>
      <w:r w:rsidR="002F0D3F" w:rsidRPr="00060DB6">
        <w:t xml:space="preserve">uváděn </w:t>
      </w:r>
      <w:r w:rsidR="00BC6028" w:rsidRPr="00060DB6">
        <w:t xml:space="preserve">na </w:t>
      </w:r>
      <w:r w:rsidR="002F0D3F" w:rsidRPr="00060DB6">
        <w:t xml:space="preserve">evropský </w:t>
      </w:r>
      <w:r w:rsidR="00BC6028" w:rsidRPr="00060DB6">
        <w:t xml:space="preserve">trh pouze </w:t>
      </w:r>
      <w:r w:rsidR="002F0D3F" w:rsidRPr="00060DB6">
        <w:t>tehdy</w:t>
      </w:r>
      <w:r w:rsidR="00BC6028" w:rsidRPr="00060DB6">
        <w:t xml:space="preserve">, </w:t>
      </w:r>
      <w:r w:rsidR="00120F0F" w:rsidRPr="004E4CC7">
        <w:t>pokud jsou pro něj poskytovány stejné záruky jako pro ten</w:t>
      </w:r>
      <w:r w:rsidR="002F0D3F" w:rsidRPr="00060DB6">
        <w:t>, který je vyprodukován</w:t>
      </w:r>
      <w:r w:rsidR="00BC6028" w:rsidRPr="00060DB6">
        <w:t xml:space="preserve"> EU. Vezmeme-li v úvahu výsledky hodnotící zprávy o systému kontroly a certifikace rostlinného rozmnožovacího </w:t>
      </w:r>
      <w:r w:rsidR="002F0D3F" w:rsidRPr="00060DB6">
        <w:t>materiálu v Bosně a Hercegovině</w:t>
      </w:r>
      <w:r w:rsidR="0086276E">
        <w:rPr>
          <w:rStyle w:val="Znakapoznpodarou"/>
        </w:rPr>
        <w:footnoteReference w:id="34"/>
      </w:r>
      <w:r w:rsidR="00BC6028" w:rsidRPr="00060DB6">
        <w:t>, která byla vypracována týmem českých odbor</w:t>
      </w:r>
      <w:r w:rsidR="002F0D3F" w:rsidRPr="00060DB6">
        <w:t>níků v první polovině roku 2013</w:t>
      </w:r>
      <w:r w:rsidR="00BC6028" w:rsidRPr="00060DB6">
        <w:t xml:space="preserve">, </w:t>
      </w:r>
      <w:r w:rsidR="002F0D3F" w:rsidRPr="00060DB6">
        <w:t>je zřejmé</w:t>
      </w:r>
      <w:r w:rsidR="00BC6028" w:rsidRPr="00060DB6">
        <w:t xml:space="preserve">, že </w:t>
      </w:r>
      <w:r w:rsidR="002F0D3F" w:rsidRPr="00060DB6">
        <w:t xml:space="preserve">producenti sadbového a rozmnožovacího materiálu z </w:t>
      </w:r>
      <w:r w:rsidR="00BC6028" w:rsidRPr="00060DB6">
        <w:t xml:space="preserve">Bosny a Hercegoviny </w:t>
      </w:r>
      <w:r w:rsidR="002F0D3F" w:rsidRPr="00060DB6">
        <w:t>nemohou ve skutečnosti</w:t>
      </w:r>
      <w:r w:rsidR="00BC6028" w:rsidRPr="00060DB6">
        <w:t xml:space="preserve"> vyvážet své </w:t>
      </w:r>
      <w:r w:rsidR="002F0D3F" w:rsidRPr="00060DB6">
        <w:t>produkty</w:t>
      </w:r>
      <w:r w:rsidR="00BC6028" w:rsidRPr="00060DB6">
        <w:t xml:space="preserve"> do EU. </w:t>
      </w:r>
    </w:p>
    <w:p w14:paraId="2AD672A3" w14:textId="72D916C4" w:rsidR="00C650EA" w:rsidRDefault="00BC6028" w:rsidP="00D347FE">
      <w:pPr>
        <w:widowControl w:val="0"/>
        <w:spacing w:after="80" w:line="276" w:lineRule="auto"/>
        <w:jc w:val="both"/>
      </w:pPr>
      <w:r w:rsidRPr="00060DB6">
        <w:t>Navíc současný systém rostlin</w:t>
      </w:r>
      <w:r w:rsidR="002F0D3F" w:rsidRPr="00060DB6">
        <w:t>oléka</w:t>
      </w:r>
      <w:r w:rsidR="00195E46">
        <w:t>řských kontrol a postupů v Ba</w:t>
      </w:r>
      <w:r w:rsidR="002F0D3F" w:rsidRPr="00060DB6">
        <w:t>H  (</w:t>
      </w:r>
      <w:r w:rsidRPr="00060DB6">
        <w:t>včetně pro</w:t>
      </w:r>
      <w:r w:rsidR="002F0D3F" w:rsidRPr="00060DB6">
        <w:t xml:space="preserve">cesu schvalování nových </w:t>
      </w:r>
      <w:r w:rsidR="00802A57" w:rsidRPr="00060DB6">
        <w:t>odrůd) přímo</w:t>
      </w:r>
      <w:r w:rsidR="002F0D3F" w:rsidRPr="00060DB6">
        <w:t xml:space="preserve"> </w:t>
      </w:r>
      <w:r w:rsidR="00802A57" w:rsidRPr="00060DB6">
        <w:t>ovlivňuje konkurenceschopnost</w:t>
      </w:r>
      <w:r w:rsidRPr="00060DB6">
        <w:t xml:space="preserve"> zemědělství a ome</w:t>
      </w:r>
      <w:r w:rsidR="002F0D3F" w:rsidRPr="00060DB6">
        <w:t>zuje růst v zemědělském sektoru</w:t>
      </w:r>
      <w:r w:rsidRPr="00060DB6">
        <w:t>, neboť zemědě</w:t>
      </w:r>
      <w:r w:rsidR="002F0D3F" w:rsidRPr="00060DB6">
        <w:t xml:space="preserve">lci nemají dostatečný přístup ke zdravotně nezávadnému </w:t>
      </w:r>
      <w:r w:rsidR="00195E46" w:rsidRPr="00060DB6">
        <w:t>ro</w:t>
      </w:r>
      <w:r w:rsidR="00195E46">
        <w:t>zmnožovacímu</w:t>
      </w:r>
      <w:r w:rsidR="00195E46" w:rsidRPr="00060DB6">
        <w:t xml:space="preserve"> </w:t>
      </w:r>
      <w:r w:rsidR="00195E46">
        <w:t xml:space="preserve">materiálu, </w:t>
      </w:r>
      <w:r w:rsidR="005C17EB">
        <w:t xml:space="preserve">zejména </w:t>
      </w:r>
      <w:r w:rsidRPr="00060DB6">
        <w:t xml:space="preserve">nových </w:t>
      </w:r>
      <w:r w:rsidR="00802A57" w:rsidRPr="00060DB6">
        <w:t>odrůd (které</w:t>
      </w:r>
      <w:r w:rsidR="002F0D3F" w:rsidRPr="00060DB6">
        <w:t xml:space="preserve"> jsou většinou výnosnější</w:t>
      </w:r>
      <w:r w:rsidR="005C17EB">
        <w:t xml:space="preserve"> či odolnější škodlivým organizmům</w:t>
      </w:r>
      <w:r w:rsidR="002F0D3F" w:rsidRPr="00060DB6">
        <w:t xml:space="preserve"> a tím i ziskovější)</w:t>
      </w:r>
      <w:r w:rsidRPr="00060DB6">
        <w:t xml:space="preserve">. </w:t>
      </w:r>
    </w:p>
    <w:p w14:paraId="7FF8A284" w14:textId="16C93056" w:rsidR="00BC6028" w:rsidRPr="00060DB6" w:rsidRDefault="00BC6028" w:rsidP="00D347FE">
      <w:pPr>
        <w:widowControl w:val="0"/>
        <w:spacing w:after="80" w:line="276" w:lineRule="auto"/>
        <w:jc w:val="both"/>
      </w:pPr>
      <w:r w:rsidRPr="00060DB6">
        <w:t>To je výsledkem špatně fungujícího</w:t>
      </w:r>
      <w:r w:rsidR="00802A57" w:rsidRPr="00060DB6">
        <w:t xml:space="preserve"> systému kontroly a certifikace</w:t>
      </w:r>
      <w:r w:rsidRPr="00060DB6">
        <w:t xml:space="preserve">, včetně </w:t>
      </w:r>
      <w:r w:rsidR="00802A57" w:rsidRPr="00060DB6">
        <w:t>zastaralých a neharmonizovaných</w:t>
      </w:r>
      <w:r w:rsidRPr="00060DB6">
        <w:t xml:space="preserve"> právních předpisů</w:t>
      </w:r>
      <w:r w:rsidR="00802A57" w:rsidRPr="00060DB6">
        <w:t xml:space="preserve">, nedostatečné úřední kontroly </w:t>
      </w:r>
      <w:r w:rsidR="00684A97">
        <w:t>a</w:t>
      </w:r>
      <w:r w:rsidR="00684A97" w:rsidRPr="00060DB6">
        <w:t xml:space="preserve"> </w:t>
      </w:r>
      <w:r w:rsidR="005C17EB">
        <w:t xml:space="preserve">existence </w:t>
      </w:r>
      <w:r w:rsidRPr="00060DB6">
        <w:t>zastaral</w:t>
      </w:r>
      <w:r w:rsidR="005C17EB">
        <w:t>ého</w:t>
      </w:r>
      <w:r w:rsidRPr="00060DB6">
        <w:t xml:space="preserve"> </w:t>
      </w:r>
      <w:r w:rsidR="005C17EB">
        <w:t>národního</w:t>
      </w:r>
      <w:r w:rsidR="005C17EB" w:rsidRPr="00060DB6">
        <w:t xml:space="preserve"> </w:t>
      </w:r>
      <w:r w:rsidRPr="00060DB6">
        <w:t>seznamu odrůd bez jasného postupu pro pravidelné aktua</w:t>
      </w:r>
      <w:r w:rsidR="00802A57" w:rsidRPr="00060DB6">
        <w:t>lizace v souladu s požadavky EU</w:t>
      </w:r>
      <w:r w:rsidRPr="00060DB6">
        <w:t xml:space="preserve">. V současné době je organizační struktura certifikačního </w:t>
      </w:r>
      <w:r w:rsidR="00802A57" w:rsidRPr="00060DB6">
        <w:t>procesu, včetně</w:t>
      </w:r>
      <w:r w:rsidRPr="00060DB6">
        <w:t xml:space="preserve"> úředního dohledu</w:t>
      </w:r>
      <w:r w:rsidR="00802A57" w:rsidRPr="00060DB6">
        <w:t>,</w:t>
      </w:r>
      <w:r w:rsidRPr="00060DB6">
        <w:t xml:space="preserve"> roztříštěná a </w:t>
      </w:r>
      <w:r w:rsidR="00802A57" w:rsidRPr="00060DB6">
        <w:t>nesystematická. To</w:t>
      </w:r>
      <w:r w:rsidRPr="00060DB6">
        <w:t xml:space="preserve"> má přímý dopad </w:t>
      </w:r>
      <w:r w:rsidR="00802A57" w:rsidRPr="00060DB6">
        <w:t xml:space="preserve">jak na export zemědělců </w:t>
      </w:r>
      <w:r w:rsidR="00195E46">
        <w:t xml:space="preserve">z </w:t>
      </w:r>
      <w:r w:rsidR="00802A57" w:rsidRPr="00060DB6">
        <w:t>Bosny a Hercegoviny, tak</w:t>
      </w:r>
      <w:r w:rsidRPr="00060DB6">
        <w:t xml:space="preserve"> </w:t>
      </w:r>
      <w:r w:rsidR="005C17EB">
        <w:t xml:space="preserve">na </w:t>
      </w:r>
      <w:r w:rsidRPr="00060DB6">
        <w:t>možnost zahraničních i</w:t>
      </w:r>
      <w:r w:rsidR="00802A57" w:rsidRPr="00060DB6">
        <w:t>nvestic v této oblasti. Na druhou stranu</w:t>
      </w:r>
      <w:r w:rsidRPr="00060DB6">
        <w:t xml:space="preserve"> </w:t>
      </w:r>
      <w:r w:rsidR="00802A57" w:rsidRPr="00060DB6">
        <w:t xml:space="preserve">by </w:t>
      </w:r>
      <w:r w:rsidR="00C650EA" w:rsidRPr="00060DB6">
        <w:t xml:space="preserve">také </w:t>
      </w:r>
      <w:r w:rsidR="00C650EA">
        <w:t>producenti</w:t>
      </w:r>
      <w:r w:rsidRPr="00060DB6">
        <w:t xml:space="preserve"> měli posílit svo</w:t>
      </w:r>
      <w:r w:rsidR="00684A97">
        <w:t>ji</w:t>
      </w:r>
      <w:r w:rsidRPr="00060DB6">
        <w:t xml:space="preserve"> pozici na domácím trhu </w:t>
      </w:r>
      <w:r w:rsidR="00802A57" w:rsidRPr="00060DB6">
        <w:t xml:space="preserve">tak, </w:t>
      </w:r>
      <w:r w:rsidRPr="00060DB6">
        <w:t xml:space="preserve">aby bylo možné pokrýt vyšší nároky </w:t>
      </w:r>
      <w:r w:rsidR="00802A57" w:rsidRPr="00060DB6">
        <w:t>zákazníků (nové odrůdy, klony, zdravotní stav).</w:t>
      </w:r>
    </w:p>
    <w:p w14:paraId="007F90DA" w14:textId="0C401649" w:rsidR="00013A28" w:rsidRPr="00DA016C" w:rsidRDefault="00997CCC" w:rsidP="00D347FE">
      <w:pPr>
        <w:widowControl w:val="0"/>
        <w:spacing w:after="80" w:line="276" w:lineRule="auto"/>
        <w:jc w:val="both"/>
      </w:pPr>
      <w:r w:rsidRPr="00DA016C">
        <w:t xml:space="preserve">Česká republika má rozsáhlé zkušenosti se vstupem </w:t>
      </w:r>
      <w:r w:rsidR="00195E46" w:rsidRPr="00DA016C">
        <w:t xml:space="preserve">poměrně malé země </w:t>
      </w:r>
      <w:r w:rsidRPr="00DA016C">
        <w:t>do</w:t>
      </w:r>
      <w:r w:rsidR="00C650EA" w:rsidRPr="00DA016C">
        <w:t xml:space="preserve"> EU</w:t>
      </w:r>
      <w:r w:rsidRPr="00DA016C">
        <w:t xml:space="preserve">, kdy </w:t>
      </w:r>
      <w:r w:rsidR="00C650EA" w:rsidRPr="00DA016C">
        <w:t>úspěšně implementovala</w:t>
      </w:r>
      <w:r w:rsidRPr="00DA016C">
        <w:t xml:space="preserve"> rozsáhl</w:t>
      </w:r>
      <w:r w:rsidR="00C650EA" w:rsidRPr="00DA016C">
        <w:t>ou legislativu EU a přizpůsobila</w:t>
      </w:r>
      <w:r w:rsidRPr="00DA016C">
        <w:t xml:space="preserve"> </w:t>
      </w:r>
      <w:r w:rsidR="000D1885" w:rsidRPr="00DA016C">
        <w:t>sv</w:t>
      </w:r>
      <w:r w:rsidR="000D1885">
        <w:t>o</w:t>
      </w:r>
      <w:r w:rsidR="000D1885" w:rsidRPr="00DA016C">
        <w:t>j</w:t>
      </w:r>
      <w:r w:rsidR="000D1885">
        <w:t>e</w:t>
      </w:r>
      <w:r w:rsidR="000D1885" w:rsidRPr="00DA016C">
        <w:t xml:space="preserve"> </w:t>
      </w:r>
      <w:r w:rsidR="00013A28" w:rsidRPr="00DA016C">
        <w:t xml:space="preserve">původní </w:t>
      </w:r>
      <w:r w:rsidR="000D1885">
        <w:t>postupy</w:t>
      </w:r>
      <w:r w:rsidR="000D1885" w:rsidRPr="00DA016C">
        <w:t xml:space="preserve"> </w:t>
      </w:r>
      <w:r w:rsidR="00013A28" w:rsidRPr="00DA016C">
        <w:t>na</w:t>
      </w:r>
      <w:r w:rsidRPr="00DA016C">
        <w:t xml:space="preserve"> </w:t>
      </w:r>
      <w:r w:rsidR="000D1885" w:rsidRPr="00DA016C">
        <w:t>nov</w:t>
      </w:r>
      <w:r w:rsidR="000D1885">
        <w:t>ě</w:t>
      </w:r>
      <w:r w:rsidR="000D1885" w:rsidRPr="00DA016C">
        <w:t xml:space="preserve"> </w:t>
      </w:r>
      <w:r w:rsidRPr="00DA016C">
        <w:t>fungující systém</w:t>
      </w:r>
      <w:r w:rsidR="00013A28" w:rsidRPr="00DA016C">
        <w:t xml:space="preserve"> </w:t>
      </w:r>
      <w:r w:rsidR="00836795" w:rsidRPr="00DA016C">
        <w:t xml:space="preserve">zahrnující </w:t>
      </w:r>
      <w:r w:rsidR="000D1885">
        <w:t xml:space="preserve">registraci nových odrůd, certifikaci rozmnožovacího materiálu a úřední kontrolu oběhu tohoto materiálu </w:t>
      </w:r>
      <w:r w:rsidRPr="00DA016C">
        <w:t xml:space="preserve">na požadované úrovni s minimálními náklady a bez </w:t>
      </w:r>
      <w:r w:rsidR="000D1885">
        <w:t>negativních dopadů</w:t>
      </w:r>
      <w:r w:rsidRPr="00DA016C">
        <w:t>.</w:t>
      </w:r>
    </w:p>
    <w:p w14:paraId="3710D98A" w14:textId="6CC425FE" w:rsidR="007D560A" w:rsidRPr="00D347FE" w:rsidRDefault="00195E46" w:rsidP="00D347FE">
      <w:pPr>
        <w:widowControl w:val="0"/>
        <w:spacing w:after="80" w:line="276" w:lineRule="auto"/>
        <w:jc w:val="both"/>
      </w:pPr>
      <w:r w:rsidRPr="00DA016C">
        <w:t xml:space="preserve">Čeští odborníci jsou schopni nabídnout své zkušenosti a pomoc </w:t>
      </w:r>
      <w:r>
        <w:t xml:space="preserve">při </w:t>
      </w:r>
      <w:r w:rsidRPr="00DA016C">
        <w:t>přij</w:t>
      </w:r>
      <w:r>
        <w:t>etí</w:t>
      </w:r>
      <w:r w:rsidRPr="00DA016C">
        <w:t xml:space="preserve"> systém</w:t>
      </w:r>
      <w:r>
        <w:t>u</w:t>
      </w:r>
      <w:r w:rsidRPr="00DA016C">
        <w:t xml:space="preserve"> certifikace rozmnožovacího materiálu rostlin a </w:t>
      </w:r>
      <w:r w:rsidRPr="003917FA">
        <w:t>je</w:t>
      </w:r>
      <w:r>
        <w:t>ho</w:t>
      </w:r>
      <w:r w:rsidRPr="00DA016C">
        <w:t xml:space="preserve"> kontroly v Bosně a Hercegovině. </w:t>
      </w:r>
      <w:r w:rsidRPr="002D727D">
        <w:t xml:space="preserve">Ústřední kontrolní a zkušební ústav zemědělský </w:t>
      </w:r>
      <w:r>
        <w:t>(</w:t>
      </w:r>
      <w:r w:rsidRPr="002D727D">
        <w:t>Česk</w:t>
      </w:r>
      <w:r>
        <w:t>á</w:t>
      </w:r>
      <w:r w:rsidRPr="002D727D">
        <w:t xml:space="preserve"> republik</w:t>
      </w:r>
      <w:r>
        <w:t>a)</w:t>
      </w:r>
      <w:r w:rsidRPr="00DA016C">
        <w:t xml:space="preserve"> má rozsáhlé zkušenosti s podobnými typy projektů. Všichni experti zapojení do tohoto projektu mají zkušenosti z pracovních orgánů Rady a Komise EU a již v minulosti se podíleli na řešení evropských projektů v oblasti zemědělství. </w:t>
      </w:r>
    </w:p>
    <w:p w14:paraId="1C765302" w14:textId="77777777" w:rsidR="0073264D" w:rsidRPr="000A1022" w:rsidRDefault="0073264D" w:rsidP="006B640B">
      <w:pPr>
        <w:pStyle w:val="Nadpis1"/>
        <w:spacing w:before="600" w:after="240"/>
        <w:ind w:left="431" w:hanging="431"/>
      </w:pPr>
      <w:bookmarkStart w:id="8" w:name="_Toc370471077"/>
      <w:r w:rsidRPr="000A1022">
        <w:lastRenderedPageBreak/>
        <w:t>Analýza zainteresovaných stran</w:t>
      </w:r>
      <w:bookmarkEnd w:id="8"/>
    </w:p>
    <w:p w14:paraId="025B3F55" w14:textId="77777777" w:rsidR="0073264D" w:rsidRPr="007E7BCE" w:rsidRDefault="0073264D" w:rsidP="00787D4B">
      <w:pPr>
        <w:pStyle w:val="Nadpis2"/>
        <w:spacing w:before="360" w:after="120"/>
        <w:ind w:left="578" w:hanging="578"/>
        <w:rPr>
          <w:rFonts w:ascii="Cambria" w:hAnsi="Cambria"/>
          <w:sz w:val="26"/>
          <w:szCs w:val="26"/>
        </w:rPr>
      </w:pPr>
      <w:bookmarkStart w:id="9" w:name="_Toc370471078"/>
      <w:r w:rsidRPr="007E7BCE">
        <w:rPr>
          <w:rFonts w:ascii="Cambria" w:hAnsi="Cambria"/>
          <w:sz w:val="26"/>
          <w:szCs w:val="26"/>
        </w:rPr>
        <w:t>Zainteresované subjekty</w:t>
      </w:r>
      <w:r w:rsidR="00383EA8" w:rsidRPr="007E7BCE">
        <w:rPr>
          <w:rFonts w:ascii="Cambria" w:hAnsi="Cambria"/>
          <w:sz w:val="26"/>
          <w:szCs w:val="26"/>
        </w:rPr>
        <w:t>/partneři projektu</w:t>
      </w:r>
      <w:bookmarkEnd w:id="9"/>
    </w:p>
    <w:p w14:paraId="5D1F7522" w14:textId="2DACD256" w:rsidR="00CD077E" w:rsidRDefault="00195E46" w:rsidP="008A49AC">
      <w:pPr>
        <w:widowControl w:val="0"/>
        <w:spacing w:after="120" w:line="276" w:lineRule="auto"/>
        <w:jc w:val="both"/>
      </w:pPr>
      <w:r>
        <w:t>H</w:t>
      </w:r>
      <w:r w:rsidRPr="00FF0C23">
        <w:t>lavním partnerem</w:t>
      </w:r>
      <w:r>
        <w:t xml:space="preserve"> ze země příjemce</w:t>
      </w:r>
      <w:r w:rsidDel="00974970">
        <w:t xml:space="preserve"> </w:t>
      </w:r>
      <w:r w:rsidR="00B563B7">
        <w:t xml:space="preserve">bude </w:t>
      </w:r>
      <w:r w:rsidR="00AB7032" w:rsidRPr="00FF0C23">
        <w:t xml:space="preserve">Ministerstvo zahraničního </w:t>
      </w:r>
      <w:r w:rsidR="009C14B3">
        <w:t>obchodu a ekonomických vztahů Ba</w:t>
      </w:r>
      <w:r w:rsidR="00AB7032" w:rsidRPr="00FF0C23">
        <w:t xml:space="preserve">H </w:t>
      </w:r>
      <w:r w:rsidR="00AB7032">
        <w:t>–</w:t>
      </w:r>
      <w:r w:rsidR="00AB7032" w:rsidRPr="00FF0C23">
        <w:t xml:space="preserve"> </w:t>
      </w:r>
      <w:r w:rsidR="00AB7032">
        <w:t>Rostlinolékařská s</w:t>
      </w:r>
      <w:r w:rsidR="00AB7032" w:rsidRPr="00FF0C23">
        <w:t xml:space="preserve">práva </w:t>
      </w:r>
      <w:r w:rsidR="00AB7032">
        <w:t>Bosny a </w:t>
      </w:r>
      <w:r w:rsidR="00AB7032" w:rsidRPr="00FF0C23">
        <w:t>Hercegoviny (PHPA</w:t>
      </w:r>
      <w:r w:rsidR="009C14B3">
        <w:t>).</w:t>
      </w:r>
      <w:r w:rsidR="00AB7032" w:rsidRPr="00FF0C23">
        <w:t xml:space="preserve"> PHPA je zodpovědn</w:t>
      </w:r>
      <w:r w:rsidR="00AB7032">
        <w:t>á</w:t>
      </w:r>
      <w:r w:rsidR="00AB7032" w:rsidRPr="00FF0C23">
        <w:t xml:space="preserve"> za tvorbu politiky v oblasti ochrany zdraví rostlin</w:t>
      </w:r>
      <w:r w:rsidR="0007681A">
        <w:t xml:space="preserve"> včetně</w:t>
      </w:r>
      <w:r w:rsidR="0007681A" w:rsidRPr="00FF0C23">
        <w:t xml:space="preserve"> </w:t>
      </w:r>
      <w:r w:rsidR="0007681A">
        <w:t>přípravy</w:t>
      </w:r>
      <w:r w:rsidR="0007681A" w:rsidRPr="00FF0C23">
        <w:t xml:space="preserve"> </w:t>
      </w:r>
      <w:r w:rsidR="00AB7032" w:rsidRPr="00FF0C23">
        <w:t>návrh</w:t>
      </w:r>
      <w:r w:rsidR="00AB7032">
        <w:t>ů</w:t>
      </w:r>
      <w:r w:rsidR="00AB7032" w:rsidRPr="00FF0C23">
        <w:t xml:space="preserve"> </w:t>
      </w:r>
      <w:r w:rsidR="0007681A">
        <w:t>legislativního rámce</w:t>
      </w:r>
      <w:r w:rsidR="0007681A" w:rsidRPr="00FF0C23">
        <w:t xml:space="preserve"> </w:t>
      </w:r>
      <w:r w:rsidR="00AB7032" w:rsidRPr="00FF0C23">
        <w:t xml:space="preserve">a </w:t>
      </w:r>
      <w:r w:rsidR="00AB7032">
        <w:t>zajištění</w:t>
      </w:r>
      <w:r w:rsidR="00AB7032" w:rsidRPr="00FF0C23">
        <w:t xml:space="preserve"> ochran</w:t>
      </w:r>
      <w:r w:rsidR="00AB7032">
        <w:t>y</w:t>
      </w:r>
      <w:r w:rsidR="00AB7032" w:rsidRPr="00FF0C23">
        <w:t xml:space="preserve"> zdraví rostlin na celém </w:t>
      </w:r>
      <w:r w:rsidR="009C14B3">
        <w:t>území Ba</w:t>
      </w:r>
      <w:r w:rsidR="00AB7032">
        <w:t>H</w:t>
      </w:r>
      <w:r w:rsidR="00AB7032" w:rsidRPr="00FF0C23">
        <w:t>. Je také zodpovědn</w:t>
      </w:r>
      <w:r w:rsidR="00AB7032">
        <w:t>á</w:t>
      </w:r>
      <w:r w:rsidR="00AB7032" w:rsidRPr="00FF0C23">
        <w:t xml:space="preserve"> za </w:t>
      </w:r>
      <w:r w:rsidR="0007681A">
        <w:t xml:space="preserve">registraci subjektů (dodavatelé/odběratelé), </w:t>
      </w:r>
      <w:r w:rsidR="00AB7032" w:rsidRPr="00FF0C23">
        <w:t>kontrol</w:t>
      </w:r>
      <w:r w:rsidR="0007681A">
        <w:t>u</w:t>
      </w:r>
      <w:r w:rsidR="00AB7032" w:rsidRPr="00FF0C23">
        <w:t xml:space="preserve"> přípravků na ochranu rostlin</w:t>
      </w:r>
      <w:r w:rsidR="0007681A">
        <w:t xml:space="preserve"> vč</w:t>
      </w:r>
      <w:r w:rsidR="00A80CF5">
        <w:t>et</w:t>
      </w:r>
      <w:r w:rsidR="0007681A">
        <w:t>ně</w:t>
      </w:r>
      <w:r w:rsidR="00AB7032" w:rsidRPr="00FF0C23">
        <w:t xml:space="preserve"> </w:t>
      </w:r>
      <w:r w:rsidR="00AB7032">
        <w:t>jejich reziduí</w:t>
      </w:r>
      <w:r w:rsidR="00684A97">
        <w:t>.</w:t>
      </w:r>
      <w:r w:rsidR="00AB7032" w:rsidRPr="00FF0C23">
        <w:t xml:space="preserve"> </w:t>
      </w:r>
    </w:p>
    <w:p w14:paraId="403C4692" w14:textId="6E1F4263" w:rsidR="00CD077E" w:rsidRDefault="00CD077E" w:rsidP="008A49AC">
      <w:pPr>
        <w:widowControl w:val="0"/>
        <w:spacing w:after="120" w:line="276" w:lineRule="auto"/>
        <w:jc w:val="both"/>
      </w:pPr>
      <w:r>
        <w:t>PHPA je rozdělena do pěti oddělení s celkovým počtem cca 30 zaměstnanců. ÚKZÚZ bude blízce spolupracovat se dvěma odděleními –</w:t>
      </w:r>
      <w:r w:rsidRPr="00776023">
        <w:t xml:space="preserve"> </w:t>
      </w:r>
      <w:r>
        <w:t>Oddělením ochrany rostlin</w:t>
      </w:r>
      <w:r w:rsidRPr="00776023">
        <w:t xml:space="preserve"> (</w:t>
      </w:r>
      <w:proofErr w:type="spellStart"/>
      <w:r w:rsidRPr="00776023">
        <w:rPr>
          <w:color w:val="0C0C0E"/>
        </w:rPr>
        <w:t>Odjeljenje</w:t>
      </w:r>
      <w:proofErr w:type="spellEnd"/>
      <w:r w:rsidRPr="00776023">
        <w:rPr>
          <w:color w:val="0C0C0E"/>
        </w:rPr>
        <w:t xml:space="preserve"> za </w:t>
      </w:r>
      <w:proofErr w:type="spellStart"/>
      <w:r w:rsidRPr="00776023">
        <w:rPr>
          <w:color w:val="0C0C0E"/>
        </w:rPr>
        <w:t>zaštitu</w:t>
      </w:r>
      <w:proofErr w:type="spellEnd"/>
      <w:r w:rsidRPr="00776023">
        <w:rPr>
          <w:color w:val="0C0C0E"/>
        </w:rPr>
        <w:t xml:space="preserve"> </w:t>
      </w:r>
      <w:proofErr w:type="spellStart"/>
      <w:r w:rsidRPr="00776023">
        <w:rPr>
          <w:color w:val="0C0C0E"/>
        </w:rPr>
        <w:t>zdravlja</w:t>
      </w:r>
      <w:proofErr w:type="spellEnd"/>
      <w:r w:rsidRPr="00776023">
        <w:rPr>
          <w:color w:val="0C0C0E"/>
        </w:rPr>
        <w:t xml:space="preserve"> </w:t>
      </w:r>
      <w:proofErr w:type="spellStart"/>
      <w:r w:rsidRPr="00776023">
        <w:rPr>
          <w:color w:val="0C0C0E"/>
        </w:rPr>
        <w:t>bilja</w:t>
      </w:r>
      <w:proofErr w:type="spellEnd"/>
      <w:r w:rsidRPr="00776023">
        <w:t xml:space="preserve">) </w:t>
      </w:r>
      <w:r>
        <w:t xml:space="preserve">a Oddělením osiva, sadby a ochrany odrůd </w:t>
      </w:r>
      <w:r w:rsidRPr="00776023">
        <w:t>(</w:t>
      </w:r>
      <w:proofErr w:type="spellStart"/>
      <w:r w:rsidRPr="00776023">
        <w:rPr>
          <w:color w:val="0C0C0E"/>
        </w:rPr>
        <w:t>Odjeljenje</w:t>
      </w:r>
      <w:proofErr w:type="spellEnd"/>
      <w:r w:rsidRPr="00776023">
        <w:rPr>
          <w:color w:val="0C0C0E"/>
        </w:rPr>
        <w:t xml:space="preserve"> za </w:t>
      </w:r>
      <w:proofErr w:type="spellStart"/>
      <w:r w:rsidRPr="00776023">
        <w:rPr>
          <w:color w:val="0C0C0E"/>
        </w:rPr>
        <w:t>sjeme</w:t>
      </w:r>
      <w:proofErr w:type="spellEnd"/>
      <w:r w:rsidRPr="00776023">
        <w:rPr>
          <w:color w:val="0C0C0E"/>
        </w:rPr>
        <w:t xml:space="preserve"> i </w:t>
      </w:r>
      <w:proofErr w:type="spellStart"/>
      <w:r w:rsidRPr="00776023">
        <w:rPr>
          <w:color w:val="0C0C0E"/>
        </w:rPr>
        <w:t>sadni</w:t>
      </w:r>
      <w:proofErr w:type="spellEnd"/>
      <w:r w:rsidRPr="00776023">
        <w:rPr>
          <w:color w:val="0C0C0E"/>
        </w:rPr>
        <w:t xml:space="preserve"> </w:t>
      </w:r>
      <w:proofErr w:type="spellStart"/>
      <w:r w:rsidRPr="00776023">
        <w:rPr>
          <w:color w:val="0C0C0E"/>
        </w:rPr>
        <w:t>materijal</w:t>
      </w:r>
      <w:proofErr w:type="spellEnd"/>
      <w:r w:rsidRPr="00776023">
        <w:rPr>
          <w:color w:val="0C0C0E"/>
        </w:rPr>
        <w:t xml:space="preserve"> </w:t>
      </w:r>
      <w:proofErr w:type="spellStart"/>
      <w:r w:rsidRPr="00776023">
        <w:rPr>
          <w:color w:val="0C0C0E"/>
        </w:rPr>
        <w:t>poljoprivrednog</w:t>
      </w:r>
      <w:proofErr w:type="spellEnd"/>
      <w:r w:rsidRPr="00776023">
        <w:rPr>
          <w:color w:val="0C0C0E"/>
        </w:rPr>
        <w:t xml:space="preserve"> </w:t>
      </w:r>
      <w:proofErr w:type="spellStart"/>
      <w:r w:rsidRPr="00776023">
        <w:rPr>
          <w:color w:val="0C0C0E"/>
        </w:rPr>
        <w:t>bilja</w:t>
      </w:r>
      <w:proofErr w:type="spellEnd"/>
      <w:r w:rsidRPr="00776023">
        <w:rPr>
          <w:color w:val="0C0C0E"/>
        </w:rPr>
        <w:t xml:space="preserve"> i </w:t>
      </w:r>
      <w:proofErr w:type="spellStart"/>
      <w:r w:rsidRPr="00776023">
        <w:rPr>
          <w:color w:val="0C0C0E"/>
        </w:rPr>
        <w:t>zaštitu</w:t>
      </w:r>
      <w:proofErr w:type="spellEnd"/>
      <w:r w:rsidRPr="00776023">
        <w:rPr>
          <w:color w:val="0C0C0E"/>
        </w:rPr>
        <w:t xml:space="preserve"> </w:t>
      </w:r>
      <w:proofErr w:type="spellStart"/>
      <w:r w:rsidRPr="00776023">
        <w:rPr>
          <w:color w:val="0C0C0E"/>
        </w:rPr>
        <w:t>sorti</w:t>
      </w:r>
      <w:proofErr w:type="spellEnd"/>
      <w:r w:rsidRPr="00776023">
        <w:t>)</w:t>
      </w:r>
      <w:r>
        <w:t xml:space="preserve">. Celkově se jedná o cca 10 zaměstnanců, jejichž kompetence pokrývají rozsah projektu. </w:t>
      </w:r>
      <w:r w:rsidR="0056059B">
        <w:t>PHPA je vybavena standardně včetně vozového parku.</w:t>
      </w:r>
    </w:p>
    <w:p w14:paraId="4C2432F3" w14:textId="105E9F9E" w:rsidR="00CD077E" w:rsidRDefault="00CD077E" w:rsidP="008A49AC">
      <w:pPr>
        <w:widowControl w:val="0"/>
        <w:spacing w:after="120" w:line="276" w:lineRule="auto"/>
        <w:jc w:val="both"/>
      </w:pPr>
      <w:r>
        <w:t>Všichni zaměstnanci</w:t>
      </w:r>
      <w:r w:rsidR="0056059B">
        <w:t xml:space="preserve"> jsou vysokoškolsky vzdělaní a</w:t>
      </w:r>
      <w:r>
        <w:t xml:space="preserve"> pravidelně </w:t>
      </w:r>
      <w:r w:rsidR="0056059B">
        <w:t xml:space="preserve">se </w:t>
      </w:r>
      <w:r>
        <w:t xml:space="preserve">účastní </w:t>
      </w:r>
      <w:r w:rsidR="0056059B">
        <w:t xml:space="preserve">odborných </w:t>
      </w:r>
      <w:r>
        <w:t>semi</w:t>
      </w:r>
      <w:r w:rsidR="0056059B">
        <w:t xml:space="preserve">nářů, včetně mezinárodních (např. TAIEX). PHPA se zúčastnilo jako příjemce pomoci několika mezinárodních projektů (např. </w:t>
      </w:r>
      <w:r w:rsidR="0056059B" w:rsidRPr="00776023">
        <w:rPr>
          <w:rStyle w:val="Siln"/>
          <w:b w:val="0"/>
          <w:color w:val="000000"/>
        </w:rPr>
        <w:t xml:space="preserve">BA 09 IB AG 01 TWL </w:t>
      </w:r>
      <w:r w:rsidR="00776023">
        <w:rPr>
          <w:rStyle w:val="Siln"/>
          <w:b w:val="0"/>
          <w:color w:val="000000"/>
        </w:rPr>
        <w:t>„</w:t>
      </w:r>
      <w:proofErr w:type="spellStart"/>
      <w:r w:rsidR="0056059B" w:rsidRPr="00776023">
        <w:rPr>
          <w:rStyle w:val="Siln"/>
          <w:b w:val="0"/>
          <w:color w:val="000000"/>
        </w:rPr>
        <w:t>Strengthening</w:t>
      </w:r>
      <w:proofErr w:type="spellEnd"/>
      <w:r w:rsidR="0056059B" w:rsidRPr="00776023">
        <w:rPr>
          <w:rStyle w:val="Siln"/>
          <w:b w:val="0"/>
          <w:color w:val="000000"/>
        </w:rPr>
        <w:t xml:space="preserve"> </w:t>
      </w:r>
      <w:proofErr w:type="spellStart"/>
      <w:r w:rsidR="0056059B" w:rsidRPr="00776023">
        <w:rPr>
          <w:rStyle w:val="Siln"/>
          <w:b w:val="0"/>
          <w:color w:val="000000"/>
        </w:rPr>
        <w:t>of</w:t>
      </w:r>
      <w:proofErr w:type="spellEnd"/>
      <w:r w:rsidR="0056059B" w:rsidRPr="00776023">
        <w:rPr>
          <w:rStyle w:val="Siln"/>
          <w:b w:val="0"/>
          <w:color w:val="000000"/>
        </w:rPr>
        <w:t xml:space="preserve"> </w:t>
      </w:r>
      <w:proofErr w:type="spellStart"/>
      <w:r w:rsidR="0056059B" w:rsidRPr="00776023">
        <w:rPr>
          <w:rStyle w:val="Siln"/>
          <w:b w:val="0"/>
          <w:color w:val="000000"/>
        </w:rPr>
        <w:t>the</w:t>
      </w:r>
      <w:proofErr w:type="spellEnd"/>
      <w:r w:rsidR="0056059B" w:rsidRPr="00776023">
        <w:rPr>
          <w:rStyle w:val="Siln"/>
          <w:b w:val="0"/>
          <w:color w:val="000000"/>
        </w:rPr>
        <w:t xml:space="preserve"> </w:t>
      </w:r>
      <w:proofErr w:type="spellStart"/>
      <w:r w:rsidR="0056059B" w:rsidRPr="00776023">
        <w:rPr>
          <w:rStyle w:val="Siln"/>
          <w:b w:val="0"/>
          <w:color w:val="000000"/>
        </w:rPr>
        <w:t>capacities</w:t>
      </w:r>
      <w:proofErr w:type="spellEnd"/>
      <w:r w:rsidR="0056059B" w:rsidRPr="00776023">
        <w:rPr>
          <w:rStyle w:val="Siln"/>
          <w:b w:val="0"/>
          <w:color w:val="000000"/>
        </w:rPr>
        <w:t xml:space="preserve"> </w:t>
      </w:r>
      <w:proofErr w:type="spellStart"/>
      <w:r w:rsidR="0056059B" w:rsidRPr="00776023">
        <w:rPr>
          <w:rStyle w:val="Siln"/>
          <w:b w:val="0"/>
          <w:color w:val="000000"/>
        </w:rPr>
        <w:t>of</w:t>
      </w:r>
      <w:proofErr w:type="spellEnd"/>
      <w:r w:rsidR="0056059B" w:rsidRPr="00776023">
        <w:rPr>
          <w:rStyle w:val="Siln"/>
          <w:b w:val="0"/>
          <w:color w:val="000000"/>
        </w:rPr>
        <w:t xml:space="preserve"> </w:t>
      </w:r>
      <w:proofErr w:type="spellStart"/>
      <w:r w:rsidR="0056059B" w:rsidRPr="00776023">
        <w:rPr>
          <w:rStyle w:val="Siln"/>
          <w:b w:val="0"/>
          <w:color w:val="000000"/>
        </w:rPr>
        <w:t>the</w:t>
      </w:r>
      <w:proofErr w:type="spellEnd"/>
      <w:r w:rsidR="0056059B" w:rsidRPr="00776023">
        <w:rPr>
          <w:rStyle w:val="Siln"/>
          <w:b w:val="0"/>
          <w:color w:val="000000"/>
        </w:rPr>
        <w:t xml:space="preserve"> </w:t>
      </w:r>
      <w:proofErr w:type="spellStart"/>
      <w:r w:rsidR="0056059B" w:rsidRPr="00776023">
        <w:rPr>
          <w:rStyle w:val="Siln"/>
          <w:b w:val="0"/>
          <w:color w:val="000000"/>
        </w:rPr>
        <w:t>phytosanitary</w:t>
      </w:r>
      <w:proofErr w:type="spellEnd"/>
      <w:r w:rsidR="0056059B" w:rsidRPr="00776023">
        <w:rPr>
          <w:rStyle w:val="Siln"/>
          <w:b w:val="0"/>
          <w:color w:val="000000"/>
        </w:rPr>
        <w:t xml:space="preserve"> </w:t>
      </w:r>
      <w:proofErr w:type="spellStart"/>
      <w:r w:rsidR="0056059B" w:rsidRPr="00776023">
        <w:rPr>
          <w:rStyle w:val="Siln"/>
          <w:b w:val="0"/>
          <w:color w:val="000000"/>
        </w:rPr>
        <w:t>services</w:t>
      </w:r>
      <w:proofErr w:type="spellEnd"/>
      <w:r w:rsidR="0056059B" w:rsidRPr="00776023">
        <w:rPr>
          <w:rStyle w:val="Siln"/>
          <w:b w:val="0"/>
          <w:color w:val="000000"/>
        </w:rPr>
        <w:t xml:space="preserve"> in BiH" (IPA)).</w:t>
      </w:r>
      <w:r w:rsidR="0056059B">
        <w:rPr>
          <w:rStyle w:val="Siln"/>
          <w:rFonts w:ascii="Arial Narrow" w:hAnsi="Arial Narrow"/>
          <w:color w:val="000000"/>
        </w:rPr>
        <w:t xml:space="preserve">  </w:t>
      </w:r>
    </w:p>
    <w:p w14:paraId="01995DEC" w14:textId="1ADD8B78" w:rsidR="00AB7032" w:rsidRDefault="00AB7032" w:rsidP="008A49AC">
      <w:pPr>
        <w:widowControl w:val="0"/>
        <w:spacing w:after="120" w:line="276" w:lineRule="auto"/>
        <w:jc w:val="both"/>
      </w:pPr>
      <w:r w:rsidRPr="00FF0C23">
        <w:t xml:space="preserve">PHPA bude úzce spolupracovat s </w:t>
      </w:r>
      <w:proofErr w:type="gramStart"/>
      <w:r w:rsidRPr="00FF0C23">
        <w:t>FARMA</w:t>
      </w:r>
      <w:proofErr w:type="gramEnd"/>
      <w:r w:rsidRPr="00FF0C23">
        <w:t xml:space="preserve"> </w:t>
      </w:r>
      <w:r>
        <w:t>projektem</w:t>
      </w:r>
      <w:r w:rsidRPr="00FF0C23">
        <w:t xml:space="preserve"> a</w:t>
      </w:r>
      <w:r>
        <w:t> s </w:t>
      </w:r>
      <w:r w:rsidRPr="00FF0C23">
        <w:t>ÚKZÚZ k zajištění hladkého pr</w:t>
      </w:r>
      <w:r>
        <w:t>ůběhu</w:t>
      </w:r>
      <w:r w:rsidRPr="00FF0C23">
        <w:t xml:space="preserve"> tohoto společného projektu.</w:t>
      </w:r>
    </w:p>
    <w:p w14:paraId="73B4E97F" w14:textId="77777777" w:rsidR="00AB7032" w:rsidRDefault="00AB7032" w:rsidP="008A49AC">
      <w:pPr>
        <w:spacing w:after="120" w:line="276" w:lineRule="auto"/>
        <w:jc w:val="both"/>
      </w:pPr>
      <w:r>
        <w:t>Úloha</w:t>
      </w:r>
      <w:r w:rsidRPr="003D5A80">
        <w:t xml:space="preserve"> a </w:t>
      </w:r>
      <w:r>
        <w:t>povinnosti</w:t>
      </w:r>
      <w:r w:rsidRPr="003D5A80">
        <w:t xml:space="preserve"> </w:t>
      </w:r>
      <w:r>
        <w:t>PHPA</w:t>
      </w:r>
      <w:r w:rsidRPr="003D5A80">
        <w:t xml:space="preserve"> </w:t>
      </w:r>
      <w:r>
        <w:t xml:space="preserve">v tomto projektu </w:t>
      </w:r>
      <w:r w:rsidRPr="003D5A80">
        <w:t>jsou následující:</w:t>
      </w:r>
    </w:p>
    <w:p w14:paraId="7E6E97E6" w14:textId="77777777" w:rsidR="00AB7032" w:rsidRDefault="00AB7032" w:rsidP="007E7BCE">
      <w:pPr>
        <w:numPr>
          <w:ilvl w:val="0"/>
          <w:numId w:val="1"/>
        </w:numPr>
        <w:spacing w:after="120" w:line="276" w:lineRule="auto"/>
        <w:ind w:left="714" w:hanging="357"/>
        <w:jc w:val="both"/>
      </w:pPr>
      <w:r>
        <w:t>p</w:t>
      </w:r>
      <w:r w:rsidRPr="00652225">
        <w:t>oskytne</w:t>
      </w:r>
      <w:r w:rsidRPr="003D5A80">
        <w:t xml:space="preserve"> projektov</w:t>
      </w:r>
      <w:r>
        <w:t>ému</w:t>
      </w:r>
      <w:r w:rsidRPr="003D5A80">
        <w:t xml:space="preserve"> tým</w:t>
      </w:r>
      <w:r>
        <w:t>u</w:t>
      </w:r>
      <w:r w:rsidRPr="003D5A80">
        <w:t xml:space="preserve"> </w:t>
      </w:r>
      <w:r>
        <w:t>všechny</w:t>
      </w:r>
      <w:r w:rsidRPr="003D5A80">
        <w:t xml:space="preserve"> </w:t>
      </w:r>
      <w:r w:rsidR="001C6493" w:rsidRPr="003D5A80">
        <w:t xml:space="preserve">relevantní </w:t>
      </w:r>
      <w:r w:rsidRPr="003D5A80">
        <w:t>informace pro realizaci projektu</w:t>
      </w:r>
      <w:r>
        <w:t>, které</w:t>
      </w:r>
      <w:r w:rsidRPr="003D5A80">
        <w:t xml:space="preserve"> j</w:t>
      </w:r>
      <w:r>
        <w:t>sou</w:t>
      </w:r>
      <w:r w:rsidRPr="003D5A80">
        <w:t xml:space="preserve"> k</w:t>
      </w:r>
      <w:r>
        <w:t> </w:t>
      </w:r>
      <w:r w:rsidRPr="003D5A80">
        <w:t xml:space="preserve">dispozici a </w:t>
      </w:r>
      <w:r>
        <w:t>na které se nevztahují</w:t>
      </w:r>
      <w:r w:rsidRPr="003D5A80">
        <w:t xml:space="preserve"> žádné dohod</w:t>
      </w:r>
      <w:r>
        <w:t>y</w:t>
      </w:r>
      <w:r w:rsidRPr="003D5A80">
        <w:t xml:space="preserve"> o zachování důvěrnosti</w:t>
      </w:r>
      <w:r>
        <w:t>,</w:t>
      </w:r>
      <w:r w:rsidRPr="003D5A80">
        <w:t xml:space="preserve"> a bud</w:t>
      </w:r>
      <w:r>
        <w:t>e</w:t>
      </w:r>
      <w:r w:rsidRPr="003D5A80">
        <w:t xml:space="preserve"> plně spolupracovat s</w:t>
      </w:r>
      <w:r w:rsidR="001C6493">
        <w:t xml:space="preserve"> českými </w:t>
      </w:r>
      <w:r>
        <w:t>experty</w:t>
      </w:r>
      <w:r w:rsidRPr="003D5A80">
        <w:t>, aby bylo dosaženo co nejlepších výsledků;</w:t>
      </w:r>
    </w:p>
    <w:p w14:paraId="73C65FCB" w14:textId="7921B8C7" w:rsidR="00AB7032" w:rsidRDefault="00AB7032" w:rsidP="007E7BCE">
      <w:pPr>
        <w:numPr>
          <w:ilvl w:val="0"/>
          <w:numId w:val="1"/>
        </w:numPr>
        <w:spacing w:after="120" w:line="276" w:lineRule="auto"/>
        <w:ind w:left="714" w:hanging="357"/>
        <w:jc w:val="both"/>
      </w:pPr>
      <w:r w:rsidRPr="003D5A80">
        <w:t>zajistí, aby je</w:t>
      </w:r>
      <w:r w:rsidR="00323B3B">
        <w:t>jí</w:t>
      </w:r>
      <w:r w:rsidRPr="003D5A80">
        <w:t xml:space="preserve"> zaměstnanci vždy </w:t>
      </w:r>
      <w:r>
        <w:t xml:space="preserve">spolupracovali </w:t>
      </w:r>
      <w:r w:rsidRPr="003D5A80">
        <w:t>s</w:t>
      </w:r>
      <w:r>
        <w:t> </w:t>
      </w:r>
      <w:r w:rsidR="001C6493">
        <w:t>vedením</w:t>
      </w:r>
      <w:r>
        <w:t xml:space="preserve"> projektu</w:t>
      </w:r>
      <w:r w:rsidRPr="003D5A80">
        <w:t xml:space="preserve"> </w:t>
      </w:r>
      <w:r>
        <w:t>a experty</w:t>
      </w:r>
      <w:r w:rsidRPr="003D5A80">
        <w:t xml:space="preserve"> v souvislosti s realizací projektu;</w:t>
      </w:r>
    </w:p>
    <w:p w14:paraId="1C55D7B9" w14:textId="77777777" w:rsidR="00AB7032" w:rsidRDefault="00AB7032" w:rsidP="007E7BCE">
      <w:pPr>
        <w:numPr>
          <w:ilvl w:val="0"/>
          <w:numId w:val="1"/>
        </w:numPr>
        <w:spacing w:after="120" w:line="276" w:lineRule="auto"/>
        <w:ind w:left="714" w:hanging="357"/>
        <w:jc w:val="both"/>
      </w:pPr>
      <w:r>
        <w:t>poskytne</w:t>
      </w:r>
      <w:r w:rsidRPr="003D5A80">
        <w:t xml:space="preserve"> pomoc při získávání </w:t>
      </w:r>
      <w:r w:rsidR="0007681A">
        <w:t>národních</w:t>
      </w:r>
      <w:r w:rsidR="0007681A" w:rsidRPr="003D5A80">
        <w:t xml:space="preserve"> </w:t>
      </w:r>
      <w:r w:rsidRPr="003D5A80">
        <w:t>zákon</w:t>
      </w:r>
      <w:r>
        <w:t>ů</w:t>
      </w:r>
      <w:r w:rsidRPr="003D5A80">
        <w:t xml:space="preserve">, </w:t>
      </w:r>
      <w:r>
        <w:t>nařízení</w:t>
      </w:r>
      <w:r w:rsidRPr="003D5A80">
        <w:t xml:space="preserve"> a </w:t>
      </w:r>
      <w:r>
        <w:t>informací</w:t>
      </w:r>
      <w:r w:rsidRPr="003D5A80">
        <w:t>, které mohou mít vliv na</w:t>
      </w:r>
      <w:r>
        <w:t xml:space="preserve"> činnost experta při plnění jeho </w:t>
      </w:r>
      <w:r w:rsidRPr="003D5A80">
        <w:t>povinností;</w:t>
      </w:r>
    </w:p>
    <w:p w14:paraId="24419A1E" w14:textId="69B97482" w:rsidR="00AB7032" w:rsidRDefault="00AB7032" w:rsidP="007E7BCE">
      <w:pPr>
        <w:numPr>
          <w:ilvl w:val="0"/>
          <w:numId w:val="1"/>
        </w:numPr>
        <w:spacing w:after="120" w:line="276" w:lineRule="auto"/>
        <w:ind w:left="714" w:hanging="357"/>
        <w:jc w:val="both"/>
      </w:pPr>
      <w:r>
        <w:t xml:space="preserve">pomůže s výběrem </w:t>
      </w:r>
      <w:r w:rsidRPr="003D5A80">
        <w:t xml:space="preserve">vhodných kancelářských prostor pro </w:t>
      </w:r>
      <w:r>
        <w:t>experty</w:t>
      </w:r>
      <w:r w:rsidR="00323B3B" w:rsidRPr="003D5A80">
        <w:t>;</w:t>
      </w:r>
      <w:r w:rsidRPr="003D5A80">
        <w:t xml:space="preserve"> </w:t>
      </w:r>
    </w:p>
    <w:p w14:paraId="03C23670" w14:textId="15EB90A4" w:rsidR="00AB7032" w:rsidRDefault="00AB7032" w:rsidP="007E7BCE">
      <w:pPr>
        <w:numPr>
          <w:ilvl w:val="0"/>
          <w:numId w:val="1"/>
        </w:numPr>
        <w:spacing w:after="120" w:line="276" w:lineRule="auto"/>
        <w:ind w:left="714" w:hanging="357"/>
        <w:jc w:val="both"/>
      </w:pPr>
      <w:r w:rsidRPr="003D5A80">
        <w:t xml:space="preserve">bude </w:t>
      </w:r>
      <w:r>
        <w:t xml:space="preserve">se </w:t>
      </w:r>
      <w:r w:rsidRPr="003D5A80">
        <w:t>podílet na přípravě vzdělávacího programu pro i</w:t>
      </w:r>
      <w:r>
        <w:t>nspektory</w:t>
      </w:r>
      <w:r w:rsidR="00323B3B">
        <w:t xml:space="preserve"> a ostatní</w:t>
      </w:r>
      <w:r w:rsidRPr="003D5A80">
        <w:t xml:space="preserve"> zúčastněn</w:t>
      </w:r>
      <w:r>
        <w:t>é</w:t>
      </w:r>
      <w:r w:rsidRPr="003D5A80">
        <w:t xml:space="preserve"> osob</w:t>
      </w:r>
      <w:r>
        <w:t>y</w:t>
      </w:r>
      <w:r w:rsidRPr="003D5A80">
        <w:t xml:space="preserve"> a bude </w:t>
      </w:r>
      <w:r>
        <w:t xml:space="preserve">se </w:t>
      </w:r>
      <w:r w:rsidRPr="003D5A80">
        <w:t>také účastnit vzdělávacího programu jako účastník a koordinátor skupiny.</w:t>
      </w:r>
    </w:p>
    <w:p w14:paraId="13B9E1FD" w14:textId="77777777" w:rsidR="00CD077E" w:rsidRDefault="00CD077E" w:rsidP="00776023">
      <w:pPr>
        <w:spacing w:after="120" w:line="276" w:lineRule="auto"/>
        <w:ind w:left="357"/>
        <w:jc w:val="both"/>
      </w:pPr>
    </w:p>
    <w:p w14:paraId="4CAF0961" w14:textId="1819CEF1" w:rsidR="00AB7032" w:rsidRDefault="00AB7032" w:rsidP="008A49AC">
      <w:pPr>
        <w:spacing w:after="120" w:line="276" w:lineRule="auto"/>
        <w:jc w:val="both"/>
      </w:pPr>
      <w:r>
        <w:t>Hlavním koordinačním partnerem ÚKZÚZ bude FARMA</w:t>
      </w:r>
      <w:r w:rsidR="00684A97">
        <w:t xml:space="preserve"> projekt</w:t>
      </w:r>
      <w:r>
        <w:t xml:space="preserve">. </w:t>
      </w:r>
      <w:r w:rsidRPr="003D5A80">
        <w:t xml:space="preserve">FARMA je </w:t>
      </w:r>
      <w:r>
        <w:t xml:space="preserve">nejdůležitějším zemědělským programem </w:t>
      </w:r>
      <w:r w:rsidRPr="003D5A80">
        <w:t>USAID</w:t>
      </w:r>
      <w:r w:rsidR="00684A97">
        <w:t xml:space="preserve"> v </w:t>
      </w:r>
      <w:proofErr w:type="gramStart"/>
      <w:r w:rsidR="00684A97">
        <w:t>BaH</w:t>
      </w:r>
      <w:proofErr w:type="gramEnd"/>
      <w:r w:rsidRPr="003D5A80">
        <w:t xml:space="preserve">, který je spolufinancován </w:t>
      </w:r>
      <w:r>
        <w:t>Š</w:t>
      </w:r>
      <w:r w:rsidRPr="003D5A80">
        <w:t>védsk</w:t>
      </w:r>
      <w:r>
        <w:t>ou</w:t>
      </w:r>
      <w:r w:rsidRPr="003D5A80">
        <w:t xml:space="preserve"> </w:t>
      </w:r>
      <w:r>
        <w:t>m</w:t>
      </w:r>
      <w:r w:rsidRPr="003D5A80">
        <w:t xml:space="preserve">ezinárodní </w:t>
      </w:r>
      <w:r>
        <w:t>rozvojovou</w:t>
      </w:r>
      <w:r w:rsidRPr="003D5A80">
        <w:t xml:space="preserve"> </w:t>
      </w:r>
      <w:r w:rsidR="0007681A">
        <w:t xml:space="preserve">agenturou </w:t>
      </w:r>
      <w:r w:rsidRPr="003D5A80">
        <w:t>(</w:t>
      </w:r>
      <w:proofErr w:type="spellStart"/>
      <w:r w:rsidRPr="003D5A80">
        <w:t>Sida</w:t>
      </w:r>
      <w:proofErr w:type="spellEnd"/>
      <w:r w:rsidRPr="003D5A80">
        <w:t>). FARMA již spoluprac</w:t>
      </w:r>
      <w:r>
        <w:t>ovala</w:t>
      </w:r>
      <w:r w:rsidRPr="003D5A80">
        <w:t xml:space="preserve"> s </w:t>
      </w:r>
      <w:r w:rsidR="001C6493">
        <w:t>českými</w:t>
      </w:r>
      <w:r w:rsidRPr="003D5A80">
        <w:t xml:space="preserve"> institucemi</w:t>
      </w:r>
      <w:r>
        <w:t xml:space="preserve"> na překonávání </w:t>
      </w:r>
      <w:r w:rsidRPr="003D5A80">
        <w:t>omezení pro vývoz produktů živočišného původu do EU.</w:t>
      </w:r>
      <w:r>
        <w:t xml:space="preserve"> </w:t>
      </w:r>
      <w:r w:rsidRPr="003D5A80">
        <w:t xml:space="preserve">Spolupráce mezi </w:t>
      </w:r>
      <w:r>
        <w:lastRenderedPageBreak/>
        <w:t>poskytovateli dotace</w:t>
      </w:r>
      <w:r w:rsidRPr="003D5A80">
        <w:t xml:space="preserve"> </w:t>
      </w:r>
      <w:r>
        <w:t xml:space="preserve">Rostlinolékařskou správou </w:t>
      </w:r>
      <w:r w:rsidRPr="003D5A80">
        <w:t>Bosn</w:t>
      </w:r>
      <w:r>
        <w:t>y</w:t>
      </w:r>
      <w:r w:rsidRPr="003D5A80">
        <w:t xml:space="preserve"> a Hercegovin</w:t>
      </w:r>
      <w:r>
        <w:t>y</w:t>
      </w:r>
      <w:r w:rsidR="001C6493">
        <w:t xml:space="preserve"> </w:t>
      </w:r>
      <w:r w:rsidR="00B563B7">
        <w:t>(Ba</w:t>
      </w:r>
      <w:r w:rsidR="001C6493">
        <w:t>H)</w:t>
      </w:r>
      <w:r w:rsidR="0007681A">
        <w:t>,</w:t>
      </w:r>
      <w:r w:rsidR="001C6493">
        <w:t xml:space="preserve"> </w:t>
      </w:r>
      <w:r>
        <w:t xml:space="preserve">Ústředním kontrolním a zkušebním ústavem zemědělským (ČR) </w:t>
      </w:r>
      <w:r w:rsidRPr="003D5A80">
        <w:t>a FARMA</w:t>
      </w:r>
      <w:r w:rsidR="001C6493">
        <w:t xml:space="preserve"> </w:t>
      </w:r>
      <w:r w:rsidR="00B563B7">
        <w:t>(Ba</w:t>
      </w:r>
      <w:r w:rsidR="001C6493">
        <w:t xml:space="preserve">H) </w:t>
      </w:r>
      <w:r w:rsidRPr="003D5A80">
        <w:t xml:space="preserve">pomůže zajistit maximální efektivitu </w:t>
      </w:r>
      <w:r w:rsidR="0007681A">
        <w:t xml:space="preserve">vynaložených </w:t>
      </w:r>
      <w:r w:rsidRPr="003D5A80">
        <w:t>nejen finančních, ale i lidských zdrojů a přispěje také k dosažení nejlepších možných výsledků. FARMA může také poskytnout celkovou administrativní, technickou a logistickou koordinaci společných aktivit projektu</w:t>
      </w:r>
      <w:r>
        <w:t>.</w:t>
      </w:r>
      <w:r w:rsidRPr="00AB7032">
        <w:t xml:space="preserve"> </w:t>
      </w:r>
      <w:r>
        <w:t xml:space="preserve">Vedení projektu FARMA bude, v případě schválení </w:t>
      </w:r>
      <w:r w:rsidR="00323B3B">
        <w:t>spolufinancování</w:t>
      </w:r>
      <w:r>
        <w:t xml:space="preserve"> z „US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Donors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Fund</w:t>
      </w:r>
      <w:proofErr w:type="spellEnd"/>
      <w:r w:rsidR="0007681A">
        <w:t>"</w:t>
      </w:r>
      <w:r>
        <w:t xml:space="preserve">, odpovědné za efektivní hospodaření a čerpání </w:t>
      </w:r>
      <w:r w:rsidR="00272FF9">
        <w:t xml:space="preserve">těchto </w:t>
      </w:r>
      <w:r>
        <w:t xml:space="preserve">finančních prostředků, </w:t>
      </w:r>
      <w:r w:rsidR="00272FF9">
        <w:t>v souladu s projektovým dokumentem</w:t>
      </w:r>
      <w:r>
        <w:t>.</w:t>
      </w:r>
    </w:p>
    <w:p w14:paraId="7207ABE5" w14:textId="77777777" w:rsidR="00B563B7" w:rsidRDefault="00B563B7" w:rsidP="00DA016C">
      <w:pPr>
        <w:widowControl w:val="0"/>
        <w:spacing w:after="120" w:line="276" w:lineRule="auto"/>
        <w:jc w:val="both"/>
      </w:pPr>
      <w:r>
        <w:t>Dalšími zainteresovanými subjekty jsou kompetentní státní</w:t>
      </w:r>
      <w:r w:rsidRPr="00165277">
        <w:t xml:space="preserve"> </w:t>
      </w:r>
      <w:r>
        <w:t>instituce, na různé úrovni – především na úrovni státní a entitní. Jedná se např. o:</w:t>
      </w:r>
    </w:p>
    <w:p w14:paraId="2B5A7258" w14:textId="6A8EED9D" w:rsidR="00B563B7" w:rsidRPr="00B563B7" w:rsidRDefault="00B563B7" w:rsidP="007E7BCE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b/>
        </w:rPr>
      </w:pPr>
      <w:r>
        <w:t xml:space="preserve">Federální ministerstvo zemědělství, vodního hospodářství a lesnictví </w:t>
      </w:r>
      <w:r w:rsidRPr="00B563B7">
        <w:rPr>
          <w:b/>
        </w:rPr>
        <w:t>(</w:t>
      </w:r>
      <w:proofErr w:type="spellStart"/>
      <w:r w:rsidRPr="00B563B7">
        <w:t>Ministarstvo</w:t>
      </w:r>
      <w:proofErr w:type="spellEnd"/>
      <w:r w:rsidRPr="00B563B7">
        <w:t xml:space="preserve"> </w:t>
      </w:r>
      <w:proofErr w:type="spellStart"/>
      <w:r w:rsidRPr="00B563B7">
        <w:t>poljoprivred</w:t>
      </w:r>
      <w:r>
        <w:t>e</w:t>
      </w:r>
      <w:proofErr w:type="spellEnd"/>
      <w:r>
        <w:t xml:space="preserve">, </w:t>
      </w:r>
      <w:proofErr w:type="spellStart"/>
      <w:r>
        <w:t>vodoprivrede</w:t>
      </w:r>
      <w:proofErr w:type="spellEnd"/>
      <w:r>
        <w:t xml:space="preserve"> i </w:t>
      </w:r>
      <w:proofErr w:type="spellStart"/>
      <w:r>
        <w:t>šumarstva</w:t>
      </w:r>
      <w:proofErr w:type="spellEnd"/>
      <w:r w:rsidRPr="00B563B7">
        <w:t>)</w:t>
      </w:r>
      <w:r>
        <w:rPr>
          <w:b/>
        </w:rPr>
        <w:t xml:space="preserve"> </w:t>
      </w:r>
      <w:proofErr w:type="spellStart"/>
      <w:r>
        <w:t>FBaH</w:t>
      </w:r>
      <w:proofErr w:type="spellEnd"/>
      <w:r w:rsidR="007269E0">
        <w:t>;</w:t>
      </w:r>
    </w:p>
    <w:p w14:paraId="47E16113" w14:textId="083E96F3" w:rsidR="00B563B7" w:rsidRPr="00B563B7" w:rsidRDefault="00B97CE1" w:rsidP="007E7BCE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b/>
        </w:rPr>
      </w:pPr>
      <w:r>
        <w:rPr>
          <w:bCs/>
          <w:sz w:val="22"/>
          <w:szCs w:val="22"/>
        </w:rPr>
        <w:t xml:space="preserve"> Ministerstvo</w:t>
      </w:r>
      <w:r w:rsidR="00B563B7" w:rsidRPr="00B563B7">
        <w:rPr>
          <w:bCs/>
          <w:sz w:val="22"/>
          <w:szCs w:val="22"/>
        </w:rPr>
        <w:t xml:space="preserve"> zemědělství, lesnictví a vodního hospodářství (</w:t>
      </w:r>
      <w:proofErr w:type="spellStart"/>
      <w:r w:rsidR="00B563B7" w:rsidRPr="00B563B7">
        <w:rPr>
          <w:bCs/>
          <w:sz w:val="22"/>
          <w:szCs w:val="22"/>
        </w:rPr>
        <w:t>Ministarstvo</w:t>
      </w:r>
      <w:proofErr w:type="spellEnd"/>
      <w:r w:rsidR="00B563B7" w:rsidRPr="00B563B7">
        <w:rPr>
          <w:bCs/>
          <w:sz w:val="22"/>
          <w:szCs w:val="22"/>
        </w:rPr>
        <w:t xml:space="preserve"> </w:t>
      </w:r>
      <w:proofErr w:type="spellStart"/>
      <w:r w:rsidR="00B563B7" w:rsidRPr="00B563B7">
        <w:rPr>
          <w:bCs/>
          <w:sz w:val="22"/>
          <w:szCs w:val="22"/>
        </w:rPr>
        <w:t>poljoprivrede</w:t>
      </w:r>
      <w:proofErr w:type="spellEnd"/>
      <w:r w:rsidR="00B563B7" w:rsidRPr="00B563B7">
        <w:rPr>
          <w:bCs/>
          <w:sz w:val="22"/>
          <w:szCs w:val="22"/>
        </w:rPr>
        <w:t xml:space="preserve">, </w:t>
      </w:r>
      <w:proofErr w:type="spellStart"/>
      <w:r w:rsidR="00B563B7" w:rsidRPr="00B563B7">
        <w:rPr>
          <w:bCs/>
          <w:sz w:val="22"/>
          <w:szCs w:val="22"/>
        </w:rPr>
        <w:t>šumarstva</w:t>
      </w:r>
      <w:proofErr w:type="spellEnd"/>
      <w:r w:rsidR="00B563B7" w:rsidRPr="00B563B7">
        <w:rPr>
          <w:bCs/>
          <w:sz w:val="22"/>
          <w:szCs w:val="22"/>
        </w:rPr>
        <w:t xml:space="preserve"> i </w:t>
      </w:r>
      <w:proofErr w:type="spellStart"/>
      <w:r w:rsidR="00B563B7" w:rsidRPr="00B563B7">
        <w:rPr>
          <w:bCs/>
          <w:sz w:val="22"/>
          <w:szCs w:val="22"/>
        </w:rPr>
        <w:t>vodoprivrede</w:t>
      </w:r>
      <w:proofErr w:type="spellEnd"/>
      <w:r w:rsidR="00B563B7" w:rsidRPr="00B563B7">
        <w:rPr>
          <w:bCs/>
          <w:sz w:val="22"/>
          <w:szCs w:val="22"/>
        </w:rPr>
        <w:t xml:space="preserve"> RS</w:t>
      </w:r>
      <w:r w:rsidR="007269E0">
        <w:t>;</w:t>
      </w:r>
    </w:p>
    <w:p w14:paraId="2C55FE34" w14:textId="3FD6B3DB" w:rsidR="00B563B7" w:rsidRPr="00B97CE1" w:rsidRDefault="00B563B7" w:rsidP="007E7BCE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b/>
        </w:rPr>
      </w:pPr>
      <w:r w:rsidRPr="00B97CE1">
        <w:rPr>
          <w:bCs/>
          <w:sz w:val="22"/>
          <w:szCs w:val="22"/>
        </w:rPr>
        <w:t>Federální úřad pro kontrolu (</w:t>
      </w:r>
      <w:proofErr w:type="spellStart"/>
      <w:r w:rsidRPr="00B97CE1">
        <w:rPr>
          <w:bCs/>
          <w:sz w:val="22"/>
          <w:szCs w:val="22"/>
        </w:rPr>
        <w:t>Federalne</w:t>
      </w:r>
      <w:proofErr w:type="spellEnd"/>
      <w:r w:rsidRPr="00B97CE1">
        <w:rPr>
          <w:bCs/>
          <w:sz w:val="22"/>
          <w:szCs w:val="22"/>
        </w:rPr>
        <w:t xml:space="preserve"> </w:t>
      </w:r>
      <w:proofErr w:type="spellStart"/>
      <w:r w:rsidRPr="00B97CE1">
        <w:rPr>
          <w:bCs/>
          <w:sz w:val="22"/>
          <w:szCs w:val="22"/>
        </w:rPr>
        <w:t>uprave</w:t>
      </w:r>
      <w:proofErr w:type="spellEnd"/>
      <w:r w:rsidRPr="00B97CE1">
        <w:rPr>
          <w:bCs/>
          <w:sz w:val="22"/>
          <w:szCs w:val="22"/>
        </w:rPr>
        <w:t xml:space="preserve"> za </w:t>
      </w:r>
      <w:proofErr w:type="spellStart"/>
      <w:r w:rsidRPr="00B97CE1">
        <w:rPr>
          <w:bCs/>
          <w:sz w:val="22"/>
          <w:szCs w:val="22"/>
        </w:rPr>
        <w:t>inspekcijske</w:t>
      </w:r>
      <w:proofErr w:type="spellEnd"/>
      <w:r w:rsidRPr="00B97CE1">
        <w:rPr>
          <w:bCs/>
          <w:sz w:val="22"/>
          <w:szCs w:val="22"/>
        </w:rPr>
        <w:t xml:space="preserve"> </w:t>
      </w:r>
      <w:proofErr w:type="spellStart"/>
      <w:r w:rsidRPr="00B97CE1">
        <w:rPr>
          <w:bCs/>
          <w:sz w:val="22"/>
          <w:szCs w:val="22"/>
        </w:rPr>
        <w:t>poslove</w:t>
      </w:r>
      <w:proofErr w:type="spellEnd"/>
      <w:r w:rsidRPr="00B97CE1">
        <w:rPr>
          <w:bCs/>
          <w:sz w:val="22"/>
          <w:szCs w:val="22"/>
        </w:rPr>
        <w:t xml:space="preserve"> </w:t>
      </w:r>
      <w:proofErr w:type="spellStart"/>
      <w:r w:rsidRPr="00B97CE1">
        <w:rPr>
          <w:bCs/>
          <w:sz w:val="22"/>
          <w:szCs w:val="22"/>
        </w:rPr>
        <w:t>FBaH</w:t>
      </w:r>
      <w:proofErr w:type="spellEnd"/>
      <w:r w:rsidR="007269E0">
        <w:t>;</w:t>
      </w:r>
    </w:p>
    <w:p w14:paraId="7A05E4BB" w14:textId="72C5CE17" w:rsidR="00B563B7" w:rsidRPr="00B97CE1" w:rsidRDefault="00B563B7" w:rsidP="007E7BCE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b/>
        </w:rPr>
      </w:pPr>
      <w:r w:rsidRPr="00B97CE1">
        <w:rPr>
          <w:sz w:val="22"/>
          <w:szCs w:val="22"/>
        </w:rPr>
        <w:t>Srbský státní inspektorát (</w:t>
      </w:r>
      <w:proofErr w:type="spellStart"/>
      <w:r w:rsidRPr="00B97CE1">
        <w:rPr>
          <w:sz w:val="22"/>
          <w:szCs w:val="22"/>
        </w:rPr>
        <w:t>Inspektorat</w:t>
      </w:r>
      <w:proofErr w:type="spellEnd"/>
      <w:r w:rsidRPr="00B97CE1">
        <w:rPr>
          <w:bCs/>
          <w:sz w:val="22"/>
          <w:szCs w:val="22"/>
        </w:rPr>
        <w:t xml:space="preserve"> </w:t>
      </w:r>
      <w:proofErr w:type="spellStart"/>
      <w:r w:rsidRPr="00B97CE1">
        <w:rPr>
          <w:bCs/>
          <w:sz w:val="22"/>
          <w:szCs w:val="22"/>
        </w:rPr>
        <w:t>Republike</w:t>
      </w:r>
      <w:proofErr w:type="spellEnd"/>
      <w:r w:rsidRPr="00B97CE1">
        <w:rPr>
          <w:bCs/>
          <w:sz w:val="22"/>
          <w:szCs w:val="22"/>
        </w:rPr>
        <w:t xml:space="preserve"> </w:t>
      </w:r>
      <w:proofErr w:type="spellStart"/>
      <w:r w:rsidRPr="00B97CE1">
        <w:rPr>
          <w:bCs/>
          <w:sz w:val="22"/>
          <w:szCs w:val="22"/>
        </w:rPr>
        <w:t>Srpske</w:t>
      </w:r>
      <w:proofErr w:type="spellEnd"/>
      <w:r w:rsidRPr="00B97CE1">
        <w:rPr>
          <w:bCs/>
          <w:sz w:val="22"/>
          <w:szCs w:val="22"/>
        </w:rPr>
        <w:t>) RS</w:t>
      </w:r>
      <w:r w:rsidR="007269E0">
        <w:t>;</w:t>
      </w:r>
    </w:p>
    <w:p w14:paraId="4F24E3F3" w14:textId="3A833B14" w:rsidR="00B563B7" w:rsidRPr="00B97CE1" w:rsidRDefault="00B563B7" w:rsidP="007E7BCE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b/>
        </w:rPr>
      </w:pPr>
      <w:r w:rsidRPr="00B97CE1">
        <w:rPr>
          <w:sz w:val="22"/>
          <w:szCs w:val="22"/>
        </w:rPr>
        <w:t xml:space="preserve">Federální ústav pro zemědělství </w:t>
      </w:r>
      <w:r w:rsidR="00B33FA5" w:rsidRPr="00B97CE1">
        <w:rPr>
          <w:sz w:val="22"/>
          <w:szCs w:val="22"/>
        </w:rPr>
        <w:t>(</w:t>
      </w:r>
      <w:proofErr w:type="spellStart"/>
      <w:r w:rsidRPr="00B97CE1">
        <w:rPr>
          <w:sz w:val="22"/>
          <w:szCs w:val="22"/>
        </w:rPr>
        <w:t>Federalni</w:t>
      </w:r>
      <w:proofErr w:type="spellEnd"/>
      <w:r w:rsidRPr="00B97CE1">
        <w:rPr>
          <w:sz w:val="22"/>
          <w:szCs w:val="22"/>
        </w:rPr>
        <w:t xml:space="preserve"> </w:t>
      </w:r>
      <w:proofErr w:type="spellStart"/>
      <w:r w:rsidRPr="00B97CE1">
        <w:rPr>
          <w:sz w:val="22"/>
          <w:szCs w:val="22"/>
        </w:rPr>
        <w:t>zavod</w:t>
      </w:r>
      <w:proofErr w:type="spellEnd"/>
      <w:r w:rsidRPr="00B97CE1">
        <w:rPr>
          <w:sz w:val="22"/>
          <w:szCs w:val="22"/>
        </w:rPr>
        <w:t xml:space="preserve"> za </w:t>
      </w:r>
      <w:proofErr w:type="spellStart"/>
      <w:r w:rsidRPr="00B97CE1">
        <w:rPr>
          <w:sz w:val="22"/>
          <w:szCs w:val="22"/>
        </w:rPr>
        <w:t>poljoprivredu</w:t>
      </w:r>
      <w:proofErr w:type="spellEnd"/>
      <w:r w:rsidR="00B33FA5" w:rsidRPr="00B97CE1">
        <w:rPr>
          <w:sz w:val="22"/>
          <w:szCs w:val="22"/>
        </w:rPr>
        <w:t xml:space="preserve">) </w:t>
      </w:r>
      <w:proofErr w:type="spellStart"/>
      <w:r w:rsidR="00B33FA5" w:rsidRPr="00B97CE1">
        <w:rPr>
          <w:sz w:val="22"/>
          <w:szCs w:val="22"/>
        </w:rPr>
        <w:t>FBaH</w:t>
      </w:r>
      <w:proofErr w:type="spellEnd"/>
      <w:r w:rsidR="007269E0">
        <w:t>;</w:t>
      </w:r>
    </w:p>
    <w:p w14:paraId="5549D198" w14:textId="0D597F52" w:rsidR="00B33FA5" w:rsidRPr="00B97CE1" w:rsidRDefault="00B33FA5" w:rsidP="007E7BCE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b/>
        </w:rPr>
      </w:pPr>
      <w:r w:rsidRPr="00B97CE1">
        <w:rPr>
          <w:sz w:val="22"/>
          <w:szCs w:val="22"/>
        </w:rPr>
        <w:t xml:space="preserve">Federální </w:t>
      </w:r>
      <w:r w:rsidR="007269E0">
        <w:rPr>
          <w:sz w:val="22"/>
          <w:szCs w:val="22"/>
        </w:rPr>
        <w:t>středozemní zemědělský institut</w:t>
      </w:r>
      <w:r w:rsidRPr="00B97CE1">
        <w:rPr>
          <w:sz w:val="22"/>
          <w:szCs w:val="22"/>
        </w:rPr>
        <w:t xml:space="preserve"> (</w:t>
      </w:r>
      <w:proofErr w:type="spellStart"/>
      <w:r w:rsidRPr="00B97CE1">
        <w:rPr>
          <w:sz w:val="22"/>
          <w:szCs w:val="22"/>
        </w:rPr>
        <w:t>Federal</w:t>
      </w:r>
      <w:r w:rsidR="007269E0">
        <w:rPr>
          <w:sz w:val="22"/>
          <w:szCs w:val="22"/>
        </w:rPr>
        <w:t>ni</w:t>
      </w:r>
      <w:proofErr w:type="spellEnd"/>
      <w:r w:rsidR="007269E0">
        <w:rPr>
          <w:sz w:val="22"/>
          <w:szCs w:val="22"/>
        </w:rPr>
        <w:t xml:space="preserve"> </w:t>
      </w:r>
      <w:proofErr w:type="spellStart"/>
      <w:r w:rsidR="007269E0">
        <w:rPr>
          <w:sz w:val="22"/>
          <w:szCs w:val="22"/>
        </w:rPr>
        <w:t>agromediteranski</w:t>
      </w:r>
      <w:proofErr w:type="spellEnd"/>
      <w:r w:rsidR="007269E0">
        <w:rPr>
          <w:sz w:val="22"/>
          <w:szCs w:val="22"/>
        </w:rPr>
        <w:t xml:space="preserve"> </w:t>
      </w:r>
      <w:proofErr w:type="spellStart"/>
      <w:r w:rsidR="007269E0">
        <w:rPr>
          <w:sz w:val="22"/>
          <w:szCs w:val="22"/>
        </w:rPr>
        <w:t>zavod</w:t>
      </w:r>
      <w:proofErr w:type="spellEnd"/>
      <w:r w:rsidR="007269E0">
        <w:rPr>
          <w:sz w:val="22"/>
          <w:szCs w:val="22"/>
        </w:rPr>
        <w:t xml:space="preserve">) </w:t>
      </w:r>
      <w:proofErr w:type="spellStart"/>
      <w:r w:rsidR="007269E0">
        <w:rPr>
          <w:sz w:val="22"/>
          <w:szCs w:val="22"/>
        </w:rPr>
        <w:t>FBaH</w:t>
      </w:r>
      <w:proofErr w:type="spellEnd"/>
      <w:r w:rsidR="007269E0">
        <w:t>;</w:t>
      </w:r>
    </w:p>
    <w:p w14:paraId="0BFA98C7" w14:textId="0ADB20C0" w:rsidR="00B33FA5" w:rsidRPr="00B97CE1" w:rsidRDefault="00B97CE1" w:rsidP="007E7BCE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b/>
        </w:rPr>
      </w:pPr>
      <w:r w:rsidRPr="00B97CE1">
        <w:rPr>
          <w:sz w:val="22"/>
          <w:szCs w:val="22"/>
        </w:rPr>
        <w:t xml:space="preserve">Zemědělská fakulta Univerzity v </w:t>
      </w:r>
      <w:proofErr w:type="spellStart"/>
      <w:r w:rsidRPr="00B97CE1">
        <w:rPr>
          <w:sz w:val="22"/>
          <w:szCs w:val="22"/>
        </w:rPr>
        <w:t>Banja</w:t>
      </w:r>
      <w:proofErr w:type="spellEnd"/>
      <w:r w:rsidRPr="00B97CE1">
        <w:rPr>
          <w:sz w:val="22"/>
          <w:szCs w:val="22"/>
        </w:rPr>
        <w:t xml:space="preserve"> </w:t>
      </w:r>
      <w:proofErr w:type="spellStart"/>
      <w:r w:rsidRPr="00B97CE1">
        <w:rPr>
          <w:sz w:val="22"/>
          <w:szCs w:val="22"/>
        </w:rPr>
        <w:t>Lu</w:t>
      </w:r>
      <w:r>
        <w:rPr>
          <w:sz w:val="22"/>
          <w:szCs w:val="22"/>
        </w:rPr>
        <w:t>j</w:t>
      </w:r>
      <w:r w:rsidRPr="00B97CE1">
        <w:rPr>
          <w:sz w:val="22"/>
          <w:szCs w:val="22"/>
        </w:rPr>
        <w:t>a</w:t>
      </w:r>
      <w:proofErr w:type="spellEnd"/>
      <w:r w:rsidRPr="00B97CE1">
        <w:rPr>
          <w:sz w:val="22"/>
          <w:szCs w:val="22"/>
        </w:rPr>
        <w:t xml:space="preserve"> (</w:t>
      </w:r>
      <w:proofErr w:type="spellStart"/>
      <w:r w:rsidR="00B33FA5" w:rsidRPr="00B97CE1">
        <w:rPr>
          <w:sz w:val="22"/>
          <w:szCs w:val="22"/>
        </w:rPr>
        <w:t>Poljoprivredni</w:t>
      </w:r>
      <w:proofErr w:type="spellEnd"/>
      <w:r w:rsidR="00B33FA5" w:rsidRPr="00B97CE1">
        <w:rPr>
          <w:sz w:val="22"/>
          <w:szCs w:val="22"/>
        </w:rPr>
        <w:t xml:space="preserve"> </w:t>
      </w:r>
      <w:proofErr w:type="spellStart"/>
      <w:r w:rsidR="00B33FA5" w:rsidRPr="00B97CE1">
        <w:rPr>
          <w:sz w:val="22"/>
          <w:szCs w:val="22"/>
        </w:rPr>
        <w:t>fakultet</w:t>
      </w:r>
      <w:proofErr w:type="spellEnd"/>
      <w:r w:rsidR="00B33FA5" w:rsidRPr="00B97CE1">
        <w:rPr>
          <w:sz w:val="22"/>
          <w:szCs w:val="22"/>
        </w:rPr>
        <w:t xml:space="preserve"> </w:t>
      </w:r>
      <w:proofErr w:type="spellStart"/>
      <w:r w:rsidR="00B33FA5" w:rsidRPr="00B97CE1">
        <w:rPr>
          <w:sz w:val="22"/>
          <w:szCs w:val="22"/>
        </w:rPr>
        <w:t>Banja</w:t>
      </w:r>
      <w:proofErr w:type="spellEnd"/>
      <w:r w:rsidR="00B33FA5" w:rsidRPr="00B97CE1">
        <w:rPr>
          <w:sz w:val="22"/>
          <w:szCs w:val="22"/>
        </w:rPr>
        <w:t xml:space="preserve"> Luka</w:t>
      </w:r>
      <w:r w:rsidR="007269E0">
        <w:rPr>
          <w:sz w:val="22"/>
          <w:szCs w:val="22"/>
        </w:rPr>
        <w:t xml:space="preserve">) </w:t>
      </w:r>
      <w:proofErr w:type="spellStart"/>
      <w:r w:rsidR="007269E0">
        <w:rPr>
          <w:sz w:val="22"/>
          <w:szCs w:val="22"/>
        </w:rPr>
        <w:t>FBaH</w:t>
      </w:r>
      <w:proofErr w:type="spellEnd"/>
      <w:r w:rsidR="007269E0">
        <w:t>;</w:t>
      </w:r>
    </w:p>
    <w:p w14:paraId="27C3B4A1" w14:textId="1384249E" w:rsidR="00B33FA5" w:rsidRPr="00B97CE1" w:rsidRDefault="00B97CE1" w:rsidP="007E7BCE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b/>
        </w:rPr>
      </w:pPr>
      <w:r w:rsidRPr="00B97CE1">
        <w:rPr>
          <w:sz w:val="22"/>
          <w:szCs w:val="22"/>
        </w:rPr>
        <w:t xml:space="preserve">Zemědělský institut </w:t>
      </w:r>
      <w:r>
        <w:rPr>
          <w:sz w:val="22"/>
          <w:szCs w:val="22"/>
        </w:rPr>
        <w:t>R</w:t>
      </w:r>
      <w:r w:rsidRPr="00B97CE1">
        <w:rPr>
          <w:sz w:val="22"/>
          <w:szCs w:val="22"/>
        </w:rPr>
        <w:t>epubliky Srbské (</w:t>
      </w:r>
      <w:proofErr w:type="spellStart"/>
      <w:r w:rsidR="00B33FA5" w:rsidRPr="00B97CE1">
        <w:rPr>
          <w:sz w:val="22"/>
          <w:szCs w:val="22"/>
        </w:rPr>
        <w:t>Poljoprivredni</w:t>
      </w:r>
      <w:proofErr w:type="spellEnd"/>
      <w:r w:rsidR="00B33FA5" w:rsidRPr="00B97CE1">
        <w:rPr>
          <w:sz w:val="22"/>
          <w:szCs w:val="22"/>
        </w:rPr>
        <w:t xml:space="preserve"> institut </w:t>
      </w:r>
      <w:proofErr w:type="spellStart"/>
      <w:r w:rsidR="00B33FA5" w:rsidRPr="00B97CE1">
        <w:rPr>
          <w:sz w:val="22"/>
          <w:szCs w:val="22"/>
        </w:rPr>
        <w:t>Republike</w:t>
      </w:r>
      <w:proofErr w:type="spellEnd"/>
      <w:r w:rsidR="00B33FA5" w:rsidRPr="00B97CE1">
        <w:rPr>
          <w:sz w:val="22"/>
          <w:szCs w:val="22"/>
        </w:rPr>
        <w:t xml:space="preserve"> </w:t>
      </w:r>
      <w:proofErr w:type="spellStart"/>
      <w:r w:rsidR="00B33FA5" w:rsidRPr="00B97CE1">
        <w:rPr>
          <w:sz w:val="22"/>
          <w:szCs w:val="22"/>
        </w:rPr>
        <w:t>Srpske</w:t>
      </w:r>
      <w:proofErr w:type="spellEnd"/>
      <w:r w:rsidRPr="00B97CE1">
        <w:rPr>
          <w:sz w:val="22"/>
          <w:szCs w:val="22"/>
        </w:rPr>
        <w:t>) RS</w:t>
      </w:r>
      <w:r w:rsidR="007269E0">
        <w:rPr>
          <w:sz w:val="22"/>
          <w:szCs w:val="22"/>
        </w:rPr>
        <w:t>.</w:t>
      </w:r>
    </w:p>
    <w:p w14:paraId="19F55005" w14:textId="573F9830" w:rsidR="00B97CE1" w:rsidRPr="008A49AC" w:rsidRDefault="00B97CE1" w:rsidP="008A49AC">
      <w:pPr>
        <w:widowControl w:val="0"/>
        <w:spacing w:after="120" w:line="276" w:lineRule="auto"/>
        <w:jc w:val="both"/>
      </w:pPr>
      <w:r w:rsidRPr="008A49AC">
        <w:t>Tyto instituce jsou předev</w:t>
      </w:r>
      <w:r w:rsidR="007269E0">
        <w:t>ším odpovědné za úřední kontrolu</w:t>
      </w:r>
      <w:r w:rsidRPr="008A49AC">
        <w:t xml:space="preserve"> v oblasti fytosanitární včetně </w:t>
      </w:r>
      <w:r w:rsidR="007269E0">
        <w:t xml:space="preserve">kontroly </w:t>
      </w:r>
      <w:r w:rsidR="007269E0" w:rsidRPr="008A49AC">
        <w:t>rozmnožovacího materiál</w:t>
      </w:r>
      <w:r w:rsidR="007269E0">
        <w:t>u</w:t>
      </w:r>
      <w:r w:rsidRPr="008A49AC">
        <w:t>.</w:t>
      </w:r>
      <w:r w:rsidR="00C57B01">
        <w:t xml:space="preserve"> Podrobnější informace o zainteresovaných subjektech jsou uvedeny ve výchozí evaluační zprávě, která </w:t>
      </w:r>
      <w:r w:rsidR="00D858BB">
        <w:t>byla zpracována UKZUS pro ČRA v první polovině roku 2013.</w:t>
      </w:r>
    </w:p>
    <w:p w14:paraId="66733D34" w14:textId="0DEF2DD7" w:rsidR="007269E0" w:rsidRDefault="007269E0" w:rsidP="007269E0">
      <w:pPr>
        <w:widowControl w:val="0"/>
        <w:spacing w:after="120" w:line="276" w:lineRule="auto"/>
        <w:jc w:val="both"/>
      </w:pPr>
      <w:r w:rsidRPr="008A49AC">
        <w:t>Nelze opomenout soukrom</w:t>
      </w:r>
      <w:r>
        <w:t>ý</w:t>
      </w:r>
      <w:r w:rsidRPr="008A49AC">
        <w:t xml:space="preserve"> sektor, kd</w:t>
      </w:r>
      <w:r>
        <w:t>e</w:t>
      </w:r>
      <w:r w:rsidRPr="008A49AC">
        <w:t xml:space="preserve"> </w:t>
      </w:r>
      <w:r>
        <w:t xml:space="preserve">se </w:t>
      </w:r>
      <w:r w:rsidRPr="008A49AC">
        <w:t>kromě již zmíněné FARMY budou na projektu podílet Asociace producentů osiva a sadby (</w:t>
      </w:r>
      <w:proofErr w:type="spellStart"/>
      <w:r w:rsidRPr="008A49AC">
        <w:t>FBaH</w:t>
      </w:r>
      <w:proofErr w:type="spellEnd"/>
      <w:r w:rsidRPr="008A49AC">
        <w:t>) a zemědělská fakulta Univerzity v Sarajevu (</w:t>
      </w:r>
      <w:r>
        <w:t>modelovém pozemku</w:t>
      </w:r>
      <w:r w:rsidRPr="008A49AC">
        <w:t xml:space="preserve"> v </w:t>
      </w:r>
      <w:proofErr w:type="spellStart"/>
      <w:r w:rsidRPr="008A49AC">
        <w:t>Butmiru</w:t>
      </w:r>
      <w:proofErr w:type="spellEnd"/>
      <w:r w:rsidRPr="008A49AC">
        <w:t>)</w:t>
      </w:r>
      <w:r w:rsidR="00C91A35">
        <w:t>.</w:t>
      </w:r>
    </w:p>
    <w:p w14:paraId="1C429FB6" w14:textId="77777777" w:rsidR="0073264D" w:rsidRPr="007E7BCE" w:rsidRDefault="0073264D" w:rsidP="00787D4B">
      <w:pPr>
        <w:pStyle w:val="Nadpis2"/>
        <w:spacing w:after="120"/>
        <w:ind w:left="578" w:hanging="578"/>
        <w:rPr>
          <w:rFonts w:ascii="Cambria" w:hAnsi="Cambria"/>
          <w:sz w:val="26"/>
          <w:szCs w:val="26"/>
        </w:rPr>
      </w:pPr>
      <w:bookmarkStart w:id="10" w:name="_Toc370471079"/>
      <w:r w:rsidRPr="007E7BCE">
        <w:rPr>
          <w:rFonts w:ascii="Cambria" w:hAnsi="Cambria"/>
          <w:sz w:val="26"/>
          <w:szCs w:val="26"/>
        </w:rPr>
        <w:t>Cílové skupiny</w:t>
      </w:r>
      <w:bookmarkEnd w:id="10"/>
    </w:p>
    <w:p w14:paraId="42F5DCAA" w14:textId="3F502105" w:rsidR="00383EA8" w:rsidRDefault="00B97CE1" w:rsidP="005E2619">
      <w:pPr>
        <w:spacing w:after="120" w:line="276" w:lineRule="auto"/>
        <w:jc w:val="both"/>
      </w:pPr>
      <w:r>
        <w:rPr>
          <w:b/>
        </w:rPr>
        <w:t>P</w:t>
      </w:r>
      <w:r w:rsidR="00383EA8" w:rsidRPr="004D2079">
        <w:rPr>
          <w:b/>
        </w:rPr>
        <w:t>římé cílové skupiny</w:t>
      </w:r>
      <w:r w:rsidR="00383EA8">
        <w:t xml:space="preserve"> </w:t>
      </w:r>
      <w:r>
        <w:t xml:space="preserve">jsou zaměstnanci státních institucí, pro které bude připravený </w:t>
      </w:r>
      <w:r w:rsidR="00CA1AC7">
        <w:t>komplexní</w:t>
      </w:r>
      <w:r>
        <w:t xml:space="preserve"> tzv. </w:t>
      </w:r>
      <w:proofErr w:type="spellStart"/>
      <w:r w:rsidRPr="00B97CE1">
        <w:rPr>
          <w:i/>
        </w:rPr>
        <w:t>tailor</w:t>
      </w:r>
      <w:proofErr w:type="spellEnd"/>
      <w:r w:rsidRPr="00B97CE1">
        <w:rPr>
          <w:i/>
        </w:rPr>
        <w:t xml:space="preserve"> </w:t>
      </w:r>
      <w:proofErr w:type="spellStart"/>
      <w:r w:rsidRPr="00B97CE1">
        <w:rPr>
          <w:i/>
        </w:rPr>
        <w:t>trainning</w:t>
      </w:r>
      <w:proofErr w:type="spellEnd"/>
      <w:r w:rsidRPr="00B97CE1">
        <w:rPr>
          <w:i/>
        </w:rPr>
        <w:t xml:space="preserve"> </w:t>
      </w:r>
      <w:proofErr w:type="spellStart"/>
      <w:r w:rsidRPr="00B97CE1">
        <w:rPr>
          <w:i/>
        </w:rPr>
        <w:t>programme</w:t>
      </w:r>
      <w:proofErr w:type="spellEnd"/>
      <w:r w:rsidR="00CA1AC7">
        <w:rPr>
          <w:i/>
        </w:rPr>
        <w:t xml:space="preserve">. </w:t>
      </w:r>
      <w:r w:rsidR="00CA1AC7" w:rsidRPr="00CA1AC7">
        <w:t>Tento bude zahrnovat kompletní</w:t>
      </w:r>
      <w:r w:rsidR="00CA1AC7">
        <w:rPr>
          <w:i/>
        </w:rPr>
        <w:t xml:space="preserve"> </w:t>
      </w:r>
      <w:r w:rsidR="00CA1AC7">
        <w:t>vyškolení zaměstnanců výše zmíněných úřadů (viz. 4.1) v oblasti legislativy, nových metodik, výkonu úřední kontroly včetně speciální</w:t>
      </w:r>
      <w:r w:rsidR="0007681A">
        <w:t>ho</w:t>
      </w:r>
      <w:r w:rsidR="00CA1AC7">
        <w:t xml:space="preserve"> školení pro zaměstnance, kteří </w:t>
      </w:r>
      <w:r w:rsidR="00CD7756">
        <w:t xml:space="preserve">pracují nebo </w:t>
      </w:r>
      <w:r w:rsidR="00CA1AC7">
        <w:t xml:space="preserve">budou pracovat s registrem, </w:t>
      </w:r>
      <w:r w:rsidR="00C91A35">
        <w:t xml:space="preserve">a to včetně těch, kteří </w:t>
      </w:r>
      <w:r w:rsidR="00CA1AC7">
        <w:t xml:space="preserve">budou zahrnuti do procesu registrace nových odrůd. </w:t>
      </w:r>
    </w:p>
    <w:p w14:paraId="6D1F2D89" w14:textId="3E81D634" w:rsidR="00CA1AC7" w:rsidRPr="00CA1AC7" w:rsidRDefault="00CA1AC7" w:rsidP="008A49AC">
      <w:pPr>
        <w:widowControl w:val="0"/>
        <w:spacing w:after="120" w:line="276" w:lineRule="auto"/>
        <w:jc w:val="both"/>
      </w:pPr>
      <w:r>
        <w:t xml:space="preserve">Další cílovou skupinou budou producenti rozmnožovacího materiálu, kteří budou </w:t>
      </w:r>
      <w:r w:rsidR="0007681A">
        <w:t>proškoleni</w:t>
      </w:r>
      <w:r>
        <w:t xml:space="preserve">, kromě legislativy, </w:t>
      </w:r>
      <w:r w:rsidR="00CD7756">
        <w:t xml:space="preserve">novelizovaného </w:t>
      </w:r>
      <w:r>
        <w:t xml:space="preserve">systému úřední kontroly včetně nových metodik, i </w:t>
      </w:r>
      <w:r w:rsidR="007269E0">
        <w:t>na</w:t>
      </w:r>
      <w:r>
        <w:t xml:space="preserve"> oblast fytosanitární. Nelze opomenout ani předávání zkušeností od našich producentů, kdy </w:t>
      </w:r>
      <w:r>
        <w:lastRenderedPageBreak/>
        <w:t>vybraní producenti z </w:t>
      </w:r>
      <w:proofErr w:type="spellStart"/>
      <w:r>
        <w:t>FBaH</w:t>
      </w:r>
      <w:proofErr w:type="spellEnd"/>
      <w:r>
        <w:t xml:space="preserve"> budou mít možnost </w:t>
      </w:r>
      <w:r w:rsidR="00C91A35">
        <w:t xml:space="preserve">se </w:t>
      </w:r>
      <w:r>
        <w:t>seznámit se zkušenost</w:t>
      </w:r>
      <w:r w:rsidR="00CD7756">
        <w:t>m</w:t>
      </w:r>
      <w:r>
        <w:t xml:space="preserve">i z českého prostředí. </w:t>
      </w:r>
    </w:p>
    <w:p w14:paraId="6022E16B" w14:textId="000F8520" w:rsidR="00383EA8" w:rsidRPr="004D3998" w:rsidRDefault="00CA1AC7" w:rsidP="005E2619">
      <w:pPr>
        <w:spacing w:after="120" w:line="276" w:lineRule="auto"/>
        <w:jc w:val="both"/>
      </w:pPr>
      <w:r>
        <w:rPr>
          <w:b/>
        </w:rPr>
        <w:t>K</w:t>
      </w:r>
      <w:r w:rsidR="00383EA8" w:rsidRPr="004D2079">
        <w:rPr>
          <w:b/>
        </w:rPr>
        <w:t>oneční příjemci projektu</w:t>
      </w:r>
      <w:r w:rsidR="00383EA8">
        <w:t xml:space="preserve"> </w:t>
      </w:r>
      <w:r>
        <w:t xml:space="preserve">budou samotní zemědělští podnikatelé v oblasti rozmnožovacího materiálu a především jejich zákazníci jak z oblasti zemědělců, tak především široké veřejnosti. Ti získají jistotu, že daný výrobek, který </w:t>
      </w:r>
      <w:r w:rsidR="007269E0">
        <w:t>zakoupil</w:t>
      </w:r>
      <w:r w:rsidR="00C91A35">
        <w:t>i</w:t>
      </w:r>
      <w:r w:rsidR="00302631">
        <w:t>,</w:t>
      </w:r>
      <w:r>
        <w:t xml:space="preserve"> splňuje všechny parametry běžné v zemích EU včetně odrůdové čistoty, zdravotní nezávadnosti a </w:t>
      </w:r>
      <w:proofErr w:type="spellStart"/>
      <w:r>
        <w:t>dohledatelnosti</w:t>
      </w:r>
      <w:proofErr w:type="spellEnd"/>
      <w:r w:rsidR="00CD7756">
        <w:t xml:space="preserve"> původu</w:t>
      </w:r>
      <w:r>
        <w:t>.</w:t>
      </w:r>
    </w:p>
    <w:p w14:paraId="352EC16E" w14:textId="77777777" w:rsidR="0073264D" w:rsidRPr="007E7BCE" w:rsidRDefault="0073264D" w:rsidP="00787D4B">
      <w:pPr>
        <w:pStyle w:val="Nadpis2"/>
        <w:spacing w:after="120"/>
        <w:ind w:left="578" w:hanging="578"/>
        <w:rPr>
          <w:rFonts w:ascii="Cambria" w:hAnsi="Cambria"/>
          <w:sz w:val="26"/>
          <w:szCs w:val="26"/>
        </w:rPr>
      </w:pPr>
      <w:bookmarkStart w:id="11" w:name="_Toc370471080"/>
      <w:r w:rsidRPr="007E7BCE">
        <w:rPr>
          <w:rFonts w:ascii="Cambria" w:hAnsi="Cambria"/>
          <w:sz w:val="26"/>
          <w:szCs w:val="26"/>
        </w:rPr>
        <w:t>Podpora projektu ze strany země příjemce</w:t>
      </w:r>
      <w:bookmarkEnd w:id="11"/>
      <w:r w:rsidRPr="007E7BCE">
        <w:rPr>
          <w:rFonts w:ascii="Cambria" w:hAnsi="Cambria"/>
          <w:sz w:val="26"/>
          <w:szCs w:val="26"/>
        </w:rPr>
        <w:t xml:space="preserve"> </w:t>
      </w:r>
    </w:p>
    <w:p w14:paraId="5DBF6097" w14:textId="572A1898" w:rsidR="00A41206" w:rsidRPr="0034076D" w:rsidRDefault="00A41206" w:rsidP="008A49AC">
      <w:pPr>
        <w:widowControl w:val="0"/>
        <w:spacing w:after="120" w:line="276" w:lineRule="auto"/>
        <w:jc w:val="both"/>
      </w:pPr>
      <w:r w:rsidRPr="0034076D">
        <w:t>Hlavním příjemcem pomoci budou státní instituce v</w:t>
      </w:r>
      <w:r w:rsidR="0034076D">
        <w:t xml:space="preserve"> rámci </w:t>
      </w:r>
      <w:r w:rsidRPr="0034076D">
        <w:t xml:space="preserve"> BaH, které poskytnou především </w:t>
      </w:r>
      <w:r w:rsidR="006C0D44">
        <w:t xml:space="preserve">příslušné </w:t>
      </w:r>
      <w:r w:rsidR="006C0D44" w:rsidRPr="0034076D">
        <w:t xml:space="preserve">zázemí </w:t>
      </w:r>
      <w:r w:rsidR="006C0D44">
        <w:t xml:space="preserve">a </w:t>
      </w:r>
      <w:r w:rsidRPr="0034076D">
        <w:t>lidské zdroje</w:t>
      </w:r>
      <w:r w:rsidR="0034076D" w:rsidRPr="0034076D">
        <w:t xml:space="preserve"> včetně jejich časové flexibilit</w:t>
      </w:r>
      <w:r w:rsidR="006C0D44">
        <w:t>y</w:t>
      </w:r>
      <w:r w:rsidR="00C57B01">
        <w:t xml:space="preserve">. Tyto instituce </w:t>
      </w:r>
      <w:r w:rsidR="0008686B" w:rsidRPr="0034076D">
        <w:t>následn</w:t>
      </w:r>
      <w:r w:rsidR="0008686B">
        <w:t>ě</w:t>
      </w:r>
      <w:r w:rsidR="0008686B" w:rsidRPr="0034076D">
        <w:t xml:space="preserve"> přev</w:t>
      </w:r>
      <w:r w:rsidR="0008686B">
        <w:t>ezmou</w:t>
      </w:r>
      <w:r w:rsidR="0008686B" w:rsidRPr="0034076D">
        <w:t xml:space="preserve"> pln</w:t>
      </w:r>
      <w:r w:rsidR="0008686B">
        <w:t>ou</w:t>
      </w:r>
      <w:r w:rsidR="0008686B" w:rsidRPr="0034076D">
        <w:t xml:space="preserve"> zodpovědnost</w:t>
      </w:r>
      <w:r w:rsidR="0008686B">
        <w:t xml:space="preserve"> </w:t>
      </w:r>
      <w:r w:rsidR="0034076D" w:rsidRPr="0034076D">
        <w:t xml:space="preserve">za další fungování </w:t>
      </w:r>
      <w:r w:rsidR="00C57B01">
        <w:t xml:space="preserve">nově </w:t>
      </w:r>
      <w:r w:rsidR="0034076D" w:rsidRPr="0034076D">
        <w:t>zavedeného systému</w:t>
      </w:r>
      <w:r w:rsidR="00C57B01">
        <w:t xml:space="preserve"> i v budoucnosti</w:t>
      </w:r>
      <w:r w:rsidRPr="0034076D">
        <w:t xml:space="preserve">. Lidskými zdroji se rozumí zaměstnanci jednotlivých institucí, kteří se budou </w:t>
      </w:r>
      <w:r w:rsidR="00C57B01">
        <w:t>účastnit</w:t>
      </w:r>
      <w:r w:rsidR="00C57B01" w:rsidRPr="0034076D">
        <w:t xml:space="preserve"> </w:t>
      </w:r>
      <w:r w:rsidRPr="0034076D">
        <w:t xml:space="preserve">školení, workshopů a </w:t>
      </w:r>
      <w:r w:rsidR="009E0A0D">
        <w:t>studijních pobytů</w:t>
      </w:r>
      <w:r w:rsidRPr="0034076D">
        <w:t xml:space="preserve"> v ČR, dále budou úzce spolupracovat s realizátory projektu na </w:t>
      </w:r>
      <w:r w:rsidR="00EE3D4E">
        <w:t>provedení</w:t>
      </w:r>
      <w:r w:rsidR="00EE3D4E" w:rsidRPr="0034076D">
        <w:t xml:space="preserve"> </w:t>
      </w:r>
      <w:r w:rsidRPr="0034076D">
        <w:t>jednotlivých aktivit (navržený</w:t>
      </w:r>
      <w:r w:rsidR="0008686B">
        <w:t>ch</w:t>
      </w:r>
      <w:r w:rsidRPr="0034076D">
        <w:t xml:space="preserve"> přímo jednotlivými institucemi) </w:t>
      </w:r>
      <w:r w:rsidR="0034076D">
        <w:t xml:space="preserve">a </w:t>
      </w:r>
      <w:r w:rsidR="0034076D" w:rsidRPr="0034076D">
        <w:t>budou součinní</w:t>
      </w:r>
      <w:r w:rsidRPr="0034076D">
        <w:t xml:space="preserve"> při vypracování jednotlivých průběžných zpráv včetně účasti na případných </w:t>
      </w:r>
      <w:r w:rsidR="00C57B01">
        <w:t xml:space="preserve">monitorovacích či </w:t>
      </w:r>
      <w:r w:rsidRPr="0034076D">
        <w:t xml:space="preserve">evaluačních </w:t>
      </w:r>
      <w:r w:rsidR="0034076D" w:rsidRPr="0034076D">
        <w:t>misích</w:t>
      </w:r>
      <w:r w:rsidRPr="0034076D">
        <w:t xml:space="preserve"> ze strany ČR. Státní instituce budou plně hradit plat svých zaměstnanců, kteří se budou účastnit </w:t>
      </w:r>
      <w:r w:rsidR="0008686B">
        <w:t>jednotlivých</w:t>
      </w:r>
      <w:r w:rsidR="0008686B" w:rsidRPr="0034076D">
        <w:t xml:space="preserve"> aktivit projektu</w:t>
      </w:r>
      <w:r w:rsidRPr="0034076D">
        <w:t>, včetně cestovních nákladů</w:t>
      </w:r>
      <w:r w:rsidR="0034076D">
        <w:t xml:space="preserve"> (doprava)</w:t>
      </w:r>
      <w:r w:rsidRPr="0034076D">
        <w:t xml:space="preserve"> v rámci BaH. </w:t>
      </w:r>
    </w:p>
    <w:p w14:paraId="11E97393" w14:textId="69310264" w:rsidR="00302631" w:rsidRDefault="00302631" w:rsidP="008A49AC">
      <w:pPr>
        <w:widowControl w:val="0"/>
        <w:spacing w:after="120" w:line="276" w:lineRule="auto"/>
        <w:jc w:val="both"/>
      </w:pPr>
      <w:r w:rsidRPr="0034076D">
        <w:t xml:space="preserve">Zázemím se rozumí například prostory pro školení, semináře, či kulaté stoly, </w:t>
      </w:r>
      <w:r w:rsidR="00A41206" w:rsidRPr="0034076D">
        <w:t xml:space="preserve">zajištění </w:t>
      </w:r>
      <w:r w:rsidRPr="0034076D">
        <w:t>přístup</w:t>
      </w:r>
      <w:r w:rsidR="00A41206" w:rsidRPr="0034076D">
        <w:t xml:space="preserve">u </w:t>
      </w:r>
      <w:r w:rsidR="00C57B01">
        <w:t>do</w:t>
      </w:r>
      <w:r w:rsidR="00C57B01" w:rsidRPr="0034076D">
        <w:t xml:space="preserve"> relevantních laboratoří</w:t>
      </w:r>
      <w:r w:rsidR="00C57B01">
        <w:t xml:space="preserve"> a na příslušné pozemky</w:t>
      </w:r>
      <w:r w:rsidR="00C57B01" w:rsidRPr="0034076D">
        <w:t xml:space="preserve"> </w:t>
      </w:r>
      <w:r w:rsidR="00A41206" w:rsidRPr="0034076D">
        <w:t>při ukázkových úředních kontrolách</w:t>
      </w:r>
      <w:r w:rsidR="00C575A0">
        <w:t>,</w:t>
      </w:r>
      <w:r w:rsidR="00DE4AD7">
        <w:t xml:space="preserve"> </w:t>
      </w:r>
      <w:r w:rsidRPr="0034076D">
        <w:t xml:space="preserve">apod. </w:t>
      </w:r>
    </w:p>
    <w:p w14:paraId="44038566" w14:textId="77777777" w:rsidR="00DA016C" w:rsidRPr="0034076D" w:rsidRDefault="00DA016C" w:rsidP="008A49AC">
      <w:pPr>
        <w:widowControl w:val="0"/>
        <w:spacing w:after="120" w:line="276" w:lineRule="auto"/>
        <w:jc w:val="both"/>
      </w:pPr>
    </w:p>
    <w:p w14:paraId="56218055" w14:textId="2CC9DA2A" w:rsidR="0073264D" w:rsidRPr="00DA016C" w:rsidRDefault="0073264D" w:rsidP="006B640B">
      <w:pPr>
        <w:pStyle w:val="Nadpis1"/>
        <w:spacing w:before="600" w:after="240"/>
        <w:ind w:left="431" w:hanging="431"/>
      </w:pPr>
      <w:bookmarkStart w:id="12" w:name="_Toc370471081"/>
      <w:r w:rsidRPr="00DA016C">
        <w:t xml:space="preserve">Logický rámec projektu (viz příloha </w:t>
      </w:r>
      <w:r w:rsidR="00A91C60">
        <w:t xml:space="preserve">č. </w:t>
      </w:r>
      <w:r w:rsidRPr="00DA016C">
        <w:t>1)</w:t>
      </w:r>
      <w:bookmarkEnd w:id="12"/>
    </w:p>
    <w:p w14:paraId="5E451465" w14:textId="77777777" w:rsidR="0073264D" w:rsidRPr="007E7BCE" w:rsidRDefault="0073264D" w:rsidP="00787D4B">
      <w:pPr>
        <w:pStyle w:val="Nadpis2"/>
        <w:spacing w:before="360" w:after="120"/>
        <w:ind w:left="578" w:hanging="578"/>
        <w:rPr>
          <w:rFonts w:ascii="Cambria" w:hAnsi="Cambria"/>
          <w:sz w:val="26"/>
          <w:szCs w:val="26"/>
        </w:rPr>
      </w:pPr>
      <w:bookmarkStart w:id="13" w:name="_Toc370471082"/>
      <w:r w:rsidRPr="007E7BCE">
        <w:rPr>
          <w:rFonts w:ascii="Cambria" w:hAnsi="Cambria"/>
          <w:sz w:val="26"/>
          <w:szCs w:val="26"/>
        </w:rPr>
        <w:t>Záměr</w:t>
      </w:r>
      <w:bookmarkEnd w:id="13"/>
    </w:p>
    <w:p w14:paraId="69B758A4" w14:textId="204C45C3" w:rsidR="0008686B" w:rsidRPr="00187CA6" w:rsidRDefault="0008686B" w:rsidP="0008686B">
      <w:pPr>
        <w:spacing w:line="276" w:lineRule="auto"/>
        <w:jc w:val="both"/>
      </w:pPr>
      <w:r>
        <w:t xml:space="preserve">Záměrem tohoto projektu je </w:t>
      </w:r>
      <w:r w:rsidR="000D4344">
        <w:t>přispět k</w:t>
      </w:r>
      <w:r w:rsidR="00C86532">
        <w:t> rozvoji zemědělského sektoru v oblasti produkce rozmnožovacího materiálu prostřednictvím</w:t>
      </w:r>
      <w:r w:rsidR="000D4344">
        <w:t xml:space="preserve"> splnění podmínek vyplývající z relevantní evropské legislativy</w:t>
      </w:r>
      <w:r w:rsidR="00C86532">
        <w:t>.</w:t>
      </w:r>
    </w:p>
    <w:p w14:paraId="0C9A68BC" w14:textId="77777777" w:rsidR="0073264D" w:rsidRPr="007E7BCE" w:rsidRDefault="0073264D" w:rsidP="00787D4B">
      <w:pPr>
        <w:pStyle w:val="Nadpis2"/>
        <w:spacing w:after="120"/>
        <w:ind w:left="578" w:hanging="578"/>
        <w:rPr>
          <w:rFonts w:ascii="Cambria" w:hAnsi="Cambria"/>
          <w:sz w:val="26"/>
          <w:szCs w:val="26"/>
        </w:rPr>
      </w:pPr>
      <w:bookmarkStart w:id="14" w:name="_Toc370471083"/>
      <w:r w:rsidRPr="007E7BCE">
        <w:rPr>
          <w:rFonts w:ascii="Cambria" w:hAnsi="Cambria"/>
          <w:sz w:val="26"/>
          <w:szCs w:val="26"/>
        </w:rPr>
        <w:t>Cíl</w:t>
      </w:r>
      <w:bookmarkEnd w:id="14"/>
      <w:r w:rsidRPr="007E7BCE">
        <w:rPr>
          <w:rFonts w:ascii="Cambria" w:hAnsi="Cambria"/>
          <w:sz w:val="26"/>
          <w:szCs w:val="26"/>
        </w:rPr>
        <w:t xml:space="preserve"> </w:t>
      </w:r>
    </w:p>
    <w:p w14:paraId="1AB0B6E9" w14:textId="72F580C4" w:rsidR="00AB7032" w:rsidRDefault="00AB7032" w:rsidP="005E2619">
      <w:pPr>
        <w:spacing w:line="276" w:lineRule="auto"/>
        <w:jc w:val="both"/>
      </w:pPr>
      <w:r w:rsidRPr="00FF0C23">
        <w:t>Cílem tohoto projektu je pomoci vytvořit systém</w:t>
      </w:r>
      <w:r>
        <w:t xml:space="preserve"> certifikace</w:t>
      </w:r>
      <w:r w:rsidRPr="00FF0C23">
        <w:t xml:space="preserve">, </w:t>
      </w:r>
      <w:r>
        <w:t xml:space="preserve">úřední kontroly </w:t>
      </w:r>
      <w:r w:rsidR="0008686B">
        <w:t>a postupů</w:t>
      </w:r>
      <w:r w:rsidRPr="00FF0C23">
        <w:t xml:space="preserve">, </w:t>
      </w:r>
      <w:r>
        <w:t>které budou v souladu s právními předpisy</w:t>
      </w:r>
      <w:r w:rsidRPr="00FF0C23">
        <w:t xml:space="preserve"> EU</w:t>
      </w:r>
      <w:r>
        <w:t xml:space="preserve"> a </w:t>
      </w:r>
      <w:r w:rsidRPr="00FF0C23">
        <w:t>kter</w:t>
      </w:r>
      <w:r>
        <w:t>é</w:t>
      </w:r>
      <w:r w:rsidRPr="00FF0C23">
        <w:t xml:space="preserve"> umožní produkci certifikovaného rozmnožovacího materiálu </w:t>
      </w:r>
      <w:r>
        <w:t>v </w:t>
      </w:r>
      <w:r w:rsidRPr="00FF0C23">
        <w:t>Bosn</w:t>
      </w:r>
      <w:r>
        <w:t>ě</w:t>
      </w:r>
      <w:r w:rsidRPr="00FF0C23">
        <w:t xml:space="preserve"> a Hercegovin</w:t>
      </w:r>
      <w:r>
        <w:t>ě</w:t>
      </w:r>
      <w:r w:rsidR="00187CA6">
        <w:t xml:space="preserve">. Zároveň tento </w:t>
      </w:r>
      <w:r w:rsidR="0034076D">
        <w:t>projekt umožní</w:t>
      </w:r>
      <w:r w:rsidRPr="00FF0C23">
        <w:t xml:space="preserve"> </w:t>
      </w:r>
      <w:r w:rsidR="0008686B">
        <w:t>zemědělcům z </w:t>
      </w:r>
      <w:proofErr w:type="gramStart"/>
      <w:r w:rsidR="0008686B">
        <w:t>Ba</w:t>
      </w:r>
      <w:r>
        <w:t>H</w:t>
      </w:r>
      <w:proofErr w:type="gramEnd"/>
      <w:r w:rsidRPr="00FF0C23">
        <w:t xml:space="preserve"> </w:t>
      </w:r>
      <w:r>
        <w:t>získat rostlinný materiál</w:t>
      </w:r>
      <w:r w:rsidRPr="00FF0C23">
        <w:t xml:space="preserve"> </w:t>
      </w:r>
      <w:r w:rsidR="00187CA6">
        <w:t xml:space="preserve">bez známek onemocnění, a to </w:t>
      </w:r>
      <w:r w:rsidRPr="00FF0C23">
        <w:t>včetně nových odrůd</w:t>
      </w:r>
      <w:r w:rsidR="0071563A">
        <w:t>.</w:t>
      </w:r>
    </w:p>
    <w:p w14:paraId="5918EB62" w14:textId="7FA7EC8B" w:rsidR="0017369F" w:rsidRPr="00AB7032" w:rsidRDefault="0017369F" w:rsidP="005E2619">
      <w:pPr>
        <w:spacing w:line="276" w:lineRule="auto"/>
        <w:jc w:val="both"/>
      </w:pPr>
    </w:p>
    <w:p w14:paraId="0865CE7B" w14:textId="77777777" w:rsidR="0073264D" w:rsidRDefault="0073264D" w:rsidP="007E7BCE">
      <w:pPr>
        <w:pStyle w:val="Nadpis2"/>
        <w:spacing w:after="120"/>
        <w:ind w:left="578" w:hanging="578"/>
        <w:rPr>
          <w:rFonts w:ascii="Cambria" w:hAnsi="Cambria"/>
          <w:sz w:val="26"/>
          <w:szCs w:val="26"/>
        </w:rPr>
      </w:pPr>
      <w:bookmarkStart w:id="15" w:name="_Toc370471084"/>
      <w:r w:rsidRPr="007E7BCE">
        <w:rPr>
          <w:rFonts w:ascii="Cambria" w:hAnsi="Cambria"/>
          <w:sz w:val="26"/>
          <w:szCs w:val="26"/>
        </w:rPr>
        <w:lastRenderedPageBreak/>
        <w:t>Výstupy</w:t>
      </w:r>
      <w:bookmarkEnd w:id="15"/>
    </w:p>
    <w:p w14:paraId="2524D466" w14:textId="10F524A6" w:rsidR="00B3661F" w:rsidRPr="00B3661F" w:rsidRDefault="00B3661F" w:rsidP="00B3661F">
      <w:r>
        <w:rPr>
          <w:sz w:val="22"/>
          <w:szCs w:val="22"/>
        </w:rPr>
        <w:t>V následující části jsou popsány výstupy projektu a aktivity vedoucí k jejich naplnění.</w:t>
      </w:r>
    </w:p>
    <w:p w14:paraId="107976B2" w14:textId="04FE649A" w:rsidR="003909E7" w:rsidRPr="003909E7" w:rsidRDefault="003909E7" w:rsidP="00B47DB8">
      <w:pPr>
        <w:pStyle w:val="Nadpis3"/>
        <w:numPr>
          <w:ilvl w:val="0"/>
          <w:numId w:val="0"/>
        </w:numPr>
        <w:spacing w:before="360" w:after="120"/>
        <w:ind w:left="720" w:hanging="720"/>
        <w:rPr>
          <w:rFonts w:ascii="Times New Roman" w:hAnsi="Times New Roman"/>
          <w:sz w:val="24"/>
          <w:szCs w:val="24"/>
        </w:rPr>
      </w:pPr>
      <w:bookmarkStart w:id="16" w:name="_Toc370471085"/>
      <w:r w:rsidRPr="003909E7">
        <w:rPr>
          <w:rFonts w:ascii="Times New Roman" w:hAnsi="Times New Roman"/>
          <w:sz w:val="24"/>
          <w:szCs w:val="24"/>
        </w:rPr>
        <w:t>Výstup č. 1: Optimalizovaná státní správa v oblasti certifikace rostlinného rozmnožovacího materiálu</w:t>
      </w:r>
      <w:bookmarkEnd w:id="16"/>
      <w:r w:rsidRPr="003909E7">
        <w:rPr>
          <w:rFonts w:ascii="Times New Roman" w:hAnsi="Times New Roman"/>
          <w:sz w:val="24"/>
          <w:szCs w:val="24"/>
        </w:rPr>
        <w:t xml:space="preserve"> </w:t>
      </w:r>
    </w:p>
    <w:p w14:paraId="1ECB4962" w14:textId="38B6C580" w:rsidR="003909E7" w:rsidRPr="009E0A0D" w:rsidRDefault="003909E7" w:rsidP="003909E7">
      <w:pPr>
        <w:spacing w:after="120" w:line="276" w:lineRule="auto"/>
        <w:jc w:val="both"/>
      </w:pPr>
      <w:r>
        <w:t>Hlavní aktivitou v rámci tohoto výstupu bude, n</w:t>
      </w:r>
      <w:r w:rsidRPr="009E0A0D">
        <w:t>a základě posouzení st</w:t>
      </w:r>
      <w:r>
        <w:t xml:space="preserve">ávajícího systému státní správy, vypracování </w:t>
      </w:r>
      <w:r w:rsidRPr="009E0A0D">
        <w:rPr>
          <w:b/>
        </w:rPr>
        <w:t>návrh</w:t>
      </w:r>
      <w:r>
        <w:rPr>
          <w:b/>
        </w:rPr>
        <w:t>u</w:t>
      </w:r>
      <w:r w:rsidRPr="009E0A0D">
        <w:rPr>
          <w:b/>
        </w:rPr>
        <w:t xml:space="preserve"> optimalizované komplexní organizační struktury úřední kontroly v oblasti certifikace</w:t>
      </w:r>
      <w:r>
        <w:rPr>
          <w:b/>
        </w:rPr>
        <w:t xml:space="preserve"> rostlinného rozmnožovacího materiálu</w:t>
      </w:r>
      <w:r w:rsidRPr="009E0A0D">
        <w:t xml:space="preserve">. </w:t>
      </w:r>
      <w:r w:rsidR="00CA49CF">
        <w:t xml:space="preserve">Po důkladné analýze současného stavu a následném vyhodnocení potřeb příjemce v dané oblasti, </w:t>
      </w:r>
      <w:r w:rsidRPr="009E0A0D">
        <w:t>bude připraven českými experty</w:t>
      </w:r>
      <w:r w:rsidR="00CA49CF">
        <w:t>,</w:t>
      </w:r>
      <w:r w:rsidRPr="009E0A0D">
        <w:t xml:space="preserve"> v plné spolupráci s dotčenými stranami příjemce</w:t>
      </w:r>
      <w:r w:rsidR="00CA49CF">
        <w:t>, návrh, který bude</w:t>
      </w:r>
      <w:r w:rsidRPr="009E0A0D">
        <w:t xml:space="preserve"> zahrnovat </w:t>
      </w:r>
      <w:r w:rsidR="00CA49CF">
        <w:t xml:space="preserve">doporučení k </w:t>
      </w:r>
      <w:r w:rsidR="00CA49CF" w:rsidRPr="009E0A0D">
        <w:t>provedení příslušných</w:t>
      </w:r>
      <w:r w:rsidR="00CA49CF">
        <w:t xml:space="preserve"> procesních a</w:t>
      </w:r>
      <w:r w:rsidR="00CA49CF" w:rsidRPr="009E0A0D">
        <w:t xml:space="preserve"> legislativních změn </w:t>
      </w:r>
      <w:r w:rsidRPr="009E0A0D">
        <w:t>výkonu státní správy v oblasti certifikace</w:t>
      </w:r>
      <w:r>
        <w:t xml:space="preserve"> rozmnožovacího materiálu,</w:t>
      </w:r>
      <w:r w:rsidR="00CA49CF">
        <w:t xml:space="preserve"> a</w:t>
      </w:r>
      <w:r>
        <w:t xml:space="preserve"> </w:t>
      </w:r>
      <w:r w:rsidR="00CA49CF">
        <w:t>to</w:t>
      </w:r>
      <w:r w:rsidRPr="009E0A0D">
        <w:t xml:space="preserve"> v s</w:t>
      </w:r>
      <w:r w:rsidR="00CA49CF">
        <w:t>ouladu s evropskou legislativou.</w:t>
      </w:r>
      <w:r w:rsidRPr="009E0A0D">
        <w:t xml:space="preserve"> Kompetence a povinnosti budou jasně definovány jak na národní úrovni (zejména v oblasti legislativy, metodiky a koordinace), tak na úrovni entit (zejména výkonné kompetence, pravomoci). Součástí </w:t>
      </w:r>
      <w:r>
        <w:t xml:space="preserve">tohoto výstupu </w:t>
      </w:r>
      <w:r w:rsidRPr="009E0A0D">
        <w:t xml:space="preserve">budou také </w:t>
      </w:r>
      <w:r w:rsidRPr="009E0A0D">
        <w:rPr>
          <w:b/>
        </w:rPr>
        <w:t>workshopy</w:t>
      </w:r>
      <w:r>
        <w:t xml:space="preserve"> a</w:t>
      </w:r>
      <w:r w:rsidRPr="009E0A0D">
        <w:rPr>
          <w:b/>
        </w:rPr>
        <w:t xml:space="preserve"> semináře</w:t>
      </w:r>
      <w:r w:rsidRPr="009E0A0D">
        <w:t xml:space="preserve"> pro všechny zúčastněné subjekty (státní správy - národní, entity i odborn</w:t>
      </w:r>
      <w:r>
        <w:t>ou</w:t>
      </w:r>
      <w:r w:rsidRPr="009E0A0D">
        <w:t xml:space="preserve"> veřejnost)</w:t>
      </w:r>
      <w:r w:rsidR="0017369F">
        <w:t>, které budou sloužit nejen k představení nového systému, ale také budou sloužit k vysvětlení nutnosti těchto změn a z nich vyplývajících výhod pro všechny příjemce projektu.</w:t>
      </w:r>
      <w:r w:rsidRPr="009E0A0D">
        <w:t xml:space="preserve"> </w:t>
      </w:r>
      <w:r w:rsidR="00B3661F">
        <w:t>Předložený způsob</w:t>
      </w:r>
      <w:r w:rsidR="00B3661F" w:rsidRPr="009E0A0D">
        <w:t xml:space="preserve"> </w:t>
      </w:r>
      <w:r w:rsidR="00B3661F">
        <w:t xml:space="preserve">řešení </w:t>
      </w:r>
      <w:r w:rsidR="00B3661F" w:rsidRPr="009E0A0D">
        <w:t>by měl</w:t>
      </w:r>
      <w:r w:rsidRPr="009E0A0D">
        <w:t xml:space="preserve"> pomoci s prezentací a vysvětlením navrhovaných změn.</w:t>
      </w:r>
      <w:r w:rsidR="0017369F">
        <w:t xml:space="preserve"> Nutným předpokladem úspěšné realizace této aktivity je zapojení kvalifikovaných pracovníků všech nezbytných institucí a zajištění následného financování ze státního rozpočtu.</w:t>
      </w:r>
    </w:p>
    <w:p w14:paraId="77CAE959" w14:textId="1456982E" w:rsidR="003909E7" w:rsidRPr="009E0A0D" w:rsidRDefault="003909E7" w:rsidP="003909E7">
      <w:pPr>
        <w:widowControl w:val="0"/>
        <w:spacing w:after="120" w:line="276" w:lineRule="auto"/>
        <w:jc w:val="both"/>
        <w:rPr>
          <w:bCs/>
          <w:color w:val="0C0C0E"/>
        </w:rPr>
      </w:pPr>
      <w:r>
        <w:rPr>
          <w:bCs/>
          <w:color w:val="0C0C0E"/>
        </w:rPr>
        <w:t>Specifickou aktivitou</w:t>
      </w:r>
      <w:r w:rsidRPr="009E0A0D">
        <w:rPr>
          <w:bCs/>
          <w:color w:val="0C0C0E"/>
        </w:rPr>
        <w:t xml:space="preserve"> bude </w:t>
      </w:r>
      <w:r w:rsidRPr="009E0A0D">
        <w:rPr>
          <w:b/>
          <w:bCs/>
          <w:i/>
          <w:color w:val="0C0C0E"/>
        </w:rPr>
        <w:t>speciálně (na míru) navržený program školení</w:t>
      </w:r>
      <w:r w:rsidRPr="009E0A0D">
        <w:rPr>
          <w:bCs/>
          <w:color w:val="0C0C0E"/>
        </w:rPr>
        <w:t xml:space="preserve"> pro zaměstnance, kteří jsou zapojeni do procesu úřední kontroly. Bude zahrnovat nejen teoretické ale i praktické školení v terénu, včetně studijních návštěv do České republiky.</w:t>
      </w:r>
      <w:r w:rsidR="0017369F">
        <w:rPr>
          <w:bCs/>
          <w:color w:val="0C0C0E"/>
        </w:rPr>
        <w:t xml:space="preserve"> Samotné školení bude zakončeno evaluací znalostí všech účastníků, která prověří nově získané znalosti a současně poskytne zpětnou vazbu školitelům.</w:t>
      </w:r>
    </w:p>
    <w:p w14:paraId="3E66F6BD" w14:textId="77777777" w:rsidR="003909E7" w:rsidRPr="008A49AC" w:rsidRDefault="003909E7" w:rsidP="003909E7">
      <w:pPr>
        <w:widowControl w:val="0"/>
        <w:spacing w:after="120" w:line="276" w:lineRule="auto"/>
        <w:jc w:val="both"/>
      </w:pPr>
      <w:r>
        <w:t>Smyslem navržených aktivit je</w:t>
      </w:r>
      <w:r w:rsidRPr="009E0A0D">
        <w:t xml:space="preserve"> podpořit vytvoření institucionálních a organizačních mechanismů pro implementaci reforem nezbytných pro vytvoření funkčního systému státní certifikace </w:t>
      </w:r>
      <w:r>
        <w:t xml:space="preserve">rostlinného </w:t>
      </w:r>
      <w:r w:rsidRPr="009E0A0D">
        <w:t>rozmnožovacího materiálu.</w:t>
      </w:r>
    </w:p>
    <w:p w14:paraId="0F1490CC" w14:textId="77777777" w:rsidR="003909E7" w:rsidRPr="00325DED" w:rsidRDefault="003909E7" w:rsidP="003909E7">
      <w:pPr>
        <w:spacing w:after="120" w:line="276" w:lineRule="auto"/>
        <w:jc w:val="both"/>
      </w:pPr>
      <w:r w:rsidRPr="00325DED">
        <w:rPr>
          <w:b/>
        </w:rPr>
        <w:t>Objektivně ověřitelné indikátory</w:t>
      </w:r>
      <w:r w:rsidRPr="00325DED">
        <w:t xml:space="preserve"> tohoto výstupu jsou: </w:t>
      </w:r>
    </w:p>
    <w:p w14:paraId="23039750" w14:textId="77777777" w:rsidR="003909E7" w:rsidRPr="00325DED" w:rsidRDefault="003909E7" w:rsidP="003909E7">
      <w:pPr>
        <w:numPr>
          <w:ilvl w:val="0"/>
          <w:numId w:val="3"/>
        </w:numPr>
        <w:spacing w:after="120" w:line="276" w:lineRule="auto"/>
        <w:ind w:left="714" w:hanging="357"/>
        <w:jc w:val="both"/>
      </w:pPr>
      <w:r w:rsidRPr="00325DED">
        <w:t xml:space="preserve">Návrh </w:t>
      </w:r>
      <w:r>
        <w:t>optimalizované</w:t>
      </w:r>
      <w:r w:rsidRPr="00325DED">
        <w:t xml:space="preserve"> struktury státní správy (PHPA bude zodpovědné za její schválení a následnou realizaci za plné asistence české strany)</w:t>
      </w:r>
    </w:p>
    <w:p w14:paraId="5BD08A30" w14:textId="77777777" w:rsidR="003909E7" w:rsidRPr="00325DED" w:rsidRDefault="003909E7" w:rsidP="003909E7">
      <w:pPr>
        <w:numPr>
          <w:ilvl w:val="0"/>
          <w:numId w:val="3"/>
        </w:numPr>
        <w:spacing w:after="120" w:line="276" w:lineRule="auto"/>
        <w:ind w:left="714" w:hanging="357"/>
        <w:jc w:val="both"/>
      </w:pPr>
      <w:r w:rsidRPr="00325DED">
        <w:t xml:space="preserve">Nejméně </w:t>
      </w:r>
      <w:r>
        <w:t>3</w:t>
      </w:r>
      <w:r w:rsidRPr="00325DED">
        <w:t>0 dobře proškolených zaměstnanců ze všech zapojených státních orgánů pověřených výkonem státní správy, včetně 10 školených na místě i v České republice)</w:t>
      </w:r>
    </w:p>
    <w:p w14:paraId="628B11A5" w14:textId="0AE7CB2D" w:rsidR="003909E7" w:rsidRDefault="003909E7" w:rsidP="00D347FE">
      <w:pPr>
        <w:numPr>
          <w:ilvl w:val="0"/>
          <w:numId w:val="3"/>
        </w:numPr>
        <w:spacing w:after="120" w:line="276" w:lineRule="auto"/>
        <w:ind w:left="714" w:hanging="357"/>
        <w:jc w:val="both"/>
      </w:pPr>
      <w:r w:rsidRPr="00325DED">
        <w:t xml:space="preserve">Informovaná odborná veřejnost. Nejméně </w:t>
      </w:r>
      <w:r>
        <w:t>40</w:t>
      </w:r>
      <w:r w:rsidRPr="00325DED">
        <w:t xml:space="preserve"> zástupců odborné veřejnosti se zúčastní worksh</w:t>
      </w:r>
      <w:r w:rsidR="00D347FE">
        <w:t>opů v obou entitách mimo Brčko.</w:t>
      </w:r>
    </w:p>
    <w:p w14:paraId="796A34DE" w14:textId="77777777" w:rsidR="00D347FE" w:rsidRPr="00D347FE" w:rsidRDefault="00D347FE" w:rsidP="00D347FE">
      <w:pPr>
        <w:spacing w:after="120" w:line="276" w:lineRule="auto"/>
        <w:ind w:left="714"/>
        <w:jc w:val="both"/>
      </w:pPr>
    </w:p>
    <w:p w14:paraId="3F7B0F0E" w14:textId="6DCB578D" w:rsidR="00BD552C" w:rsidRPr="008539FE" w:rsidRDefault="00D07C11" w:rsidP="00B47DB8">
      <w:pPr>
        <w:pStyle w:val="Nadpis3"/>
        <w:numPr>
          <w:ilvl w:val="0"/>
          <w:numId w:val="0"/>
        </w:numPr>
        <w:spacing w:before="360" w:after="120"/>
        <w:ind w:left="720" w:hanging="720"/>
        <w:rPr>
          <w:rFonts w:ascii="Times New Roman" w:hAnsi="Times New Roman"/>
          <w:sz w:val="24"/>
          <w:szCs w:val="24"/>
        </w:rPr>
      </w:pPr>
      <w:bookmarkStart w:id="17" w:name="_Toc370471086"/>
      <w:r>
        <w:rPr>
          <w:rFonts w:ascii="Times New Roman" w:hAnsi="Times New Roman"/>
          <w:sz w:val="24"/>
          <w:szCs w:val="24"/>
        </w:rPr>
        <w:lastRenderedPageBreak/>
        <w:t xml:space="preserve">Výstup č. 2: </w:t>
      </w:r>
      <w:r w:rsidR="00483E54" w:rsidRPr="008539FE">
        <w:rPr>
          <w:rFonts w:ascii="Times New Roman" w:hAnsi="Times New Roman"/>
          <w:sz w:val="24"/>
          <w:szCs w:val="24"/>
        </w:rPr>
        <w:t xml:space="preserve">Harmonizovaná </w:t>
      </w:r>
      <w:r w:rsidR="005B7E4F" w:rsidRPr="008539FE">
        <w:rPr>
          <w:rFonts w:ascii="Times New Roman" w:hAnsi="Times New Roman"/>
          <w:sz w:val="24"/>
          <w:szCs w:val="24"/>
        </w:rPr>
        <w:t>legislativa</w:t>
      </w:r>
      <w:r w:rsidR="00483E54" w:rsidRPr="008539FE">
        <w:rPr>
          <w:rFonts w:ascii="Times New Roman" w:hAnsi="Times New Roman"/>
          <w:sz w:val="24"/>
          <w:szCs w:val="24"/>
        </w:rPr>
        <w:t xml:space="preserve"> v oblasti </w:t>
      </w:r>
      <w:r w:rsidR="00127B06" w:rsidRPr="008539FE">
        <w:rPr>
          <w:rFonts w:ascii="Times New Roman" w:hAnsi="Times New Roman"/>
          <w:sz w:val="24"/>
          <w:szCs w:val="24"/>
        </w:rPr>
        <w:t>certifikace rostlinného rozmnožovacího materiálu</w:t>
      </w:r>
      <w:bookmarkEnd w:id="17"/>
    </w:p>
    <w:p w14:paraId="6EFD738F" w14:textId="1C6F6396" w:rsidR="00127B06" w:rsidRPr="005B7E4F" w:rsidRDefault="005B7E4F" w:rsidP="008A49AC">
      <w:pPr>
        <w:widowControl w:val="0"/>
        <w:spacing w:after="120" w:line="276" w:lineRule="auto"/>
        <w:jc w:val="both"/>
      </w:pPr>
      <w:r w:rsidRPr="005B7E4F">
        <w:t>Pro zavedení fungujícího systému je nezbytné, aby</w:t>
      </w:r>
      <w:r w:rsidR="00127B06" w:rsidRPr="005B7E4F">
        <w:t xml:space="preserve"> všechny příslušné právní předpisy Bosny a Hercegoviny byly plně v souladu s legislativou EU. </w:t>
      </w:r>
      <w:r w:rsidRPr="005B7E4F">
        <w:t>Na začátku bude</w:t>
      </w:r>
      <w:r w:rsidR="00127B06" w:rsidRPr="005B7E4F">
        <w:t xml:space="preserve"> provedena </w:t>
      </w:r>
      <w:r w:rsidR="00127B06" w:rsidRPr="009E0A0D">
        <w:rPr>
          <w:b/>
        </w:rPr>
        <w:t>kompletní analýza</w:t>
      </w:r>
      <w:r w:rsidR="00127B06" w:rsidRPr="005B7E4F">
        <w:t xml:space="preserve"> stávajících právních předpisů, včetně navrhované legislativy, a podrobné srovnání s příslušnými právními předpisy EU. </w:t>
      </w:r>
      <w:r w:rsidRPr="005B7E4F">
        <w:t>Hlavní aktivitou v rámci tohoto výstupu bude poté vypracování</w:t>
      </w:r>
      <w:r w:rsidR="00127B06" w:rsidRPr="005B7E4F">
        <w:t xml:space="preserve"> </w:t>
      </w:r>
      <w:r w:rsidR="00127B06" w:rsidRPr="009E0A0D">
        <w:rPr>
          <w:b/>
        </w:rPr>
        <w:t>komplexní</w:t>
      </w:r>
      <w:r w:rsidRPr="009E0A0D">
        <w:rPr>
          <w:b/>
        </w:rPr>
        <w:t>ho</w:t>
      </w:r>
      <w:r w:rsidR="00127B06" w:rsidRPr="009E0A0D">
        <w:rPr>
          <w:b/>
        </w:rPr>
        <w:t xml:space="preserve"> návrh</w:t>
      </w:r>
      <w:r w:rsidRPr="009E0A0D">
        <w:rPr>
          <w:b/>
        </w:rPr>
        <w:t>u</w:t>
      </w:r>
      <w:r w:rsidR="00127B06" w:rsidRPr="009E0A0D">
        <w:rPr>
          <w:b/>
        </w:rPr>
        <w:t xml:space="preserve"> změn legislativy (nebo nová legislativa),</w:t>
      </w:r>
      <w:r w:rsidR="00127B06" w:rsidRPr="005B7E4F">
        <w:t xml:space="preserve"> která bude plně harmonizována s </w:t>
      </w:r>
      <w:proofErr w:type="spellStart"/>
      <w:r w:rsidR="00753140" w:rsidRPr="005B7E4F">
        <w:t>acquis</w:t>
      </w:r>
      <w:proofErr w:type="spellEnd"/>
      <w:r w:rsidR="00753140" w:rsidRPr="005B7E4F">
        <w:t xml:space="preserve"> </w:t>
      </w:r>
      <w:proofErr w:type="spellStart"/>
      <w:r w:rsidR="00753140" w:rsidRPr="005B7E4F">
        <w:t>commun</w:t>
      </w:r>
      <w:r w:rsidR="00753140">
        <w:t>au</w:t>
      </w:r>
      <w:r w:rsidR="00753140" w:rsidRPr="005B7E4F">
        <w:t>taire</w:t>
      </w:r>
      <w:proofErr w:type="spellEnd"/>
      <w:r w:rsidR="00753140" w:rsidRPr="005B7E4F">
        <w:t>,</w:t>
      </w:r>
      <w:r w:rsidR="00127B06" w:rsidRPr="005B7E4F">
        <w:t xml:space="preserve"> </w:t>
      </w:r>
      <w:r w:rsidRPr="005B7E4F">
        <w:t>a</w:t>
      </w:r>
      <w:r w:rsidR="00127B06" w:rsidRPr="005B7E4F">
        <w:t xml:space="preserve"> pomůže vytvořit právní prostředí podobné jako ve většině členských států</w:t>
      </w:r>
      <w:r w:rsidR="0017369F">
        <w:t xml:space="preserve"> EU</w:t>
      </w:r>
      <w:r w:rsidR="00127B06" w:rsidRPr="005B7E4F">
        <w:t xml:space="preserve">. </w:t>
      </w:r>
      <w:r w:rsidR="0017369F">
        <w:t xml:space="preserve">Tento návrh bude připraven ve spolupráci s PHPA a příslušnými entitními ministerstvy. </w:t>
      </w:r>
      <w:r w:rsidR="00127B06" w:rsidRPr="005B7E4F">
        <w:t xml:space="preserve">Paralelně budou probíhat </w:t>
      </w:r>
      <w:r w:rsidR="00127B06" w:rsidRPr="009E0A0D">
        <w:rPr>
          <w:b/>
        </w:rPr>
        <w:t>semináře</w:t>
      </w:r>
      <w:r w:rsidR="00127B06" w:rsidRPr="005B7E4F">
        <w:t xml:space="preserve"> pro zainteresované subjekty, kde budou prezentovány nová legislativa a výhody, které se projeví po jejím schválení.</w:t>
      </w:r>
      <w:r w:rsidR="0017369F">
        <w:t xml:space="preserve"> Nezbytnou součástí tohoto výstupu bude školení zaměstnanců relevantních státních organizací včetně následné evaluace</w:t>
      </w:r>
      <w:r w:rsidR="0017369F">
        <w:rPr>
          <w:bCs/>
          <w:color w:val="0C0C0E"/>
        </w:rPr>
        <w:t xml:space="preserve"> všech účastníků, jež by měla prověřit získané znalosti a současně umožnit zpětnou vazbu školitelům. Po celou dobu legislativní procesu, za jehož realizaci bude plně zodpovědná PHPA jako předkladatel, bude řešitel poskytovat plnou právní a poradenskou podporu.</w:t>
      </w:r>
    </w:p>
    <w:p w14:paraId="0C472F3C" w14:textId="77777777" w:rsidR="00127B06" w:rsidRPr="00091F84" w:rsidRDefault="00127B06" w:rsidP="00091F84">
      <w:pPr>
        <w:widowControl w:val="0"/>
        <w:spacing w:after="120" w:line="276" w:lineRule="auto"/>
        <w:jc w:val="both"/>
      </w:pPr>
    </w:p>
    <w:p w14:paraId="21EBD50F" w14:textId="77777777" w:rsidR="00127B06" w:rsidRPr="00325DED" w:rsidRDefault="00127B06" w:rsidP="008A49AC">
      <w:pPr>
        <w:spacing w:after="120" w:line="276" w:lineRule="auto"/>
        <w:jc w:val="both"/>
      </w:pPr>
      <w:r w:rsidRPr="00325DED">
        <w:rPr>
          <w:b/>
        </w:rPr>
        <w:t>Objektivně ověřitelné indikátory</w:t>
      </w:r>
      <w:r w:rsidRPr="00325DED">
        <w:t xml:space="preserve"> tohoto výstupu jsou: </w:t>
      </w:r>
    </w:p>
    <w:p w14:paraId="6F596621" w14:textId="77777777" w:rsidR="00127B06" w:rsidRPr="00325DED" w:rsidRDefault="00127B06" w:rsidP="007E7BCE">
      <w:pPr>
        <w:numPr>
          <w:ilvl w:val="0"/>
          <w:numId w:val="3"/>
        </w:numPr>
        <w:spacing w:after="120" w:line="276" w:lineRule="auto"/>
        <w:ind w:left="714" w:hanging="357"/>
        <w:jc w:val="both"/>
      </w:pPr>
      <w:r w:rsidRPr="00325DED">
        <w:t>Návrh příslušné legislativy plně harmonizované s legislativou EU (PHPA bude zodpovídat za předložení návrhu Parlamentu a v případě prováděcích předpisů za schvalovací postup v rámci Ministerstva)</w:t>
      </w:r>
      <w:r w:rsidR="007368DA">
        <w:t>.</w:t>
      </w:r>
    </w:p>
    <w:p w14:paraId="53AFFD58" w14:textId="313D9AA8" w:rsidR="00127B06" w:rsidRPr="00325DED" w:rsidRDefault="00127B06" w:rsidP="007E7BCE">
      <w:pPr>
        <w:numPr>
          <w:ilvl w:val="0"/>
          <w:numId w:val="3"/>
        </w:numPr>
        <w:spacing w:after="120" w:line="276" w:lineRule="auto"/>
        <w:ind w:left="714" w:hanging="357"/>
        <w:jc w:val="both"/>
      </w:pPr>
      <w:r w:rsidRPr="00325DED">
        <w:t xml:space="preserve">Nejméně </w:t>
      </w:r>
      <w:r w:rsidR="00A91118">
        <w:t>30</w:t>
      </w:r>
      <w:r w:rsidR="00A91118" w:rsidRPr="00325DED">
        <w:t xml:space="preserve"> </w:t>
      </w:r>
      <w:r w:rsidRPr="00325DED">
        <w:t>informovaných a proškolených zaměstnanců státní správ</w:t>
      </w:r>
      <w:r w:rsidR="00753140">
        <w:t>y</w:t>
      </w:r>
      <w:r w:rsidRPr="00325DED">
        <w:t>, kteří jsou zapojeni do procesu certifikace</w:t>
      </w:r>
      <w:r w:rsidR="007368DA">
        <w:t>.</w:t>
      </w:r>
    </w:p>
    <w:p w14:paraId="2196EE77" w14:textId="77777777" w:rsidR="00483E54" w:rsidRPr="005B7E4F" w:rsidRDefault="00483E54" w:rsidP="005E2619">
      <w:pPr>
        <w:spacing w:line="276" w:lineRule="auto"/>
        <w:ind w:right="-171"/>
        <w:jc w:val="both"/>
        <w:rPr>
          <w:sz w:val="22"/>
          <w:szCs w:val="22"/>
        </w:rPr>
      </w:pPr>
    </w:p>
    <w:p w14:paraId="3647085F" w14:textId="575941CD" w:rsidR="00BD552C" w:rsidRPr="008539FE" w:rsidRDefault="00D07C11" w:rsidP="00B47DB8">
      <w:pPr>
        <w:pStyle w:val="Nadpis3"/>
        <w:numPr>
          <w:ilvl w:val="0"/>
          <w:numId w:val="0"/>
        </w:numPr>
        <w:spacing w:before="360" w:after="120"/>
        <w:ind w:left="720" w:hanging="720"/>
        <w:rPr>
          <w:rFonts w:ascii="Times New Roman" w:hAnsi="Times New Roman"/>
          <w:sz w:val="24"/>
          <w:szCs w:val="24"/>
        </w:rPr>
      </w:pPr>
      <w:bookmarkStart w:id="18" w:name="_Toc370471087"/>
      <w:r>
        <w:rPr>
          <w:rFonts w:ascii="Times New Roman" w:hAnsi="Times New Roman"/>
          <w:sz w:val="24"/>
          <w:szCs w:val="24"/>
        </w:rPr>
        <w:t xml:space="preserve">Výstup č. 3: </w:t>
      </w:r>
      <w:r w:rsidR="005B7E4F" w:rsidRPr="008539FE">
        <w:rPr>
          <w:rFonts w:ascii="Times New Roman" w:hAnsi="Times New Roman"/>
          <w:sz w:val="24"/>
          <w:szCs w:val="24"/>
        </w:rPr>
        <w:t>Funkční systém pro registraci nových odrůd</w:t>
      </w:r>
      <w:bookmarkEnd w:id="18"/>
    </w:p>
    <w:p w14:paraId="5E1906BE" w14:textId="2362F20E" w:rsidR="00127B06" w:rsidRDefault="00D07C11" w:rsidP="008A49AC">
      <w:pPr>
        <w:widowControl w:val="0"/>
        <w:spacing w:after="120" w:line="276" w:lineRule="auto"/>
        <w:jc w:val="both"/>
      </w:pPr>
      <w:r>
        <w:t>Tento výstup je založen na aktivitách vedoucích k</w:t>
      </w:r>
      <w:r w:rsidR="00127B06">
        <w:t xml:space="preserve"> </w:t>
      </w:r>
      <w:r w:rsidR="00C23D84">
        <w:t>zavedení</w:t>
      </w:r>
      <w:r w:rsidR="00127B06">
        <w:t xml:space="preserve"> plně funkčního systému pro registraci nových odrůd, což je jedním ze základních požadavků na certifikaci rozmnožovacího materiálu rostlin.</w:t>
      </w:r>
    </w:p>
    <w:p w14:paraId="012485E3" w14:textId="378BBDA8" w:rsidR="00127B06" w:rsidRDefault="009E0A0D" w:rsidP="008A49AC">
      <w:pPr>
        <w:widowControl w:val="0"/>
        <w:spacing w:after="120" w:line="276" w:lineRule="auto"/>
        <w:jc w:val="both"/>
      </w:pPr>
      <w:r>
        <w:t xml:space="preserve">Hlavní aktivitou v rámci tohoto výstupu bude </w:t>
      </w:r>
      <w:r w:rsidRPr="009E0A0D">
        <w:rPr>
          <w:b/>
        </w:rPr>
        <w:t xml:space="preserve">vypracování návrhu potřebných změn (včetně </w:t>
      </w:r>
      <w:r>
        <w:rPr>
          <w:b/>
        </w:rPr>
        <w:t>potřebné legislativy a metodiky)</w:t>
      </w:r>
      <w:r>
        <w:t xml:space="preserve"> nutných pro zavedení funkčního systému registrace nových odrůd včetně pomoci </w:t>
      </w:r>
      <w:r w:rsidR="00F92237">
        <w:t xml:space="preserve">potřebné </w:t>
      </w:r>
      <w:r>
        <w:t xml:space="preserve">při jeho zavádění. </w:t>
      </w:r>
      <w:r w:rsidR="0017369F">
        <w:t xml:space="preserve">Tyto změny budou připravovány ve spolupráci s PHPA, která bude </w:t>
      </w:r>
      <w:r w:rsidR="00AA7738">
        <w:t xml:space="preserve">následně </w:t>
      </w:r>
      <w:r w:rsidR="0017369F">
        <w:t xml:space="preserve">zodpovědná za </w:t>
      </w:r>
      <w:r w:rsidR="00AA7738">
        <w:t xml:space="preserve">zavedení systému, a to </w:t>
      </w:r>
      <w:r w:rsidR="0017369F">
        <w:t xml:space="preserve">včetně vytvoření specializovaného oddělení a zajištění financování systému registrace v následujících letech. </w:t>
      </w:r>
      <w:r w:rsidR="001A13D9">
        <w:t xml:space="preserve">Pro lepší pochopení celého procesu bude uskutečněn </w:t>
      </w:r>
      <w:r w:rsidR="001A13D9" w:rsidRPr="001A13D9">
        <w:rPr>
          <w:b/>
        </w:rPr>
        <w:t>studijní pobyt v ČR</w:t>
      </w:r>
      <w:r w:rsidR="001A13D9">
        <w:t xml:space="preserve">. </w:t>
      </w:r>
      <w:r>
        <w:t xml:space="preserve">Nezbytnou součástí budou </w:t>
      </w:r>
      <w:r w:rsidR="00127B06" w:rsidRPr="009E0A0D">
        <w:rPr>
          <w:b/>
        </w:rPr>
        <w:t>semináře pro výrobce a šlechtitele</w:t>
      </w:r>
      <w:r w:rsidR="00AC5B64" w:rsidRPr="00A80CF5">
        <w:t>, vysvětlující návrh změn - jejich nezbytnost, výhodnost a vzájemnou provázanost se systémem certifikace rozmnožovacího materiálu.</w:t>
      </w:r>
      <w:r w:rsidR="00127B06" w:rsidRPr="00AC5B64">
        <w:t xml:space="preserve"> </w:t>
      </w:r>
    </w:p>
    <w:p w14:paraId="7131074A" w14:textId="77777777" w:rsidR="00127B06" w:rsidRPr="00091F84" w:rsidRDefault="00127B06" w:rsidP="00091F84">
      <w:pPr>
        <w:widowControl w:val="0"/>
        <w:spacing w:after="120" w:line="276" w:lineRule="auto"/>
        <w:jc w:val="both"/>
      </w:pPr>
    </w:p>
    <w:p w14:paraId="00F19A13" w14:textId="77777777" w:rsidR="00127B06" w:rsidRPr="00325DED" w:rsidRDefault="00127B06" w:rsidP="00D347FE">
      <w:pPr>
        <w:keepNext/>
        <w:spacing w:after="120" w:line="276" w:lineRule="auto"/>
        <w:jc w:val="both"/>
      </w:pPr>
      <w:r w:rsidRPr="00325DED">
        <w:rPr>
          <w:b/>
        </w:rPr>
        <w:lastRenderedPageBreak/>
        <w:t>Objektivně ověřitelné indikátory</w:t>
      </w:r>
      <w:r w:rsidRPr="00325DED">
        <w:t xml:space="preserve"> tohoto výstupu jsou: </w:t>
      </w:r>
    </w:p>
    <w:p w14:paraId="4FB0710A" w14:textId="5538BF48" w:rsidR="00127B06" w:rsidRPr="00325DED" w:rsidRDefault="0086276E" w:rsidP="007E7BCE">
      <w:pPr>
        <w:numPr>
          <w:ilvl w:val="0"/>
          <w:numId w:val="3"/>
        </w:numPr>
        <w:spacing w:after="120" w:line="276" w:lineRule="auto"/>
        <w:ind w:left="714" w:hanging="357"/>
        <w:jc w:val="both"/>
      </w:pPr>
      <w:r>
        <w:t>Modifikovaný proces</w:t>
      </w:r>
      <w:r w:rsidR="00127B06" w:rsidRPr="00325DED">
        <w:t xml:space="preserve"> registrace nových odrůd dle požadavků EU</w:t>
      </w:r>
      <w:r w:rsidR="004B26BF">
        <w:t>;</w:t>
      </w:r>
    </w:p>
    <w:p w14:paraId="3EED77EF" w14:textId="5E5C64DF" w:rsidR="00127B06" w:rsidRPr="00325DED" w:rsidRDefault="00127B06" w:rsidP="007E7BCE">
      <w:pPr>
        <w:numPr>
          <w:ilvl w:val="0"/>
          <w:numId w:val="3"/>
        </w:numPr>
        <w:spacing w:after="120" w:line="276" w:lineRule="auto"/>
        <w:ind w:left="714" w:hanging="357"/>
        <w:jc w:val="both"/>
      </w:pPr>
      <w:r w:rsidRPr="00325DED">
        <w:t>Nejméně 20 informovaných a proškolených zaměstnanců státní správy, kteří jsou zapojeni do procesu registrace</w:t>
      </w:r>
      <w:r w:rsidR="0062115E">
        <w:t xml:space="preserve"> </w:t>
      </w:r>
      <w:r w:rsidR="00EE7284">
        <w:t>n</w:t>
      </w:r>
      <w:r w:rsidR="0062115E">
        <w:t>ových odrůd</w:t>
      </w:r>
      <w:r w:rsidRPr="00325DED">
        <w:t>, včetně 10 školených v České republice</w:t>
      </w:r>
      <w:r w:rsidR="004B26BF">
        <w:t>.</w:t>
      </w:r>
    </w:p>
    <w:p w14:paraId="371ECEF6" w14:textId="77777777" w:rsidR="00127B06" w:rsidRPr="00325DED" w:rsidRDefault="00127B06" w:rsidP="00325DED">
      <w:pPr>
        <w:spacing w:after="120" w:line="276" w:lineRule="auto"/>
        <w:ind w:left="357"/>
        <w:jc w:val="both"/>
      </w:pPr>
    </w:p>
    <w:p w14:paraId="33F6839E" w14:textId="1CD53FD1" w:rsidR="00BD552C" w:rsidRPr="008539FE" w:rsidRDefault="003909E7" w:rsidP="00B47DB8">
      <w:pPr>
        <w:pStyle w:val="Nadpis3"/>
        <w:numPr>
          <w:ilvl w:val="0"/>
          <w:numId w:val="0"/>
        </w:numPr>
        <w:spacing w:before="360" w:after="120"/>
        <w:rPr>
          <w:rFonts w:ascii="Times New Roman" w:hAnsi="Times New Roman"/>
          <w:sz w:val="24"/>
          <w:szCs w:val="24"/>
        </w:rPr>
      </w:pPr>
      <w:bookmarkStart w:id="19" w:name="_Toc370471088"/>
      <w:r>
        <w:rPr>
          <w:rFonts w:ascii="Times New Roman" w:hAnsi="Times New Roman"/>
          <w:sz w:val="24"/>
          <w:szCs w:val="24"/>
        </w:rPr>
        <w:t>Výstup č. 4</w:t>
      </w:r>
      <w:r w:rsidR="00B47DB8">
        <w:rPr>
          <w:rFonts w:ascii="Times New Roman" w:hAnsi="Times New Roman"/>
          <w:sz w:val="24"/>
          <w:szCs w:val="24"/>
        </w:rPr>
        <w:t xml:space="preserve">: </w:t>
      </w:r>
      <w:r w:rsidR="004B26BF">
        <w:rPr>
          <w:rFonts w:ascii="Times New Roman" w:hAnsi="Times New Roman"/>
          <w:sz w:val="24"/>
          <w:szCs w:val="24"/>
        </w:rPr>
        <w:t>Obnovený  registr</w:t>
      </w:r>
      <w:r w:rsidR="00C23D84" w:rsidRPr="008539FE">
        <w:rPr>
          <w:rFonts w:ascii="Times New Roman" w:hAnsi="Times New Roman"/>
          <w:sz w:val="24"/>
          <w:szCs w:val="24"/>
        </w:rPr>
        <w:t xml:space="preserve"> producentů a dodavatelů v </w:t>
      </w:r>
      <w:proofErr w:type="gramStart"/>
      <w:r w:rsidR="00C23D84" w:rsidRPr="008539FE">
        <w:rPr>
          <w:rFonts w:ascii="Times New Roman" w:hAnsi="Times New Roman"/>
          <w:sz w:val="24"/>
          <w:szCs w:val="24"/>
        </w:rPr>
        <w:t>BaH</w:t>
      </w:r>
      <w:bookmarkEnd w:id="19"/>
      <w:proofErr w:type="gramEnd"/>
    </w:p>
    <w:p w14:paraId="13240C7C" w14:textId="77777777" w:rsidR="00127B06" w:rsidRPr="008A49AC" w:rsidRDefault="00C23D84" w:rsidP="008A49AC">
      <w:pPr>
        <w:widowControl w:val="0"/>
        <w:spacing w:after="120" w:line="276" w:lineRule="auto"/>
        <w:jc w:val="both"/>
      </w:pPr>
      <w:r w:rsidRPr="008A49AC">
        <w:t>Nezbytnou součástí fungujícího systému cert</w:t>
      </w:r>
      <w:r w:rsidR="004A1CEF" w:rsidRPr="008A49AC">
        <w:t>i</w:t>
      </w:r>
      <w:r w:rsidRPr="008A49AC">
        <w:t>fikace</w:t>
      </w:r>
      <w:r w:rsidR="00127B06" w:rsidRPr="008A49AC">
        <w:t xml:space="preserve"> je vytvoření systému kontroly rozmnožovacího materiálu, o kterém má registrovaný dodavatel povinnost vést záznamy a který je pěstován a uváděn na trh v souladu s platnými právními předpisy.</w:t>
      </w:r>
    </w:p>
    <w:p w14:paraId="68FF9A7B" w14:textId="12143408" w:rsidR="00127B06" w:rsidRPr="008A49AC" w:rsidRDefault="006B4FA9" w:rsidP="008A49AC">
      <w:pPr>
        <w:widowControl w:val="0"/>
        <w:spacing w:after="120" w:line="276" w:lineRule="auto"/>
        <w:jc w:val="both"/>
      </w:pPr>
      <w:r>
        <w:t>Po posouzení současného systému,</w:t>
      </w:r>
      <w:r w:rsidR="00127B06" w:rsidRPr="008A49AC">
        <w:t xml:space="preserve"> bude </w:t>
      </w:r>
      <w:r w:rsidRPr="00713042">
        <w:t>ve spolupráce s PHPA a s dalšími zainteresovanými subjekty</w:t>
      </w:r>
      <w:r w:rsidRPr="008A49AC">
        <w:t xml:space="preserve"> </w:t>
      </w:r>
      <w:r w:rsidR="00127B06" w:rsidRPr="008A49AC">
        <w:t xml:space="preserve">připraven </w:t>
      </w:r>
      <w:r w:rsidR="00127B06" w:rsidRPr="001A13D9">
        <w:rPr>
          <w:b/>
        </w:rPr>
        <w:t>podrobný návrh nového systému</w:t>
      </w:r>
      <w:r w:rsidR="008B4EA6">
        <w:rPr>
          <w:b/>
        </w:rPr>
        <w:t xml:space="preserve"> včetně potřebných </w:t>
      </w:r>
      <w:r>
        <w:rPr>
          <w:b/>
        </w:rPr>
        <w:t>postupů, metodik a příslušných legislativních změn</w:t>
      </w:r>
      <w:r w:rsidR="00127B06" w:rsidRPr="008A49AC">
        <w:t>. Systém bude plně v souladu s požadavky právních předpisů EU</w:t>
      </w:r>
      <w:r>
        <w:t xml:space="preserve"> a zároveň bude zohledňovat místní specifické podmínky</w:t>
      </w:r>
      <w:r w:rsidR="00127B06" w:rsidRPr="008A49AC">
        <w:t xml:space="preserve">. </w:t>
      </w:r>
      <w:r>
        <w:t>Pro dosažení výstupu č. 4</w:t>
      </w:r>
      <w:r w:rsidR="00127B06" w:rsidRPr="008A49AC">
        <w:t xml:space="preserve"> bude </w:t>
      </w:r>
      <w:r>
        <w:t xml:space="preserve">realizováno </w:t>
      </w:r>
      <w:r w:rsidR="00C23D84" w:rsidRPr="008A49AC">
        <w:t xml:space="preserve">i </w:t>
      </w:r>
      <w:r w:rsidR="00127B06" w:rsidRPr="008A49AC">
        <w:t xml:space="preserve">důkladné </w:t>
      </w:r>
      <w:r w:rsidR="00127B06" w:rsidRPr="001A13D9">
        <w:rPr>
          <w:b/>
        </w:rPr>
        <w:t xml:space="preserve">proškolení </w:t>
      </w:r>
      <w:r>
        <w:rPr>
          <w:b/>
        </w:rPr>
        <w:t xml:space="preserve">vybraných </w:t>
      </w:r>
      <w:r w:rsidR="00127B06" w:rsidRPr="001A13D9">
        <w:rPr>
          <w:b/>
        </w:rPr>
        <w:t>zaměstnanců,</w:t>
      </w:r>
      <w:r w:rsidR="00127B06" w:rsidRPr="008A49AC">
        <w:t xml:space="preserve"> kteří budou mít na starosti správu </w:t>
      </w:r>
      <w:r>
        <w:t xml:space="preserve">příslušného </w:t>
      </w:r>
      <w:r w:rsidR="00127B06" w:rsidRPr="008A49AC">
        <w:t>registru.</w:t>
      </w:r>
      <w:r>
        <w:t xml:space="preserve"> Nezbytným předpokladem k úspěšné realizaci této aktivity je efektivní spolupráce příslušných státních orgánů </w:t>
      </w:r>
      <w:proofErr w:type="spellStart"/>
      <w:r>
        <w:t>BaH</w:t>
      </w:r>
      <w:proofErr w:type="spellEnd"/>
      <w:r>
        <w:t xml:space="preserve"> s producenty a jejich svazy.</w:t>
      </w:r>
    </w:p>
    <w:p w14:paraId="30D64BAF" w14:textId="77777777" w:rsidR="00127B06" w:rsidRPr="00091F84" w:rsidRDefault="00127B06" w:rsidP="00091F84">
      <w:pPr>
        <w:widowControl w:val="0"/>
        <w:spacing w:after="120" w:line="276" w:lineRule="auto"/>
        <w:jc w:val="both"/>
      </w:pPr>
    </w:p>
    <w:p w14:paraId="28223ABD" w14:textId="77777777" w:rsidR="00127B06" w:rsidRPr="00325DED" w:rsidRDefault="00127B06" w:rsidP="008A49AC">
      <w:pPr>
        <w:spacing w:after="120" w:line="276" w:lineRule="auto"/>
        <w:jc w:val="both"/>
      </w:pPr>
      <w:r w:rsidRPr="00325DED">
        <w:rPr>
          <w:b/>
        </w:rPr>
        <w:t>Objektivně ověřitelné indikátory</w:t>
      </w:r>
      <w:r w:rsidRPr="00325DED">
        <w:t xml:space="preserve"> tohoto výstupu jsou: </w:t>
      </w:r>
    </w:p>
    <w:p w14:paraId="4434270C" w14:textId="0384F203" w:rsidR="00127B06" w:rsidRPr="00325DED" w:rsidRDefault="00127B06" w:rsidP="007E7BCE">
      <w:pPr>
        <w:numPr>
          <w:ilvl w:val="0"/>
          <w:numId w:val="3"/>
        </w:numPr>
        <w:spacing w:after="120" w:line="276" w:lineRule="auto"/>
        <w:ind w:left="714" w:hanging="357"/>
        <w:jc w:val="both"/>
      </w:pPr>
      <w:r w:rsidRPr="00325DED">
        <w:t>Kompletní návrh obnoveného registru osob (PHPA bude zodpovídat za jeho vytvoření včetně nezbytných právních kroků</w:t>
      </w:r>
      <w:r w:rsidR="004B26BF">
        <w:t>;</w:t>
      </w:r>
      <w:r w:rsidRPr="00325DED">
        <w:t xml:space="preserve"> </w:t>
      </w:r>
    </w:p>
    <w:p w14:paraId="1FCACEA7" w14:textId="2DAA774C" w:rsidR="00127B06" w:rsidRPr="00325DED" w:rsidRDefault="00127B06" w:rsidP="007E7BCE">
      <w:pPr>
        <w:numPr>
          <w:ilvl w:val="0"/>
          <w:numId w:val="3"/>
        </w:numPr>
        <w:spacing w:after="120" w:line="276" w:lineRule="auto"/>
        <w:ind w:left="714" w:hanging="357"/>
        <w:jc w:val="both"/>
      </w:pPr>
      <w:r w:rsidRPr="00325DED">
        <w:t xml:space="preserve">Nejméně </w:t>
      </w:r>
      <w:r w:rsidR="00A91118">
        <w:t>20</w:t>
      </w:r>
      <w:r w:rsidR="00A91118" w:rsidRPr="00325DED">
        <w:t xml:space="preserve"> </w:t>
      </w:r>
      <w:r w:rsidRPr="00325DED">
        <w:t>informovaných a proškolených zaměstnanců státní správy, kteří jsou zapojeni do procesu registrace, včetně 10 proškolených na v České republice</w:t>
      </w:r>
      <w:r w:rsidR="004B26BF">
        <w:t>.</w:t>
      </w:r>
    </w:p>
    <w:p w14:paraId="4266A799" w14:textId="77777777" w:rsidR="00127B06" w:rsidRPr="00127B06" w:rsidRDefault="00127B06" w:rsidP="005E2619">
      <w:pPr>
        <w:spacing w:line="276" w:lineRule="auto"/>
        <w:ind w:right="-171"/>
        <w:jc w:val="both"/>
        <w:rPr>
          <w:sz w:val="22"/>
          <w:szCs w:val="22"/>
        </w:rPr>
      </w:pPr>
    </w:p>
    <w:p w14:paraId="773864A2" w14:textId="563722CB" w:rsidR="00BD552C" w:rsidRPr="008539FE" w:rsidRDefault="00B47DB8" w:rsidP="00B47DB8">
      <w:pPr>
        <w:pStyle w:val="Nadpis3"/>
        <w:numPr>
          <w:ilvl w:val="0"/>
          <w:numId w:val="0"/>
        </w:numPr>
        <w:spacing w:before="360" w:after="120"/>
        <w:ind w:left="720" w:hanging="720"/>
        <w:rPr>
          <w:rFonts w:ascii="Times New Roman" w:hAnsi="Times New Roman"/>
          <w:sz w:val="24"/>
          <w:szCs w:val="24"/>
        </w:rPr>
      </w:pPr>
      <w:bookmarkStart w:id="20" w:name="_Toc370471089"/>
      <w:r>
        <w:rPr>
          <w:rFonts w:ascii="Times New Roman" w:hAnsi="Times New Roman"/>
          <w:sz w:val="24"/>
          <w:szCs w:val="24"/>
        </w:rPr>
        <w:t xml:space="preserve">Výstup č. 5: </w:t>
      </w:r>
      <w:r w:rsidR="00C23D84" w:rsidRPr="008539FE">
        <w:rPr>
          <w:rFonts w:ascii="Times New Roman" w:hAnsi="Times New Roman"/>
          <w:sz w:val="24"/>
          <w:szCs w:val="24"/>
        </w:rPr>
        <w:t xml:space="preserve">Kvalitnější produkce školek </w:t>
      </w:r>
      <w:r w:rsidR="00AC5B64">
        <w:rPr>
          <w:rFonts w:ascii="Times New Roman" w:hAnsi="Times New Roman"/>
          <w:sz w:val="24"/>
          <w:szCs w:val="24"/>
        </w:rPr>
        <w:t>pěstujících</w:t>
      </w:r>
      <w:r w:rsidR="00AC5B64" w:rsidRPr="008539FE">
        <w:rPr>
          <w:rFonts w:ascii="Times New Roman" w:hAnsi="Times New Roman"/>
          <w:sz w:val="24"/>
          <w:szCs w:val="24"/>
        </w:rPr>
        <w:t xml:space="preserve"> </w:t>
      </w:r>
      <w:r w:rsidR="00C23D84" w:rsidRPr="008539FE">
        <w:rPr>
          <w:rFonts w:ascii="Times New Roman" w:hAnsi="Times New Roman"/>
          <w:sz w:val="24"/>
          <w:szCs w:val="24"/>
        </w:rPr>
        <w:t>trvalé kultury</w:t>
      </w:r>
      <w:bookmarkEnd w:id="20"/>
    </w:p>
    <w:p w14:paraId="497982B4" w14:textId="6C49C459" w:rsidR="00127B06" w:rsidRPr="008A49AC" w:rsidRDefault="00127B06" w:rsidP="008A49AC">
      <w:pPr>
        <w:widowControl w:val="0"/>
        <w:spacing w:after="120" w:line="276" w:lineRule="auto"/>
        <w:jc w:val="both"/>
      </w:pPr>
      <w:r w:rsidRPr="008A49AC">
        <w:t xml:space="preserve">Je třeba, aby rostlinné školky v Bosně a Hercegovině nadále pokračovaly v adaptaci na nové technologie a splňovaly standardy EU, aby zůstaly konkurenceschopné a dodávaly producentům jak na domácí tak na </w:t>
      </w:r>
      <w:r w:rsidR="00AC5B64">
        <w:t>mezinárodní</w:t>
      </w:r>
      <w:r w:rsidR="00AC5B64" w:rsidRPr="008A49AC">
        <w:t xml:space="preserve"> </w:t>
      </w:r>
      <w:r w:rsidRPr="008A49AC">
        <w:t xml:space="preserve">úrovni vysoce kvalitní </w:t>
      </w:r>
      <w:r w:rsidR="00C23D84" w:rsidRPr="008A49AC">
        <w:t xml:space="preserve">zdravotně nezávadný </w:t>
      </w:r>
      <w:r w:rsidR="004A1CEF" w:rsidRPr="008A49AC">
        <w:t>rostlinný materiál</w:t>
      </w:r>
      <w:r w:rsidR="00C23D84" w:rsidRPr="008A49AC">
        <w:t>.</w:t>
      </w:r>
      <w:r w:rsidRPr="008A49AC">
        <w:t xml:space="preserve"> </w:t>
      </w:r>
      <w:r w:rsidR="001A13D9">
        <w:t>Budou připravena</w:t>
      </w:r>
      <w:r w:rsidR="004A1CEF" w:rsidRPr="008A49AC">
        <w:t xml:space="preserve"> </w:t>
      </w:r>
      <w:r w:rsidR="004A1CEF" w:rsidRPr="001A13D9">
        <w:rPr>
          <w:b/>
        </w:rPr>
        <w:t xml:space="preserve">pravidelná školení a </w:t>
      </w:r>
      <w:r w:rsidR="004B26BF">
        <w:rPr>
          <w:b/>
        </w:rPr>
        <w:t xml:space="preserve">poskytnuta </w:t>
      </w:r>
      <w:r w:rsidR="004A1CEF" w:rsidRPr="001A13D9">
        <w:rPr>
          <w:b/>
        </w:rPr>
        <w:t>podpora</w:t>
      </w:r>
      <w:r w:rsidR="00016517">
        <w:rPr>
          <w:b/>
        </w:rPr>
        <w:t xml:space="preserve"> (poradenství)</w:t>
      </w:r>
      <w:r w:rsidR="004A1CEF" w:rsidRPr="008A49AC">
        <w:t xml:space="preserve"> v tématech, jako jsou změny v legislativě</w:t>
      </w:r>
      <w:r w:rsidR="005E2619" w:rsidRPr="008A49AC">
        <w:t xml:space="preserve"> v režimech kontroly,</w:t>
      </w:r>
      <w:r w:rsidR="004A1CEF" w:rsidRPr="008A49AC">
        <w:t xml:space="preserve"> </w:t>
      </w:r>
      <w:r w:rsidR="004B26BF" w:rsidRPr="008A49AC">
        <w:t>symptomatick</w:t>
      </w:r>
      <w:r w:rsidR="004B26BF">
        <w:t>á</w:t>
      </w:r>
      <w:r w:rsidR="004B26BF" w:rsidRPr="008A49AC">
        <w:t xml:space="preserve"> a asymptomatick</w:t>
      </w:r>
      <w:r w:rsidR="004B26BF">
        <w:t>á školení,</w:t>
      </w:r>
      <w:r w:rsidR="004A1CEF" w:rsidRPr="008A49AC">
        <w:t xml:space="preserve"> zavádění nových odrůd, provádění zkoušek a další. </w:t>
      </w:r>
      <w:r w:rsidR="005E2619" w:rsidRPr="008A49AC">
        <w:t>Součástí bude i jasná</w:t>
      </w:r>
      <w:r w:rsidRPr="008A49AC">
        <w:t xml:space="preserve"> </w:t>
      </w:r>
      <w:r w:rsidR="00AC5B64" w:rsidRPr="001A13D9">
        <w:rPr>
          <w:b/>
        </w:rPr>
        <w:t>diferenciac</w:t>
      </w:r>
      <w:r w:rsidR="00AC5B64">
        <w:rPr>
          <w:b/>
        </w:rPr>
        <w:t>e</w:t>
      </w:r>
      <w:r w:rsidR="00AC5B64" w:rsidRPr="001A13D9">
        <w:rPr>
          <w:b/>
        </w:rPr>
        <w:t xml:space="preserve"> </w:t>
      </w:r>
      <w:r w:rsidR="001A13D9" w:rsidRPr="001A13D9">
        <w:rPr>
          <w:b/>
        </w:rPr>
        <w:t>(analýza</w:t>
      </w:r>
      <w:r w:rsidR="001A13D9">
        <w:t>)</w:t>
      </w:r>
      <w:r w:rsidRPr="008A49AC">
        <w:t xml:space="preserve"> mezi profesionálními a neprofesionálními školkami, stejně jako mezi školkami pro mateřské rostliny a produkčními školkami. </w:t>
      </w:r>
      <w:r w:rsidR="006B4FA9">
        <w:t xml:space="preserve">Další aktivitou v rámci tohoto výstupu bude </w:t>
      </w:r>
      <w:r w:rsidR="006B4FA9" w:rsidRPr="006B4FA9">
        <w:rPr>
          <w:b/>
        </w:rPr>
        <w:t>studijní pobyt</w:t>
      </w:r>
      <w:r w:rsidR="006B4FA9">
        <w:t xml:space="preserve"> </w:t>
      </w:r>
      <w:r w:rsidR="00B3661F" w:rsidRPr="00B3661F">
        <w:rPr>
          <w:b/>
        </w:rPr>
        <w:t>v ČR</w:t>
      </w:r>
      <w:r w:rsidR="00B3661F">
        <w:t xml:space="preserve"> pro </w:t>
      </w:r>
      <w:r w:rsidR="006B4FA9">
        <w:t>vybran</w:t>
      </w:r>
      <w:r w:rsidR="00B3661F">
        <w:t>é</w:t>
      </w:r>
      <w:r w:rsidR="006B4FA9">
        <w:t xml:space="preserve"> </w:t>
      </w:r>
      <w:r w:rsidR="00B3661F">
        <w:t>bosenské producenty</w:t>
      </w:r>
      <w:r w:rsidR="004C3C33">
        <w:t xml:space="preserve"> rostlinného </w:t>
      </w:r>
      <w:r w:rsidR="00B3661F" w:rsidRPr="00C240AC">
        <w:t xml:space="preserve">rozmnožovacího </w:t>
      </w:r>
      <w:r w:rsidR="004C3C33">
        <w:t>materiálu.</w:t>
      </w:r>
      <w:r w:rsidR="006B4FA9">
        <w:t xml:space="preserve"> </w:t>
      </w:r>
      <w:r w:rsidR="004C3C33">
        <w:t>Účelem tohoto studijního pobytu bude</w:t>
      </w:r>
      <w:r w:rsidR="006B4FA9">
        <w:t xml:space="preserve"> představ</w:t>
      </w:r>
      <w:r w:rsidR="004C3C33">
        <w:t>ení</w:t>
      </w:r>
      <w:r w:rsidR="006B4FA9">
        <w:t xml:space="preserve"> fungující systém státní správy</w:t>
      </w:r>
      <w:r w:rsidR="004C3C33">
        <w:t xml:space="preserve"> včetně úřední kontroly a umožnění</w:t>
      </w:r>
      <w:r w:rsidR="006B4FA9">
        <w:t xml:space="preserve"> navázání kontaktů s producenty (včetně svazu) z ČR.</w:t>
      </w:r>
      <w:r w:rsidR="008B4EA6">
        <w:t xml:space="preserve"> </w:t>
      </w:r>
      <w:r w:rsidRPr="008A49AC">
        <w:t>V rámci této aktivity bude ÚKZÚZ úzce spolupracovat s Fakultou zemědělství University Sarajevo na jejím modelovém pozemku v </w:t>
      </w:r>
      <w:proofErr w:type="spellStart"/>
      <w:r w:rsidRPr="008A49AC">
        <w:t>Butmiru</w:t>
      </w:r>
      <w:proofErr w:type="spellEnd"/>
      <w:r w:rsidRPr="008A49AC">
        <w:t xml:space="preserve">, který byl založen </w:t>
      </w:r>
      <w:r w:rsidRPr="008A49AC">
        <w:lastRenderedPageBreak/>
        <w:t>v rámci projektu FARMA</w:t>
      </w:r>
      <w:r w:rsidR="004B26BF">
        <w:t>,</w:t>
      </w:r>
      <w:r w:rsidRPr="008A49AC">
        <w:t xml:space="preserve"> a bude také jedním z příjemců.</w:t>
      </w:r>
      <w:r w:rsidR="004C3C33">
        <w:t xml:space="preserve"> Předpokladem úspěšné realizace je zajištění motivace vybraných producentů plně se zúčastnit plánovaných aktivit.  Nelze ani opomenout nákup vybavení pro dvě vybrané školky, který bude plně realizován z US kofinancování.</w:t>
      </w:r>
    </w:p>
    <w:p w14:paraId="559803F0" w14:textId="77777777" w:rsidR="00127B06" w:rsidRDefault="00127B06" w:rsidP="00091F84">
      <w:pPr>
        <w:widowControl w:val="0"/>
        <w:spacing w:after="120" w:line="276" w:lineRule="auto"/>
        <w:jc w:val="both"/>
      </w:pPr>
    </w:p>
    <w:p w14:paraId="43DBF224" w14:textId="77777777" w:rsidR="00127B06" w:rsidRPr="00325DED" w:rsidRDefault="00127B06" w:rsidP="008A49AC">
      <w:pPr>
        <w:spacing w:after="120" w:line="276" w:lineRule="auto"/>
        <w:jc w:val="both"/>
      </w:pPr>
      <w:r w:rsidRPr="00325DED">
        <w:rPr>
          <w:b/>
        </w:rPr>
        <w:t>Objektivně ověřitelné indikátory</w:t>
      </w:r>
      <w:r w:rsidRPr="00325DED">
        <w:t xml:space="preserve"> tohoto výstupu jsou: </w:t>
      </w:r>
    </w:p>
    <w:p w14:paraId="67E534C1" w14:textId="1C3EABBA" w:rsidR="00127B06" w:rsidRDefault="00127B06" w:rsidP="007E7BCE">
      <w:pPr>
        <w:numPr>
          <w:ilvl w:val="0"/>
          <w:numId w:val="3"/>
        </w:numPr>
        <w:spacing w:after="120" w:line="276" w:lineRule="auto"/>
        <w:ind w:left="714" w:hanging="357"/>
        <w:jc w:val="both"/>
      </w:pPr>
      <w:r w:rsidRPr="00325DED">
        <w:t xml:space="preserve">Nejméně 10 </w:t>
      </w:r>
      <w:r w:rsidR="00EE7284" w:rsidRPr="00325DED">
        <w:t>školek</w:t>
      </w:r>
      <w:r w:rsidR="00EE7284">
        <w:t xml:space="preserve"> bude proškoleno</w:t>
      </w:r>
      <w:r w:rsidRPr="00325DED">
        <w:t xml:space="preserve"> na nové technologie a EU standardy </w:t>
      </w:r>
    </w:p>
    <w:p w14:paraId="7EF7937C" w14:textId="4A2ED523" w:rsidR="00EE7284" w:rsidRPr="00D347FE" w:rsidRDefault="00EE7284" w:rsidP="007E7BCE">
      <w:pPr>
        <w:numPr>
          <w:ilvl w:val="0"/>
          <w:numId w:val="3"/>
        </w:numPr>
        <w:spacing w:after="120" w:line="276" w:lineRule="auto"/>
        <w:ind w:left="714" w:hanging="357"/>
        <w:jc w:val="both"/>
      </w:pPr>
      <w:r>
        <w:t xml:space="preserve">Nejméně dvě školky budou produkovat </w:t>
      </w:r>
      <w:r w:rsidRPr="00EE7284">
        <w:rPr>
          <w:sz w:val="22"/>
          <w:szCs w:val="22"/>
        </w:rPr>
        <w:t xml:space="preserve">certifikovaný </w:t>
      </w:r>
      <w:r w:rsidR="00D347FE">
        <w:rPr>
          <w:sz w:val="22"/>
          <w:szCs w:val="22"/>
        </w:rPr>
        <w:t>zdravotně nezávadný materiál</w:t>
      </w:r>
    </w:p>
    <w:p w14:paraId="01B370B7" w14:textId="77777777" w:rsidR="00D347FE" w:rsidRPr="00325DED" w:rsidRDefault="00D347FE" w:rsidP="00D347FE">
      <w:pPr>
        <w:spacing w:after="120" w:line="276" w:lineRule="auto"/>
        <w:ind w:left="714"/>
        <w:jc w:val="both"/>
      </w:pPr>
    </w:p>
    <w:p w14:paraId="45C1871C" w14:textId="77777777" w:rsidR="0073264D" w:rsidRPr="00DA016C" w:rsidRDefault="0073264D" w:rsidP="006B640B">
      <w:pPr>
        <w:pStyle w:val="Nadpis1"/>
        <w:spacing w:before="600" w:after="240"/>
        <w:ind w:left="431" w:hanging="431"/>
      </w:pPr>
      <w:bookmarkStart w:id="21" w:name="_Toc370471090"/>
      <w:r w:rsidRPr="00DA016C">
        <w:t>Postup realizace a monitoring</w:t>
      </w:r>
      <w:bookmarkEnd w:id="21"/>
    </w:p>
    <w:p w14:paraId="2C69203B" w14:textId="023B3FE1" w:rsidR="0071563A" w:rsidRDefault="0071563A" w:rsidP="008A49AC">
      <w:pPr>
        <w:widowControl w:val="0"/>
        <w:spacing w:after="120" w:line="276" w:lineRule="auto"/>
        <w:jc w:val="both"/>
      </w:pPr>
      <w:r w:rsidRPr="00C240AC">
        <w:t>Hlavním českým řešitel</w:t>
      </w:r>
      <w:r w:rsidR="00B3661F">
        <w:t>em</w:t>
      </w:r>
      <w:r w:rsidRPr="00C240AC">
        <w:t xml:space="preserve"> bude Ústřední kontrolní a zkušebn</w:t>
      </w:r>
      <w:r w:rsidR="00114109">
        <w:t>í ústav zemědělský</w:t>
      </w:r>
      <w:r w:rsidR="00B3661F">
        <w:t xml:space="preserve"> (ÚKZÚS)</w:t>
      </w:r>
      <w:r w:rsidR="00114109">
        <w:t>, který je v Č</w:t>
      </w:r>
      <w:r w:rsidRPr="00C240AC">
        <w:t>eské republice odpovědný za celý proces certifikace rostlinného rozmnožovacího</w:t>
      </w:r>
      <w:r w:rsidR="00B96481" w:rsidRPr="00C240AC">
        <w:t xml:space="preserve"> materiálu včetně úřední kontro</w:t>
      </w:r>
      <w:r w:rsidRPr="00C240AC">
        <w:t>l</w:t>
      </w:r>
      <w:r w:rsidR="00B96481" w:rsidRPr="00C240AC">
        <w:t>y</w:t>
      </w:r>
      <w:r w:rsidR="00B3661F">
        <w:t xml:space="preserve">. ÚKZÚS současně zastupuje </w:t>
      </w:r>
      <w:r w:rsidR="00114109">
        <w:t>Č</w:t>
      </w:r>
      <w:r w:rsidR="00114109" w:rsidRPr="00C240AC">
        <w:t xml:space="preserve">R v orgánech EU </w:t>
      </w:r>
      <w:r w:rsidR="00114109">
        <w:t>v rámci této</w:t>
      </w:r>
      <w:r w:rsidR="00114109" w:rsidRPr="00C240AC">
        <w:t xml:space="preserve"> problematiky a </w:t>
      </w:r>
      <w:r w:rsidR="001621BD" w:rsidRPr="00C240AC">
        <w:t>připrav</w:t>
      </w:r>
      <w:r w:rsidR="001621BD">
        <w:t>uje</w:t>
      </w:r>
      <w:r w:rsidR="00114109" w:rsidRPr="00C240AC">
        <w:t xml:space="preserve"> </w:t>
      </w:r>
      <w:r w:rsidR="00114109">
        <w:t>příslušné</w:t>
      </w:r>
      <w:r w:rsidR="00B3661F">
        <w:t xml:space="preserve"> legislativy ve spolupráci</w:t>
      </w:r>
      <w:r w:rsidR="00114109" w:rsidRPr="00C240AC">
        <w:t xml:space="preserve"> s Ministerstvem zemědělství</w:t>
      </w:r>
      <w:r w:rsidR="00B3661F">
        <w:t xml:space="preserve"> ČR</w:t>
      </w:r>
      <w:r w:rsidR="00114109" w:rsidRPr="00C240AC">
        <w:t xml:space="preserve">. </w:t>
      </w:r>
      <w:r w:rsidR="00B96481" w:rsidRPr="00C240AC">
        <w:t xml:space="preserve">Kromě samotných expertů </w:t>
      </w:r>
      <w:r w:rsidR="00DA26B5" w:rsidRPr="00C240AC">
        <w:t>ÚKZÚZ budou</w:t>
      </w:r>
      <w:r w:rsidR="00C240AC" w:rsidRPr="00C240AC">
        <w:t xml:space="preserve"> zapojeni </w:t>
      </w:r>
      <w:r w:rsidR="00B3661F">
        <w:t xml:space="preserve">i </w:t>
      </w:r>
      <w:r w:rsidR="00C240AC" w:rsidRPr="00C240AC">
        <w:t xml:space="preserve">experti z odborné </w:t>
      </w:r>
      <w:r w:rsidR="00C240AC">
        <w:t>veřejnosti (</w:t>
      </w:r>
      <w:r w:rsidR="00C240AC" w:rsidRPr="00C240AC">
        <w:t>Ovocnářská Unie, Svaz školkařů, Právnická fakulta MU, Výzkumný a šlechtitelský ústav ovocnářský</w:t>
      </w:r>
      <w:r w:rsidR="00B3661F">
        <w:t xml:space="preserve"> </w:t>
      </w:r>
      <w:r w:rsidR="00C240AC" w:rsidRPr="00C240AC">
        <w:t xml:space="preserve">Holovousy </w:t>
      </w:r>
      <w:proofErr w:type="spellStart"/>
      <w:r w:rsidR="00C240AC" w:rsidRPr="00C240AC">
        <w:t>s.r.o</w:t>
      </w:r>
      <w:proofErr w:type="spellEnd"/>
      <w:r w:rsidR="00C240AC">
        <w:t>)</w:t>
      </w:r>
      <w:r w:rsidR="00C240AC" w:rsidRPr="00C240AC">
        <w:t>.</w:t>
      </w:r>
    </w:p>
    <w:p w14:paraId="58062FDA" w14:textId="7ED4467D" w:rsidR="0071563A" w:rsidRDefault="00C240AC" w:rsidP="008A49AC">
      <w:pPr>
        <w:widowControl w:val="0"/>
        <w:spacing w:after="120" w:line="276" w:lineRule="auto"/>
        <w:jc w:val="both"/>
      </w:pPr>
      <w:r>
        <w:t>Časový</w:t>
      </w:r>
      <w:r w:rsidR="0071563A">
        <w:t xml:space="preserve"> plán realizace jednotlivých aktivit je součástí projekt</w:t>
      </w:r>
      <w:r>
        <w:t xml:space="preserve">ového dokumentu viz příloha </w:t>
      </w:r>
      <w:r w:rsidR="00C57B01">
        <w:t xml:space="preserve">č. </w:t>
      </w:r>
      <w:r>
        <w:t xml:space="preserve">2 </w:t>
      </w:r>
      <w:r w:rsidR="00E8777B">
        <w:t>– Časový harmonogram aktivit projektu.</w:t>
      </w:r>
    </w:p>
    <w:p w14:paraId="0066B5C9" w14:textId="086A5059" w:rsidR="00C240AC" w:rsidRDefault="00C240AC" w:rsidP="008A49AC">
      <w:pPr>
        <w:widowControl w:val="0"/>
        <w:spacing w:after="120" w:line="276" w:lineRule="auto"/>
        <w:jc w:val="both"/>
      </w:pPr>
      <w:r>
        <w:t>Každé tři měsíce bude zpracován</w:t>
      </w:r>
      <w:r w:rsidR="00114109">
        <w:t>a zpráva (</w:t>
      </w:r>
      <w:proofErr w:type="spellStart"/>
      <w:r w:rsidR="00114109">
        <w:t>Quarterly</w:t>
      </w:r>
      <w:proofErr w:type="spellEnd"/>
      <w:r w:rsidR="00114109">
        <w:t xml:space="preserve"> Report), je</w:t>
      </w:r>
      <w:r>
        <w:t xml:space="preserve">ž podrobně popíše stav projektu včetně uskutečněných aktivit. Tato zpráva bude zpracována ÚKZÚZ v kooperaci s partnery v zemi příjemce. Součástí projektu bude i vypracování </w:t>
      </w:r>
      <w:r w:rsidR="00B3661F">
        <w:t xml:space="preserve">závěrečné </w:t>
      </w:r>
      <w:r>
        <w:t>zprávy (</w:t>
      </w:r>
      <w:proofErr w:type="spellStart"/>
      <w:r>
        <w:t>Final</w:t>
      </w:r>
      <w:proofErr w:type="spellEnd"/>
      <w:r>
        <w:t xml:space="preserve"> Report)</w:t>
      </w:r>
      <w:r w:rsidR="00DA26B5">
        <w:t xml:space="preserve">. </w:t>
      </w:r>
    </w:p>
    <w:p w14:paraId="0389C78A" w14:textId="77777777" w:rsidR="0073264D" w:rsidRPr="00DA016C" w:rsidRDefault="0073264D" w:rsidP="006B640B">
      <w:pPr>
        <w:pStyle w:val="Nadpis1"/>
        <w:spacing w:before="600" w:after="240"/>
        <w:ind w:left="431" w:hanging="431"/>
      </w:pPr>
      <w:bookmarkStart w:id="22" w:name="_Toc370471091"/>
      <w:r w:rsidRPr="00DA016C">
        <w:t>Faktory kvality a udržitelnosti výsledků projektu</w:t>
      </w:r>
      <w:bookmarkEnd w:id="22"/>
      <w:r w:rsidRPr="00DA016C">
        <w:t xml:space="preserve"> </w:t>
      </w:r>
    </w:p>
    <w:p w14:paraId="57B8AAA9" w14:textId="77777777" w:rsidR="0073264D" w:rsidRPr="007E7BCE" w:rsidRDefault="0073264D" w:rsidP="00787D4B">
      <w:pPr>
        <w:pStyle w:val="Nadpis2"/>
        <w:spacing w:before="360" w:after="120"/>
        <w:ind w:left="578" w:hanging="578"/>
        <w:rPr>
          <w:rFonts w:ascii="Cambria" w:hAnsi="Cambria"/>
          <w:sz w:val="26"/>
          <w:szCs w:val="26"/>
        </w:rPr>
      </w:pPr>
      <w:bookmarkStart w:id="23" w:name="_Toc370471092"/>
      <w:r w:rsidRPr="007E7BCE">
        <w:rPr>
          <w:rFonts w:ascii="Cambria" w:hAnsi="Cambria"/>
          <w:sz w:val="26"/>
          <w:szCs w:val="26"/>
        </w:rPr>
        <w:t>Participace a vlastnictví projektu příjemci</w:t>
      </w:r>
      <w:bookmarkEnd w:id="23"/>
    </w:p>
    <w:p w14:paraId="3549DFC4" w14:textId="4354E3C5" w:rsidR="00114109" w:rsidRDefault="00B3661F" w:rsidP="00114109">
      <w:pPr>
        <w:widowControl w:val="0"/>
        <w:spacing w:after="120" w:line="276" w:lineRule="auto"/>
        <w:jc w:val="both"/>
      </w:pPr>
      <w:r>
        <w:t>Projekt vychází z identifikačního projektového námětu, který předložil místní partner projektu Rostlinolékařská s</w:t>
      </w:r>
      <w:r w:rsidRPr="00FF0C23">
        <w:t xml:space="preserve">práva </w:t>
      </w:r>
      <w:r>
        <w:t>Bosny a </w:t>
      </w:r>
      <w:r w:rsidRPr="00FF0C23">
        <w:t>Hercegoviny (PHPA</w:t>
      </w:r>
      <w:r>
        <w:t xml:space="preserve">). </w:t>
      </w:r>
      <w:r w:rsidR="00E8777B">
        <w:t>Projekt byl formulován s důrazem na potřeby zemědělského sektoru BaH v souladu s rozvojovou strategií země. Hlavní partner v </w:t>
      </w:r>
      <w:proofErr w:type="gramStart"/>
      <w:r w:rsidR="00E8777B">
        <w:t>BaH</w:t>
      </w:r>
      <w:proofErr w:type="gramEnd"/>
      <w:r w:rsidR="00E8777B">
        <w:t xml:space="preserve"> i příjemci pomoci jsou </w:t>
      </w:r>
      <w:r w:rsidR="00757275">
        <w:t xml:space="preserve">převážně </w:t>
      </w:r>
      <w:r w:rsidR="00E8777B">
        <w:t xml:space="preserve">státními institucemi, které mají na realizaci projektu </w:t>
      </w:r>
      <w:r>
        <w:t>eminentní</w:t>
      </w:r>
      <w:r w:rsidR="00E8777B">
        <w:t xml:space="preserve"> zájem. Získání přístupu na trh EU je důležité z hlediska exportu zemědělské výroby a zároveň dalším krokem na cestě k postupnému sbližování s</w:t>
      </w:r>
      <w:r w:rsidR="00757275">
        <w:t> </w:t>
      </w:r>
      <w:r w:rsidR="00E8777B">
        <w:t>EU</w:t>
      </w:r>
      <w:r w:rsidR="00757275">
        <w:t xml:space="preserve"> včetně harmonizace </w:t>
      </w:r>
      <w:r w:rsidR="00114109">
        <w:t xml:space="preserve">legislativy </w:t>
      </w:r>
      <w:proofErr w:type="spellStart"/>
      <w:r w:rsidR="00114109">
        <w:t>BaH</w:t>
      </w:r>
      <w:proofErr w:type="spellEnd"/>
      <w:r w:rsidR="00114109">
        <w:t xml:space="preserve"> s </w:t>
      </w:r>
      <w:proofErr w:type="spellStart"/>
      <w:r w:rsidR="00114109" w:rsidRPr="00757275">
        <w:t>acqui</w:t>
      </w:r>
      <w:r w:rsidR="00114109">
        <w:t>s</w:t>
      </w:r>
      <w:proofErr w:type="spellEnd"/>
      <w:r w:rsidR="00114109" w:rsidRPr="00757275">
        <w:t xml:space="preserve"> </w:t>
      </w:r>
      <w:proofErr w:type="spellStart"/>
      <w:r w:rsidR="00114109" w:rsidRPr="00757275">
        <w:t>communautaire</w:t>
      </w:r>
      <w:proofErr w:type="spellEnd"/>
      <w:r w:rsidR="00114109">
        <w:t xml:space="preserve">. </w:t>
      </w:r>
    </w:p>
    <w:p w14:paraId="2E807E34" w14:textId="3B7857AE" w:rsidR="00E8777B" w:rsidRDefault="00757275" w:rsidP="008A49AC">
      <w:pPr>
        <w:widowControl w:val="0"/>
        <w:spacing w:after="120" w:line="276" w:lineRule="auto"/>
        <w:jc w:val="both"/>
        <w:rPr>
          <w:noProof/>
        </w:rPr>
      </w:pPr>
      <w:r>
        <w:t>Kromě zadav</w:t>
      </w:r>
      <w:r w:rsidR="00594797">
        <w:t>atele</w:t>
      </w:r>
      <w:r>
        <w:t xml:space="preserve"> (</w:t>
      </w:r>
      <w:r w:rsidR="00594797">
        <w:t>ČR</w:t>
      </w:r>
      <w:r>
        <w:t xml:space="preserve">A) se na identifikaci problému a následné formulaci projektu podílel především Ústřední kontrolní a zkušební ústav zemědělský (ÚKZÚZ), který zpracoval </w:t>
      </w:r>
      <w:r>
        <w:lastRenderedPageBreak/>
        <w:t>evaluační zprávu</w:t>
      </w:r>
      <w:r w:rsidR="00A102D6">
        <w:t>,</w:t>
      </w:r>
      <w:r w:rsidR="009F215C">
        <w:t xml:space="preserve"> týkající se současného stavu systému kontroly a certifikace rozmnožovacího materiálu v </w:t>
      </w:r>
      <w:proofErr w:type="gramStart"/>
      <w:r w:rsidR="009F215C">
        <w:t>BaH</w:t>
      </w:r>
      <w:proofErr w:type="gramEnd"/>
      <w:r w:rsidR="009F215C">
        <w:t xml:space="preserve">, </w:t>
      </w:r>
      <w:r w:rsidR="00A102D6">
        <w:t xml:space="preserve">jejíž </w:t>
      </w:r>
      <w:r w:rsidR="009F215C">
        <w:t>závěry byly použity při formulaci tohoto projektu</w:t>
      </w:r>
      <w:r w:rsidR="009F215C">
        <w:rPr>
          <w:rStyle w:val="Znakapoznpodarou"/>
        </w:rPr>
        <w:footnoteReference w:id="35"/>
      </w:r>
      <w:r w:rsidR="009F215C">
        <w:t xml:space="preserve">. </w:t>
      </w:r>
      <w:r w:rsidR="00594797">
        <w:t>Během evaluačních misí i formulac</w:t>
      </w:r>
      <w:r w:rsidR="0086276E">
        <w:t>e</w:t>
      </w:r>
      <w:r w:rsidR="00594797">
        <w:t xml:space="preserve"> projektů byly s partnery příjemce podrobně projednávány jejich představy o </w:t>
      </w:r>
      <w:r w:rsidR="00014419">
        <w:t xml:space="preserve">zavedení nového systému včetně jejich potřeb a možností. Všechny relevantní připomínky byly zapracovány do projektového dokumentu. </w:t>
      </w:r>
      <w:r w:rsidR="00594797">
        <w:t xml:space="preserve"> </w:t>
      </w:r>
    </w:p>
    <w:p w14:paraId="12765561" w14:textId="04A2E9E1" w:rsidR="00E8777B" w:rsidRDefault="00E8777B" w:rsidP="008A49AC">
      <w:pPr>
        <w:widowControl w:val="0"/>
        <w:spacing w:after="120" w:line="276" w:lineRule="auto"/>
        <w:jc w:val="both"/>
        <w:rPr>
          <w:noProof/>
        </w:rPr>
      </w:pPr>
      <w:r>
        <w:rPr>
          <w:noProof/>
        </w:rPr>
        <w:t>Formulované výstupy projektu vycházejí z i</w:t>
      </w:r>
      <w:r w:rsidR="00014419">
        <w:rPr>
          <w:noProof/>
        </w:rPr>
        <w:t xml:space="preserve">dentifikovaných potřeb příjemců a </w:t>
      </w:r>
      <w:r>
        <w:rPr>
          <w:noProof/>
        </w:rPr>
        <w:t>jejich možností</w:t>
      </w:r>
      <w:r w:rsidR="00014419">
        <w:rPr>
          <w:noProof/>
        </w:rPr>
        <w:t xml:space="preserve">. </w:t>
      </w:r>
      <w:r>
        <w:rPr>
          <w:noProof/>
        </w:rPr>
        <w:t xml:space="preserve"> Tyto výstupy, které budou sloužit k rozvoji institucí i jednotlivců zapojených do projektu, lze považovat </w:t>
      </w:r>
      <w:r w:rsidR="00FE0817">
        <w:rPr>
          <w:noProof/>
        </w:rPr>
        <w:t xml:space="preserve">za </w:t>
      </w:r>
      <w:r>
        <w:rPr>
          <w:noProof/>
        </w:rPr>
        <w:t>výhradní vlastnictví přijemců.</w:t>
      </w:r>
      <w:r w:rsidR="00014419">
        <w:rPr>
          <w:noProof/>
        </w:rPr>
        <w:t xml:space="preserve"> </w:t>
      </w:r>
      <w:r>
        <w:rPr>
          <w:noProof/>
        </w:rPr>
        <w:t xml:space="preserve">Důraz na aktivní participaci partnerů a příjemců, ve všech fázích projektu, umožňuje příjemcům identifikovat a artikulovat své potřeby a následně </w:t>
      </w:r>
      <w:r w:rsidR="00A33CB6">
        <w:rPr>
          <w:noProof/>
        </w:rPr>
        <w:t>zásadním</w:t>
      </w:r>
      <w:r>
        <w:rPr>
          <w:noProof/>
        </w:rPr>
        <w:t xml:space="preserve"> způsobem ovlivnit obsah projektových aktivit. Vytváří se tak předpoklady k tomu, aby se příjemci lépe ztotožnili s aktivitami a výstupy projektu a považovali tak projekt</w:t>
      </w:r>
      <w:r w:rsidR="00A33CB6">
        <w:rPr>
          <w:noProof/>
        </w:rPr>
        <w:t xml:space="preserve"> de facto</w:t>
      </w:r>
      <w:r>
        <w:rPr>
          <w:noProof/>
        </w:rPr>
        <w:t xml:space="preserve"> za </w:t>
      </w:r>
      <w:r w:rsidR="00A33CB6">
        <w:rPr>
          <w:noProof/>
        </w:rPr>
        <w:t xml:space="preserve">svůj </w:t>
      </w:r>
      <w:r>
        <w:rPr>
          <w:noProof/>
        </w:rPr>
        <w:t>vlastní.</w:t>
      </w:r>
    </w:p>
    <w:p w14:paraId="60B61E76" w14:textId="77777777" w:rsidR="0073264D" w:rsidRPr="007E7BCE" w:rsidRDefault="0073264D" w:rsidP="00787D4B">
      <w:pPr>
        <w:pStyle w:val="Nadpis2"/>
        <w:spacing w:after="120"/>
        <w:ind w:left="578" w:hanging="578"/>
        <w:rPr>
          <w:rFonts w:ascii="Cambria" w:hAnsi="Cambria"/>
          <w:sz w:val="26"/>
          <w:szCs w:val="26"/>
        </w:rPr>
      </w:pPr>
      <w:bookmarkStart w:id="24" w:name="_Toc370471093"/>
      <w:r w:rsidRPr="007E7BCE">
        <w:rPr>
          <w:rFonts w:ascii="Cambria" w:hAnsi="Cambria"/>
          <w:sz w:val="26"/>
          <w:szCs w:val="26"/>
        </w:rPr>
        <w:t>Vedlejší dopady projektu</w:t>
      </w:r>
      <w:bookmarkEnd w:id="24"/>
    </w:p>
    <w:p w14:paraId="45BB85DC" w14:textId="7FE67884" w:rsidR="006F6FE7" w:rsidRPr="006F6FE7" w:rsidRDefault="006F6FE7" w:rsidP="008A49AC">
      <w:pPr>
        <w:widowControl w:val="0"/>
        <w:spacing w:after="120" w:line="276" w:lineRule="auto"/>
        <w:jc w:val="both"/>
      </w:pPr>
      <w:r w:rsidRPr="006F6FE7">
        <w:t xml:space="preserve">Mezi </w:t>
      </w:r>
      <w:r w:rsidR="00FE0817">
        <w:t>významné</w:t>
      </w:r>
      <w:r w:rsidR="00FE0817" w:rsidRPr="006F6FE7">
        <w:t xml:space="preserve"> </w:t>
      </w:r>
      <w:r w:rsidRPr="006F6FE7">
        <w:t>vedlejší dopady projektu patří stabilizace právní</w:t>
      </w:r>
      <w:r w:rsidR="00114109">
        <w:t>ho prostředí v </w:t>
      </w:r>
      <w:r w:rsidR="00560333">
        <w:t>dané</w:t>
      </w:r>
      <w:r w:rsidR="00114109">
        <w:t xml:space="preserve"> oblasti, </w:t>
      </w:r>
      <w:r w:rsidR="00893E43">
        <w:t>která</w:t>
      </w:r>
      <w:r w:rsidR="00893E43" w:rsidRPr="006F6FE7">
        <w:t xml:space="preserve"> </w:t>
      </w:r>
      <w:r w:rsidRPr="006F6FE7">
        <w:t>umožní investice zahraniční</w:t>
      </w:r>
      <w:r w:rsidR="00114109">
        <w:t>ch</w:t>
      </w:r>
      <w:r w:rsidRPr="006F6FE7">
        <w:t xml:space="preserve"> společností v oblasti produkce rozmnožovacího </w:t>
      </w:r>
      <w:r w:rsidR="00560333">
        <w:t xml:space="preserve">rostlinného </w:t>
      </w:r>
      <w:r w:rsidRPr="006F6FE7">
        <w:t xml:space="preserve">materiálu a </w:t>
      </w:r>
      <w:r w:rsidR="00560333">
        <w:t xml:space="preserve">současně </w:t>
      </w:r>
      <w:r w:rsidRPr="006F6FE7">
        <w:t xml:space="preserve">ulehčí podnikání </w:t>
      </w:r>
      <w:r w:rsidR="00560333">
        <w:t xml:space="preserve">v této oblasti </w:t>
      </w:r>
      <w:r w:rsidRPr="006F6FE7">
        <w:t xml:space="preserve">v rámci celého státu. </w:t>
      </w:r>
      <w:r w:rsidR="00560333">
        <w:t>Dále projekt může</w:t>
      </w:r>
      <w:r w:rsidR="00560333" w:rsidRPr="006F6FE7">
        <w:t xml:space="preserve"> pomoci </w:t>
      </w:r>
      <w:r w:rsidR="00560333">
        <w:t xml:space="preserve">ke stabilizaci </w:t>
      </w:r>
      <w:r w:rsidR="00560333" w:rsidRPr="006F6FE7">
        <w:t>ekonomick</w:t>
      </w:r>
      <w:r w:rsidR="00560333">
        <w:t>é</w:t>
      </w:r>
      <w:r w:rsidR="00560333" w:rsidRPr="006F6FE7">
        <w:t xml:space="preserve"> situac</w:t>
      </w:r>
      <w:r w:rsidR="00560333">
        <w:t>e</w:t>
      </w:r>
      <w:r w:rsidR="00560333" w:rsidRPr="006F6FE7">
        <w:t xml:space="preserve"> v</w:t>
      </w:r>
      <w:r w:rsidR="00560333">
        <w:t xml:space="preserve"> této </w:t>
      </w:r>
      <w:r w:rsidR="00560333" w:rsidRPr="006F6FE7">
        <w:t>oblasti a případn</w:t>
      </w:r>
      <w:r w:rsidR="00560333">
        <w:t>ě</w:t>
      </w:r>
      <w:r w:rsidR="00560333" w:rsidRPr="006F6FE7">
        <w:t xml:space="preserve"> </w:t>
      </w:r>
      <w:r w:rsidR="00560333">
        <w:t>také přispět k </w:t>
      </w:r>
      <w:r w:rsidR="00560333" w:rsidRPr="006F6FE7">
        <w:t xml:space="preserve"> vytvoř</w:t>
      </w:r>
      <w:r w:rsidR="00560333">
        <w:t>ení</w:t>
      </w:r>
      <w:r w:rsidR="00560333" w:rsidRPr="006F6FE7">
        <w:t xml:space="preserve"> nov</w:t>
      </w:r>
      <w:r w:rsidR="00560333">
        <w:t>ých</w:t>
      </w:r>
      <w:r w:rsidR="00560333" w:rsidRPr="006F6FE7">
        <w:t xml:space="preserve"> pracovní</w:t>
      </w:r>
      <w:r w:rsidR="00560333">
        <w:t>ch</w:t>
      </w:r>
      <w:r w:rsidR="00560333" w:rsidRPr="006F6FE7">
        <w:t xml:space="preserve"> míst v návaznosti na zvýšení produkce místních podniků.</w:t>
      </w:r>
      <w:r w:rsidRPr="006F6FE7">
        <w:t xml:space="preserve"> </w:t>
      </w:r>
    </w:p>
    <w:p w14:paraId="460B1F77" w14:textId="47AA6447" w:rsidR="006F6FE7" w:rsidRPr="006F6FE7" w:rsidRDefault="006F6FE7" w:rsidP="008A49AC">
      <w:pPr>
        <w:widowControl w:val="0"/>
        <w:spacing w:after="120" w:line="276" w:lineRule="auto"/>
        <w:jc w:val="both"/>
      </w:pPr>
      <w:r w:rsidRPr="006F6FE7">
        <w:t>Nelze opomenout návaznost na samotnou rostlinnou produkci, kdy v důsledku dostupnosti kvalitnějšího rostlinného materi</w:t>
      </w:r>
      <w:r w:rsidR="00114109">
        <w:t>álu a zabezpečení jeho kontroly</w:t>
      </w:r>
      <w:r w:rsidRPr="006F6FE7">
        <w:t xml:space="preserve"> budou mít samotní zemědělci (prvovýrobci) větší možnosti uplatnění nejen na bosenském, ale i mezinárodním trhu. </w:t>
      </w:r>
    </w:p>
    <w:p w14:paraId="33C2EA34" w14:textId="77777777" w:rsidR="0073264D" w:rsidRPr="007E7BCE" w:rsidRDefault="0073264D" w:rsidP="00787D4B">
      <w:pPr>
        <w:pStyle w:val="Nadpis2"/>
        <w:spacing w:after="120"/>
        <w:ind w:left="578" w:hanging="578"/>
        <w:rPr>
          <w:rFonts w:ascii="Cambria" w:hAnsi="Cambria"/>
          <w:sz w:val="26"/>
          <w:szCs w:val="26"/>
        </w:rPr>
      </w:pPr>
      <w:bookmarkStart w:id="25" w:name="_Toc370471094"/>
      <w:r w:rsidRPr="007E7BCE">
        <w:rPr>
          <w:rFonts w:ascii="Cambria" w:hAnsi="Cambria"/>
          <w:sz w:val="26"/>
          <w:szCs w:val="26"/>
        </w:rPr>
        <w:t>Sociální a kulturní faktory</w:t>
      </w:r>
      <w:bookmarkEnd w:id="25"/>
    </w:p>
    <w:p w14:paraId="212B5754" w14:textId="1A961403" w:rsidR="00114109" w:rsidRDefault="00114109" w:rsidP="00114109">
      <w:pPr>
        <w:spacing w:after="120" w:line="276" w:lineRule="auto"/>
        <w:jc w:val="both"/>
        <w:rPr>
          <w:lang w:eastAsia="ar-SA"/>
        </w:rPr>
      </w:pPr>
      <w:r w:rsidRPr="00796F60">
        <w:rPr>
          <w:lang w:eastAsia="ar-SA"/>
        </w:rPr>
        <w:t xml:space="preserve">Z hlediska kulturních faktorů projekt zohledňuje </w:t>
      </w:r>
      <w:r>
        <w:rPr>
          <w:lang w:eastAsia="ar-SA"/>
        </w:rPr>
        <w:t>a respektuje existenci dvou vnitřních entit na území Bosny a Hercegoviny</w:t>
      </w:r>
      <w:r w:rsidR="00560333">
        <w:rPr>
          <w:lang w:eastAsia="ar-SA"/>
        </w:rPr>
        <w:t xml:space="preserve"> </w:t>
      </w:r>
      <w:r>
        <w:rPr>
          <w:lang w:eastAsia="ar-SA"/>
        </w:rPr>
        <w:t xml:space="preserve">a </w:t>
      </w:r>
      <w:r w:rsidR="00560333">
        <w:rPr>
          <w:lang w:eastAsia="ar-SA"/>
        </w:rPr>
        <w:t xml:space="preserve">s </w:t>
      </w:r>
      <w:r>
        <w:rPr>
          <w:lang w:eastAsia="ar-SA"/>
        </w:rPr>
        <w:t xml:space="preserve">tím </w:t>
      </w:r>
      <w:r w:rsidR="00560333">
        <w:rPr>
          <w:lang w:eastAsia="ar-SA"/>
        </w:rPr>
        <w:t xml:space="preserve">spojené odlišné výchozí podmínky </w:t>
      </w:r>
      <w:r>
        <w:rPr>
          <w:lang w:eastAsia="ar-SA"/>
        </w:rPr>
        <w:t xml:space="preserve">v obou oblastech. </w:t>
      </w:r>
      <w:r w:rsidR="00560333">
        <w:rPr>
          <w:lang w:eastAsia="ar-SA"/>
        </w:rPr>
        <w:t>P</w:t>
      </w:r>
      <w:r>
        <w:rPr>
          <w:lang w:eastAsia="ar-SA"/>
        </w:rPr>
        <w:t xml:space="preserve">odstatnou skutečností jsou </w:t>
      </w:r>
      <w:r w:rsidR="00560333">
        <w:rPr>
          <w:lang w:eastAsia="ar-SA"/>
        </w:rPr>
        <w:t>i odlišná náboženství. Zde</w:t>
      </w:r>
      <w:r>
        <w:rPr>
          <w:lang w:eastAsia="ar-SA"/>
        </w:rPr>
        <w:t xml:space="preserve"> je </w:t>
      </w:r>
      <w:r w:rsidR="00560333">
        <w:rPr>
          <w:lang w:eastAsia="ar-SA"/>
        </w:rPr>
        <w:t>po</w:t>
      </w:r>
      <w:r>
        <w:rPr>
          <w:lang w:eastAsia="ar-SA"/>
        </w:rPr>
        <w:t xml:space="preserve">třeba brát v potaz různé </w:t>
      </w:r>
      <w:r w:rsidR="00560333">
        <w:rPr>
          <w:lang w:eastAsia="ar-SA"/>
        </w:rPr>
        <w:t xml:space="preserve">místní </w:t>
      </w:r>
      <w:r>
        <w:rPr>
          <w:lang w:eastAsia="ar-SA"/>
        </w:rPr>
        <w:t>zvyklosti a respektovat toto prostředí. I přes to, že hlavní část projektu musí být implementována na celostátní úrovni, všechny kroky budou též konzultovány s příslušnými orgány a institucemi obou entit tak, aby při využití jednotlivých specifik bylo možn</w:t>
      </w:r>
      <w:r w:rsidR="00893E43">
        <w:rPr>
          <w:lang w:eastAsia="ar-SA"/>
        </w:rPr>
        <w:t>é</w:t>
      </w:r>
      <w:r>
        <w:rPr>
          <w:lang w:eastAsia="ar-SA"/>
        </w:rPr>
        <w:t xml:space="preserve"> dojít ke společnému závěru. </w:t>
      </w:r>
      <w:r w:rsidR="00560333">
        <w:rPr>
          <w:lang w:eastAsia="ar-SA"/>
        </w:rPr>
        <w:t>Taktéž</w:t>
      </w:r>
      <w:r>
        <w:rPr>
          <w:lang w:eastAsia="ar-SA"/>
        </w:rPr>
        <w:t xml:space="preserve"> semináře a workshopy, </w:t>
      </w:r>
      <w:proofErr w:type="gramStart"/>
      <w:r w:rsidR="00560333">
        <w:rPr>
          <w:lang w:eastAsia="ar-SA"/>
        </w:rPr>
        <w:t xml:space="preserve">by </w:t>
      </w:r>
      <w:r>
        <w:rPr>
          <w:lang w:eastAsia="ar-SA"/>
        </w:rPr>
        <w:t>pokud</w:t>
      </w:r>
      <w:proofErr w:type="gramEnd"/>
      <w:r>
        <w:rPr>
          <w:lang w:eastAsia="ar-SA"/>
        </w:rPr>
        <w:t xml:space="preserve"> to bude možné, </w:t>
      </w:r>
      <w:r w:rsidR="00560333">
        <w:rPr>
          <w:lang w:eastAsia="ar-SA"/>
        </w:rPr>
        <w:t>měly</w:t>
      </w:r>
      <w:r>
        <w:rPr>
          <w:lang w:eastAsia="ar-SA"/>
        </w:rPr>
        <w:t xml:space="preserve"> probíhat paralelně na území obou entit. </w:t>
      </w:r>
    </w:p>
    <w:p w14:paraId="2128787D" w14:textId="7B68BC1A" w:rsidR="007158C0" w:rsidRDefault="007158C0" w:rsidP="005E2619">
      <w:pPr>
        <w:spacing w:after="120" w:line="276" w:lineRule="auto"/>
        <w:jc w:val="both"/>
        <w:rPr>
          <w:lang w:eastAsia="ar-SA"/>
        </w:rPr>
      </w:pPr>
      <w:r>
        <w:rPr>
          <w:lang w:eastAsia="ar-SA"/>
        </w:rPr>
        <w:t>Při zohledňování stávajících stavů a podmínek bude především klad</w:t>
      </w:r>
      <w:r w:rsidR="00614E3E">
        <w:rPr>
          <w:lang w:eastAsia="ar-SA"/>
        </w:rPr>
        <w:t xml:space="preserve">en důraz na místní </w:t>
      </w:r>
      <w:r w:rsidR="001E45AD">
        <w:rPr>
          <w:lang w:eastAsia="ar-SA"/>
        </w:rPr>
        <w:t>(</w:t>
      </w:r>
      <w:r w:rsidR="00614E3E">
        <w:rPr>
          <w:lang w:eastAsia="ar-SA"/>
        </w:rPr>
        <w:t>autochtonní</w:t>
      </w:r>
      <w:r w:rsidR="001E45AD">
        <w:rPr>
          <w:lang w:eastAsia="ar-SA"/>
        </w:rPr>
        <w:t>) odrůdy, které jsou vhodné pro pěstování v </w:t>
      </w:r>
      <w:r w:rsidR="00560333">
        <w:rPr>
          <w:lang w:eastAsia="ar-SA"/>
        </w:rPr>
        <w:t>lokálních</w:t>
      </w:r>
      <w:r w:rsidR="001E45AD">
        <w:rPr>
          <w:lang w:eastAsia="ar-SA"/>
        </w:rPr>
        <w:t xml:space="preserve"> podmínkách. Vzhledem k charakteru projektu </w:t>
      </w:r>
      <w:r w:rsidR="007C722B">
        <w:rPr>
          <w:lang w:eastAsia="ar-SA"/>
        </w:rPr>
        <w:t>budou přednostně</w:t>
      </w:r>
      <w:r w:rsidR="001E45AD">
        <w:rPr>
          <w:lang w:eastAsia="ar-SA"/>
        </w:rPr>
        <w:t xml:space="preserve"> využíván</w:t>
      </w:r>
      <w:r w:rsidR="007C722B">
        <w:rPr>
          <w:lang w:eastAsia="ar-SA"/>
        </w:rPr>
        <w:t>y</w:t>
      </w:r>
      <w:r w:rsidR="00560333">
        <w:rPr>
          <w:lang w:eastAsia="ar-SA"/>
        </w:rPr>
        <w:t xml:space="preserve"> lokální</w:t>
      </w:r>
      <w:r w:rsidR="001E45AD">
        <w:rPr>
          <w:lang w:eastAsia="ar-SA"/>
        </w:rPr>
        <w:t xml:space="preserve"> zdroj</w:t>
      </w:r>
      <w:r w:rsidR="00560333">
        <w:rPr>
          <w:lang w:eastAsia="ar-SA"/>
        </w:rPr>
        <w:t>e</w:t>
      </w:r>
      <w:r w:rsidR="001E45AD">
        <w:rPr>
          <w:lang w:eastAsia="ar-SA"/>
        </w:rPr>
        <w:t xml:space="preserve">, </w:t>
      </w:r>
      <w:r w:rsidR="00560333">
        <w:rPr>
          <w:lang w:eastAsia="ar-SA"/>
        </w:rPr>
        <w:t>zejména</w:t>
      </w:r>
      <w:r w:rsidR="001E45AD">
        <w:rPr>
          <w:lang w:eastAsia="ar-SA"/>
        </w:rPr>
        <w:t xml:space="preserve"> v</w:t>
      </w:r>
      <w:r w:rsidR="00560333">
        <w:rPr>
          <w:lang w:eastAsia="ar-SA"/>
        </w:rPr>
        <w:t xml:space="preserve"> rámci</w:t>
      </w:r>
      <w:r w:rsidR="001E45AD">
        <w:rPr>
          <w:lang w:eastAsia="ar-SA"/>
        </w:rPr>
        <w:t xml:space="preserve"> aktivit </w:t>
      </w:r>
      <w:r w:rsidR="00560333">
        <w:rPr>
          <w:lang w:eastAsia="ar-SA"/>
        </w:rPr>
        <w:t>zaměřených</w:t>
      </w:r>
      <w:r w:rsidR="001E45AD">
        <w:rPr>
          <w:lang w:eastAsia="ar-SA"/>
        </w:rPr>
        <w:t xml:space="preserve"> </w:t>
      </w:r>
      <w:r w:rsidR="00560333">
        <w:rPr>
          <w:lang w:eastAsia="ar-SA"/>
        </w:rPr>
        <w:t>na</w:t>
      </w:r>
      <w:r w:rsidR="001E45AD">
        <w:rPr>
          <w:lang w:eastAsia="ar-SA"/>
        </w:rPr>
        <w:t xml:space="preserve"> zlepšení podmínek v produkci rostlinných školek. </w:t>
      </w:r>
    </w:p>
    <w:p w14:paraId="67194F55" w14:textId="5F1CD039" w:rsidR="00114109" w:rsidRDefault="00560333" w:rsidP="00114109">
      <w:pPr>
        <w:spacing w:after="120" w:line="276" w:lineRule="auto"/>
        <w:jc w:val="both"/>
        <w:rPr>
          <w:i/>
          <w:noProof/>
        </w:rPr>
      </w:pPr>
      <w:r>
        <w:rPr>
          <w:noProof/>
        </w:rPr>
        <w:lastRenderedPageBreak/>
        <w:t>Podpora příjmů</w:t>
      </w:r>
      <w:r w:rsidR="00114109" w:rsidRPr="003D4CA5">
        <w:rPr>
          <w:noProof/>
        </w:rPr>
        <w:t xml:space="preserve"> </w:t>
      </w:r>
      <w:r w:rsidR="00114109">
        <w:rPr>
          <w:noProof/>
        </w:rPr>
        <w:t>majitelů školek prostřednictvím</w:t>
      </w:r>
      <w:r w:rsidR="00114109" w:rsidRPr="002757D4">
        <w:rPr>
          <w:noProof/>
        </w:rPr>
        <w:t xml:space="preserve"> </w:t>
      </w:r>
      <w:r w:rsidR="00114109">
        <w:rPr>
          <w:noProof/>
        </w:rPr>
        <w:t>zavedení systému certifikace a tím zkvalitnění jejich výrobků</w:t>
      </w:r>
      <w:r w:rsidR="00114109" w:rsidRPr="002757D4">
        <w:rPr>
          <w:noProof/>
        </w:rPr>
        <w:t xml:space="preserve"> </w:t>
      </w:r>
      <w:r w:rsidR="00114109">
        <w:rPr>
          <w:noProof/>
        </w:rPr>
        <w:t>s </w:t>
      </w:r>
      <w:r w:rsidR="00114109" w:rsidRPr="002757D4">
        <w:rPr>
          <w:noProof/>
        </w:rPr>
        <w:t xml:space="preserve">sebou přináší i zlepšení jejich sociální situace, čímž </w:t>
      </w:r>
      <w:r w:rsidR="00114109">
        <w:rPr>
          <w:noProof/>
        </w:rPr>
        <w:t>z</w:t>
      </w:r>
      <w:r w:rsidR="00114109" w:rsidRPr="002757D4">
        <w:rPr>
          <w:noProof/>
        </w:rPr>
        <w:t> dlouhodobé</w:t>
      </w:r>
      <w:r w:rsidR="00114109">
        <w:rPr>
          <w:noProof/>
        </w:rPr>
        <w:t>ho</w:t>
      </w:r>
      <w:r w:rsidR="00114109" w:rsidRPr="002757D4">
        <w:rPr>
          <w:noProof/>
        </w:rPr>
        <w:t xml:space="preserve"> hledisk</w:t>
      </w:r>
      <w:r w:rsidR="00114109">
        <w:rPr>
          <w:noProof/>
        </w:rPr>
        <w:t>a</w:t>
      </w:r>
      <w:r w:rsidR="00114109" w:rsidRPr="002757D4">
        <w:rPr>
          <w:noProof/>
        </w:rPr>
        <w:t xml:space="preserve"> přispívá ke snížení chudoby v daném regionu.</w:t>
      </w:r>
      <w:r w:rsidR="00114109" w:rsidRPr="003D4CA5">
        <w:rPr>
          <w:noProof/>
        </w:rPr>
        <w:t xml:space="preserve"> </w:t>
      </w:r>
    </w:p>
    <w:p w14:paraId="1528D7A7" w14:textId="77777777" w:rsidR="0073264D" w:rsidRPr="007E7BCE" w:rsidRDefault="0073264D" w:rsidP="00787D4B">
      <w:pPr>
        <w:pStyle w:val="Nadpis2"/>
        <w:spacing w:after="120"/>
        <w:ind w:left="578" w:hanging="578"/>
        <w:rPr>
          <w:rFonts w:ascii="Cambria" w:hAnsi="Cambria"/>
          <w:sz w:val="26"/>
          <w:szCs w:val="26"/>
        </w:rPr>
      </w:pPr>
      <w:bookmarkStart w:id="26" w:name="_Toc370471095"/>
      <w:r w:rsidRPr="007E7BCE">
        <w:rPr>
          <w:rFonts w:ascii="Cambria" w:hAnsi="Cambria"/>
          <w:sz w:val="26"/>
          <w:szCs w:val="26"/>
        </w:rPr>
        <w:t>Rovný přístup žen a mužů</w:t>
      </w:r>
      <w:bookmarkEnd w:id="26"/>
    </w:p>
    <w:p w14:paraId="5AE5D67E" w14:textId="67226E3D" w:rsidR="00267563" w:rsidRDefault="0066591B" w:rsidP="008A49AC">
      <w:pPr>
        <w:widowControl w:val="0"/>
        <w:spacing w:after="120" w:line="276" w:lineRule="auto"/>
        <w:jc w:val="both"/>
      </w:pPr>
      <w:r w:rsidRPr="005A3D8B">
        <w:t>Vzhledem k tradičnímu vnímání post</w:t>
      </w:r>
      <w:r>
        <w:t>a</w:t>
      </w:r>
      <w:r w:rsidRPr="005A3D8B">
        <w:t>vení žen a mužů v dané oblasti, bude v tomto ohledu postupováno velice citlivě</w:t>
      </w:r>
      <w:r w:rsidR="00FF453C">
        <w:t>. Ž</w:t>
      </w:r>
      <w:r w:rsidRPr="005A3D8B">
        <w:t xml:space="preserve">eny budou zapojovány do projektu, kdy a jak jen to bude možné, </w:t>
      </w:r>
      <w:r w:rsidR="00FF453C">
        <w:t xml:space="preserve">současně ale tak, </w:t>
      </w:r>
      <w:r w:rsidR="00FF453C" w:rsidRPr="005A3D8B">
        <w:t>aby byla respektována místní kultura</w:t>
      </w:r>
      <w:r w:rsidR="00FF453C">
        <w:t xml:space="preserve"> a tradiční zvyklosti</w:t>
      </w:r>
      <w:r w:rsidR="00FF453C" w:rsidRPr="005A3D8B">
        <w:t>.</w:t>
      </w:r>
      <w:r w:rsidRPr="005A3D8B">
        <w:t xml:space="preserve"> </w:t>
      </w:r>
      <w:r>
        <w:t xml:space="preserve">Především v oblasti státní správy, kde jsou ženy značně zastoupeny, bude podpořeno jejich zastoupení rovným dílem spolu s muži. Při realizaci projektu bude uplatňován princip rovného přístupu žen a mužů. </w:t>
      </w:r>
    </w:p>
    <w:p w14:paraId="3E627BC9" w14:textId="77777777" w:rsidR="0073264D" w:rsidRPr="007E7BCE" w:rsidRDefault="00DA016C" w:rsidP="00787D4B">
      <w:pPr>
        <w:pStyle w:val="Nadpis2"/>
        <w:spacing w:after="120"/>
        <w:ind w:left="578" w:hanging="578"/>
        <w:rPr>
          <w:rFonts w:ascii="Cambria" w:hAnsi="Cambria"/>
          <w:sz w:val="26"/>
          <w:szCs w:val="26"/>
        </w:rPr>
      </w:pPr>
      <w:bookmarkStart w:id="27" w:name="_Toc370471096"/>
      <w:r w:rsidRPr="007E7BCE">
        <w:rPr>
          <w:rFonts w:ascii="Cambria" w:hAnsi="Cambria"/>
          <w:sz w:val="26"/>
          <w:szCs w:val="26"/>
        </w:rPr>
        <w:t>V</w:t>
      </w:r>
      <w:r w:rsidR="0073264D" w:rsidRPr="007E7BCE">
        <w:rPr>
          <w:rFonts w:ascii="Cambria" w:hAnsi="Cambria"/>
          <w:sz w:val="26"/>
          <w:szCs w:val="26"/>
        </w:rPr>
        <w:t>hodná technologie</w:t>
      </w:r>
      <w:bookmarkEnd w:id="27"/>
    </w:p>
    <w:p w14:paraId="6333A9F4" w14:textId="77777777" w:rsidR="0073264D" w:rsidRPr="00D25596" w:rsidRDefault="00F644CA" w:rsidP="005E2619">
      <w:pPr>
        <w:spacing w:line="276" w:lineRule="auto"/>
        <w:jc w:val="both"/>
      </w:pPr>
      <w:r>
        <w:rPr>
          <w:noProof/>
        </w:rPr>
        <w:t>V případě nákupu vybavení (z k</w:t>
      </w:r>
      <w:r w:rsidR="00BC6028" w:rsidRPr="00D25596">
        <w:rPr>
          <w:noProof/>
        </w:rPr>
        <w:t>ofinancování USAID) bude vždy přihlíženo k místním podmínkám tak, aby nedošlo</w:t>
      </w:r>
      <w:r>
        <w:rPr>
          <w:noProof/>
        </w:rPr>
        <w:t xml:space="preserve"> k jeho</w:t>
      </w:r>
      <w:r w:rsidR="00D25596">
        <w:rPr>
          <w:noProof/>
        </w:rPr>
        <w:t xml:space="preserve"> znehodnocení, popř. snížení využitelnosti.</w:t>
      </w:r>
    </w:p>
    <w:p w14:paraId="500BF0F9" w14:textId="77777777" w:rsidR="0073264D" w:rsidRPr="007E7BCE" w:rsidRDefault="0073264D" w:rsidP="00787D4B">
      <w:pPr>
        <w:pStyle w:val="Nadpis2"/>
        <w:spacing w:after="120"/>
        <w:ind w:left="578" w:hanging="578"/>
        <w:rPr>
          <w:rFonts w:ascii="Cambria" w:hAnsi="Cambria"/>
          <w:sz w:val="26"/>
          <w:szCs w:val="26"/>
        </w:rPr>
      </w:pPr>
      <w:bookmarkStart w:id="28" w:name="_Toc370471097"/>
      <w:r w:rsidRPr="007E7BCE">
        <w:rPr>
          <w:rFonts w:ascii="Cambria" w:hAnsi="Cambria"/>
          <w:sz w:val="26"/>
          <w:szCs w:val="26"/>
        </w:rPr>
        <w:t>Dopady na životní prostředí</w:t>
      </w:r>
      <w:bookmarkEnd w:id="28"/>
      <w:r w:rsidRPr="007E7BCE">
        <w:rPr>
          <w:rFonts w:ascii="Cambria" w:hAnsi="Cambria"/>
          <w:sz w:val="26"/>
          <w:szCs w:val="26"/>
        </w:rPr>
        <w:t xml:space="preserve">  </w:t>
      </w:r>
    </w:p>
    <w:p w14:paraId="7528598B" w14:textId="41AB7746" w:rsidR="0073264D" w:rsidRPr="003A5508" w:rsidRDefault="007158C0" w:rsidP="008A49AC">
      <w:pPr>
        <w:widowControl w:val="0"/>
        <w:spacing w:after="120" w:line="276" w:lineRule="auto"/>
        <w:jc w:val="both"/>
      </w:pPr>
      <w:r w:rsidRPr="003A5508">
        <w:t>Projekt nebude mít přímé dopady na životní prostředí</w:t>
      </w:r>
      <w:r w:rsidR="00FF453C">
        <w:t>, jelikož</w:t>
      </w:r>
      <w:r w:rsidR="003A5508">
        <w:t xml:space="preserve"> </w:t>
      </w:r>
      <w:r w:rsidR="00961253">
        <w:t xml:space="preserve">standardizovaný </w:t>
      </w:r>
      <w:r w:rsidR="00CB78C2">
        <w:t>systém</w:t>
      </w:r>
      <w:r w:rsidR="003A5508">
        <w:t xml:space="preserve"> certifikace </w:t>
      </w:r>
      <w:r w:rsidR="00CB78C2">
        <w:t xml:space="preserve">rostlinného </w:t>
      </w:r>
      <w:r w:rsidR="003A5508">
        <w:t>rozmnožovacího materi</w:t>
      </w:r>
      <w:r w:rsidR="00CB78C2">
        <w:t>álu, tak jak ho známe ze zemí EU</w:t>
      </w:r>
      <w:r w:rsidR="00961253">
        <w:t>,</w:t>
      </w:r>
      <w:r w:rsidR="00CB78C2">
        <w:t xml:space="preserve"> přispívá ke konceptu </w:t>
      </w:r>
      <w:r w:rsidR="00FF453C">
        <w:t xml:space="preserve">trvale </w:t>
      </w:r>
      <w:r w:rsidR="00CB78C2">
        <w:t xml:space="preserve">udržitelného zemědělství. </w:t>
      </w:r>
    </w:p>
    <w:p w14:paraId="28002894" w14:textId="77777777" w:rsidR="0073264D" w:rsidRPr="007E7BCE" w:rsidRDefault="0073264D" w:rsidP="00787D4B">
      <w:pPr>
        <w:pStyle w:val="Nadpis2"/>
        <w:spacing w:after="120"/>
        <w:ind w:left="578" w:hanging="578"/>
        <w:rPr>
          <w:rFonts w:ascii="Cambria" w:hAnsi="Cambria"/>
          <w:sz w:val="26"/>
          <w:szCs w:val="26"/>
        </w:rPr>
      </w:pPr>
      <w:bookmarkStart w:id="29" w:name="_Toc370471098"/>
      <w:r w:rsidRPr="007E7BCE">
        <w:rPr>
          <w:rFonts w:ascii="Cambria" w:hAnsi="Cambria"/>
          <w:sz w:val="26"/>
          <w:szCs w:val="26"/>
        </w:rPr>
        <w:t>Ekonomická a fi</w:t>
      </w:r>
      <w:r w:rsidR="00AA7593" w:rsidRPr="007E7BCE">
        <w:rPr>
          <w:rFonts w:ascii="Cambria" w:hAnsi="Cambria"/>
          <w:sz w:val="26"/>
          <w:szCs w:val="26"/>
        </w:rPr>
        <w:t>nanční životaschopnost projektu</w:t>
      </w:r>
      <w:bookmarkEnd w:id="29"/>
    </w:p>
    <w:p w14:paraId="2AB4C064" w14:textId="77777777" w:rsidR="0066591B" w:rsidRPr="008A49AC" w:rsidRDefault="0066591B" w:rsidP="0066591B">
      <w:pPr>
        <w:widowControl w:val="0"/>
        <w:spacing w:after="120" w:line="276" w:lineRule="auto"/>
        <w:jc w:val="both"/>
        <w:rPr>
          <w:noProof/>
        </w:rPr>
      </w:pPr>
      <w:r w:rsidRPr="008A49AC">
        <w:rPr>
          <w:noProof/>
        </w:rPr>
        <w:t>Fungující systém certifikace rozmnožovacího materiálu bude jedním z předpokladů splnění podmínek v oblasti zemědělství pro vstup B</w:t>
      </w:r>
      <w:r>
        <w:rPr>
          <w:noProof/>
        </w:rPr>
        <w:t>a</w:t>
      </w:r>
      <w:r w:rsidRPr="008A49AC">
        <w:rPr>
          <w:noProof/>
        </w:rPr>
        <w:t>H do EU. Lze proto předpokládat, že jeho úspešné zavedení a následný provoz bude i v budoucnu financován ze</w:t>
      </w:r>
      <w:r>
        <w:rPr>
          <w:noProof/>
        </w:rPr>
        <w:t> </w:t>
      </w:r>
      <w:r w:rsidRPr="008A49AC">
        <w:rPr>
          <w:noProof/>
        </w:rPr>
        <w:t>státních prostředků B</w:t>
      </w:r>
      <w:r>
        <w:rPr>
          <w:noProof/>
        </w:rPr>
        <w:t>a</w:t>
      </w:r>
      <w:r w:rsidRPr="008A49AC">
        <w:rPr>
          <w:noProof/>
        </w:rPr>
        <w:t xml:space="preserve">H. </w:t>
      </w:r>
    </w:p>
    <w:p w14:paraId="022B3D10" w14:textId="77777777" w:rsidR="0073264D" w:rsidRPr="007E7BCE" w:rsidRDefault="0073264D" w:rsidP="00787D4B">
      <w:pPr>
        <w:pStyle w:val="Nadpis2"/>
        <w:spacing w:after="120"/>
        <w:ind w:left="578" w:hanging="578"/>
        <w:rPr>
          <w:rFonts w:ascii="Cambria" w:hAnsi="Cambria"/>
          <w:sz w:val="26"/>
          <w:szCs w:val="26"/>
        </w:rPr>
      </w:pPr>
      <w:bookmarkStart w:id="30" w:name="_Toc370471099"/>
      <w:r w:rsidRPr="007E7BCE">
        <w:rPr>
          <w:rFonts w:ascii="Cambria" w:hAnsi="Cambria"/>
          <w:sz w:val="26"/>
          <w:szCs w:val="26"/>
        </w:rPr>
        <w:t>Management a organizace</w:t>
      </w:r>
      <w:bookmarkEnd w:id="30"/>
    </w:p>
    <w:p w14:paraId="4FD2310E" w14:textId="583337F7" w:rsidR="0071563A" w:rsidRPr="00CF6075" w:rsidRDefault="00DB38D8" w:rsidP="008A49AC">
      <w:pPr>
        <w:widowControl w:val="0"/>
        <w:spacing w:after="120" w:line="276" w:lineRule="auto"/>
        <w:jc w:val="both"/>
      </w:pPr>
      <w:r w:rsidRPr="00C240AC">
        <w:t>Hlavním českým řešitel</w:t>
      </w:r>
      <w:r>
        <w:t>em</w:t>
      </w:r>
      <w:r w:rsidRPr="00C240AC">
        <w:t xml:space="preserve"> bude Ústřední kontrolní a zkušebn</w:t>
      </w:r>
      <w:r>
        <w:t xml:space="preserve">í ústav zemědělský (ÚKZÚS), který </w:t>
      </w:r>
      <w:r w:rsidR="00D95DF6">
        <w:t xml:space="preserve">bude zodpovědný za celkovou koordinaci projektu a komunikaci s místními partnery. </w:t>
      </w:r>
      <w:r w:rsidR="0071563A" w:rsidRPr="00CF6075">
        <w:t>Hlavním</w:t>
      </w:r>
      <w:r w:rsidR="001621BD">
        <w:t>i</w:t>
      </w:r>
      <w:r w:rsidR="0071563A" w:rsidRPr="00CF6075">
        <w:t xml:space="preserve"> </w:t>
      </w:r>
      <w:r w:rsidR="00C55461" w:rsidRPr="00CF6075">
        <w:t xml:space="preserve">partnery </w:t>
      </w:r>
      <w:r>
        <w:t>projektu</w:t>
      </w:r>
      <w:r w:rsidR="00C55461" w:rsidRPr="00CF6075">
        <w:t xml:space="preserve"> jsou Rostlinolékařská s</w:t>
      </w:r>
      <w:r w:rsidR="0066591B">
        <w:t>práva Bosny a Hercegoviny</w:t>
      </w:r>
      <w:r w:rsidR="001621BD">
        <w:t xml:space="preserve"> (PHPA)</w:t>
      </w:r>
      <w:r w:rsidR="0066591B">
        <w:t xml:space="preserve"> </w:t>
      </w:r>
      <w:r w:rsidR="00C55461" w:rsidRPr="00CF6075">
        <w:t>a projekt FARMA</w:t>
      </w:r>
      <w:r w:rsidR="00D95DF6">
        <w:t>.</w:t>
      </w:r>
    </w:p>
    <w:p w14:paraId="4DB0C04D" w14:textId="277CFA65" w:rsidR="0071563A" w:rsidRPr="00CF6075" w:rsidRDefault="008A49AC" w:rsidP="008A49AC">
      <w:pPr>
        <w:widowControl w:val="0"/>
        <w:spacing w:after="120" w:line="276" w:lineRule="auto"/>
        <w:jc w:val="both"/>
      </w:pPr>
      <w:r>
        <w:t>PHPA</w:t>
      </w:r>
      <w:r w:rsidR="001621BD">
        <w:t>,</w:t>
      </w:r>
      <w:r>
        <w:t xml:space="preserve"> </w:t>
      </w:r>
      <w:r w:rsidR="001621BD">
        <w:t xml:space="preserve">která je </w:t>
      </w:r>
      <w:r w:rsidR="001621BD" w:rsidRPr="00CF6075">
        <w:t xml:space="preserve">celostátním úřadem odpovědným za implementaci rostlinolékařské problematiky v rámci </w:t>
      </w:r>
      <w:proofErr w:type="spellStart"/>
      <w:r w:rsidR="001621BD" w:rsidRPr="00CF6075">
        <w:t>BaH</w:t>
      </w:r>
      <w:proofErr w:type="spellEnd"/>
      <w:r w:rsidR="00D95DF6">
        <w:t>,</w:t>
      </w:r>
      <w:r w:rsidR="001621BD">
        <w:t xml:space="preserve"> </w:t>
      </w:r>
      <w:r w:rsidR="00D95DF6">
        <w:t xml:space="preserve">a odpovědní zástupci projektu FARMA budou </w:t>
      </w:r>
      <w:r w:rsidR="0071563A" w:rsidRPr="00CF6075">
        <w:t xml:space="preserve">za bosenskou stranu </w:t>
      </w:r>
      <w:r w:rsidR="00D95DF6">
        <w:t>společně </w:t>
      </w:r>
      <w:r w:rsidR="00961253" w:rsidRPr="00CF6075">
        <w:t>zodpovědn</w:t>
      </w:r>
      <w:r w:rsidR="0066591B">
        <w:t>í</w:t>
      </w:r>
      <w:r w:rsidR="00961253" w:rsidRPr="00CF6075">
        <w:t xml:space="preserve"> </w:t>
      </w:r>
      <w:r w:rsidR="0071563A" w:rsidRPr="00CF6075">
        <w:t xml:space="preserve">za organizaci a koordinaci </w:t>
      </w:r>
      <w:r w:rsidR="008C2338">
        <w:t xml:space="preserve">příslušných </w:t>
      </w:r>
      <w:r w:rsidR="00D95DF6">
        <w:t xml:space="preserve">aktivit </w:t>
      </w:r>
      <w:r w:rsidR="008C2338">
        <w:t xml:space="preserve">v místě realizace </w:t>
      </w:r>
      <w:r w:rsidR="0071563A" w:rsidRPr="00CF6075">
        <w:t>projektu.</w:t>
      </w:r>
    </w:p>
    <w:p w14:paraId="2D0CE454" w14:textId="1BA0B383" w:rsidR="0066591B" w:rsidRPr="00CF6075" w:rsidRDefault="008C2338" w:rsidP="0066591B">
      <w:pPr>
        <w:widowControl w:val="0"/>
        <w:spacing w:after="120" w:line="276" w:lineRule="auto"/>
        <w:jc w:val="both"/>
      </w:pPr>
      <w:r w:rsidRPr="00CF6075">
        <w:t xml:space="preserve">Všechny </w:t>
      </w:r>
      <w:r>
        <w:t xml:space="preserve">do projektu zahrnuté </w:t>
      </w:r>
      <w:r w:rsidRPr="00CF6075">
        <w:t>instituce mají své nepostradatelné místo v systému certifikace rostlinného materiálu a měl</w:t>
      </w:r>
      <w:r>
        <w:t>y</w:t>
      </w:r>
      <w:r w:rsidRPr="00CF6075">
        <w:t xml:space="preserve"> by garantovat, že proces zaved</w:t>
      </w:r>
      <w:r>
        <w:t>e</w:t>
      </w:r>
      <w:r w:rsidRPr="00CF6075">
        <w:t>ní nového systému bude úspěšný.</w:t>
      </w:r>
      <w:r w:rsidR="0066591B" w:rsidRPr="00CF6075">
        <w:t xml:space="preserve"> </w:t>
      </w:r>
    </w:p>
    <w:p w14:paraId="50F2C0B5" w14:textId="334F4A3E" w:rsidR="00805C24" w:rsidRPr="00CF6075" w:rsidRDefault="00805C24" w:rsidP="008A49AC">
      <w:pPr>
        <w:widowControl w:val="0"/>
        <w:spacing w:after="120" w:line="276" w:lineRule="auto"/>
        <w:jc w:val="both"/>
      </w:pPr>
      <w:r w:rsidRPr="00CF6075">
        <w:lastRenderedPageBreak/>
        <w:t xml:space="preserve">Česká republika má rozsáhlé zkušenosti se vstupem </w:t>
      </w:r>
      <w:r w:rsidR="0009190E" w:rsidRPr="00CF6075">
        <w:t xml:space="preserve">poměrně malé země </w:t>
      </w:r>
      <w:r w:rsidRPr="00CF6075">
        <w:t xml:space="preserve">do EU, kdy úspěšně implementovala rozsáhlou legislativu EU a přizpůsobila svůj původní systém na nový </w:t>
      </w:r>
      <w:r w:rsidR="008C2338">
        <w:t>efektivnější</w:t>
      </w:r>
      <w:r w:rsidRPr="00CF6075">
        <w:t xml:space="preserve"> systém zahrnující </w:t>
      </w:r>
      <w:r w:rsidR="008C2338">
        <w:t>kontrolu produkce rostlinného</w:t>
      </w:r>
      <w:r w:rsidRPr="00CF6075">
        <w:t xml:space="preserve"> </w:t>
      </w:r>
      <w:r w:rsidR="0009190E">
        <w:t>rozmnožovací</w:t>
      </w:r>
      <w:r w:rsidR="008C2338">
        <w:t>ho</w:t>
      </w:r>
      <w:r w:rsidRPr="00CF6075">
        <w:t xml:space="preserve"> materiál</w:t>
      </w:r>
      <w:r w:rsidR="008C2338">
        <w:t xml:space="preserve">u a jeho </w:t>
      </w:r>
      <w:r w:rsidRPr="00CF6075">
        <w:t>certifikaci</w:t>
      </w:r>
      <w:r w:rsidR="008C2338">
        <w:t>.</w:t>
      </w:r>
      <w:r w:rsidRPr="00CF6075">
        <w:t xml:space="preserve"> </w:t>
      </w:r>
      <w:r w:rsidR="008C2338">
        <w:t>Tento systém harmonizovaný s postupy EU</w:t>
      </w:r>
      <w:r w:rsidRPr="00CF6075">
        <w:t xml:space="preserve"> </w:t>
      </w:r>
      <w:r w:rsidR="008C2338">
        <w:t>je řízen</w:t>
      </w:r>
      <w:r w:rsidRPr="00CF6075">
        <w:t xml:space="preserve"> na požadované úrovni s minimálními náklady a bez nežádoucích účinků. ÚKZÚZ bude ve všech fázích implementace projektu úzce spolupracovat s bosenskými partnery, především </w:t>
      </w:r>
      <w:r w:rsidR="0009190E">
        <w:t>s</w:t>
      </w:r>
      <w:r w:rsidR="008C2338">
        <w:t xml:space="preserve"> </w:t>
      </w:r>
      <w:r w:rsidRPr="00CF6075">
        <w:t>PHPA a F</w:t>
      </w:r>
      <w:r w:rsidR="0009190E">
        <w:t>ARMA</w:t>
      </w:r>
      <w:r w:rsidRPr="00CF6075">
        <w:t>. Bude vytvořen řídící výbo</w:t>
      </w:r>
      <w:r w:rsidR="008C2338">
        <w:t>r projektu (</w:t>
      </w:r>
      <w:proofErr w:type="spellStart"/>
      <w:r w:rsidR="008C2338">
        <w:t>Steering</w:t>
      </w:r>
      <w:proofErr w:type="spellEnd"/>
      <w:r w:rsidR="008C2338">
        <w:t xml:space="preserve"> </w:t>
      </w:r>
      <w:proofErr w:type="spellStart"/>
      <w:r w:rsidR="008C2338">
        <w:t>Committee</w:t>
      </w:r>
      <w:proofErr w:type="spellEnd"/>
      <w:r w:rsidR="008C2338">
        <w:t>)</w:t>
      </w:r>
      <w:r w:rsidRPr="00CF6075">
        <w:t>, který bude složen ze zás</w:t>
      </w:r>
      <w:r w:rsidR="008C2338">
        <w:t>tupců všech výše uvedených organizací.</w:t>
      </w:r>
      <w:r w:rsidRPr="00CF6075">
        <w:t xml:space="preserve"> </w:t>
      </w:r>
      <w:r w:rsidR="008C2338">
        <w:t xml:space="preserve">Výbor se </w:t>
      </w:r>
      <w:r w:rsidRPr="00CF6075">
        <w:t>bude scházet čtvrtročně</w:t>
      </w:r>
      <w:r w:rsidR="008C2338">
        <w:t xml:space="preserve"> </w:t>
      </w:r>
      <w:r w:rsidRPr="00CF6075">
        <w:t xml:space="preserve">a bude odpovědný za </w:t>
      </w:r>
      <w:r w:rsidR="008C2338">
        <w:t xml:space="preserve">řádný </w:t>
      </w:r>
      <w:r w:rsidRPr="00CF6075">
        <w:t xml:space="preserve">monitoring </w:t>
      </w:r>
      <w:r w:rsidR="008C2338">
        <w:t xml:space="preserve">veškerých </w:t>
      </w:r>
      <w:r w:rsidRPr="00CF6075">
        <w:t>probíhajících aktivit</w:t>
      </w:r>
      <w:r w:rsidR="008C2338">
        <w:t xml:space="preserve"> i</w:t>
      </w:r>
      <w:r w:rsidRPr="00CF6075">
        <w:t xml:space="preserve"> za v</w:t>
      </w:r>
      <w:r w:rsidR="008C2338">
        <w:t>ypracovávání čtvrtletních zpráv a</w:t>
      </w:r>
      <w:r w:rsidRPr="00CF6075">
        <w:t xml:space="preserve"> za podrobné plánování budoucích aktivit </w:t>
      </w:r>
      <w:r w:rsidR="008C2338">
        <w:t>či</w:t>
      </w:r>
      <w:r w:rsidRPr="00CF6075">
        <w:t xml:space="preserve"> za případné změny.  </w:t>
      </w:r>
    </w:p>
    <w:p w14:paraId="6AC18A05" w14:textId="4309AA56" w:rsidR="0066591B" w:rsidRDefault="0066591B" w:rsidP="0066591B">
      <w:pPr>
        <w:widowControl w:val="0"/>
        <w:spacing w:after="120" w:line="276" w:lineRule="auto"/>
        <w:jc w:val="both"/>
      </w:pPr>
      <w:r w:rsidRPr="00CF6075">
        <w:t>Školení, workshopy a veškeré další aktivity (příprava legislativy, příprava optimalizace státní správy, příprava metodiky atd.) budou provádět především pracovníci Ústředního kontrolního a zkušebního ústavu zemědělského (</w:t>
      </w:r>
      <w:r>
        <w:t>I</w:t>
      </w:r>
      <w:r w:rsidRPr="00CF6075">
        <w:t>ng. Daniel Jurečka, RNDr. Jaroslav Staňa, Mgr. Petr Vaculík, Ing. Michal Kůrka, Ing. Jiří Urban, Ing. Petr Boleloucký, Ing. Pavel Minář Ph.D</w:t>
      </w:r>
      <w:r>
        <w:t>.</w:t>
      </w:r>
      <w:r w:rsidRPr="00CF6075">
        <w:t xml:space="preserve">, Mgr. Jaroslav Juřica), dále Ovocnářské </w:t>
      </w:r>
      <w:r>
        <w:t>u</w:t>
      </w:r>
      <w:r w:rsidRPr="00CF6075">
        <w:t>nie (</w:t>
      </w:r>
      <w:r>
        <w:t>I</w:t>
      </w:r>
      <w:r w:rsidRPr="00CF6075">
        <w:t xml:space="preserve">ng. Roman Chaloupka), Právnické </w:t>
      </w:r>
      <w:r>
        <w:t>f</w:t>
      </w:r>
      <w:r w:rsidRPr="00CF6075">
        <w:t>akulty MU (JUDr. Jana Tkáčiková Ph.D.)</w:t>
      </w:r>
      <w:r>
        <w:t>.</w:t>
      </w:r>
      <w:r w:rsidRPr="00CF6075">
        <w:t xml:space="preserve"> Díky širokému spektru odborníků </w:t>
      </w:r>
      <w:r w:rsidR="00044C0E">
        <w:t xml:space="preserve">pocházejících </w:t>
      </w:r>
      <w:r w:rsidRPr="00CF6075">
        <w:t xml:space="preserve">ze státní správy </w:t>
      </w:r>
      <w:r w:rsidR="00044C0E">
        <w:t>a</w:t>
      </w:r>
      <w:r w:rsidRPr="00CF6075">
        <w:t xml:space="preserve"> odborné veřejnosti </w:t>
      </w:r>
      <w:r>
        <w:t xml:space="preserve">bude zajištěno </w:t>
      </w:r>
      <w:r w:rsidRPr="00CF6075">
        <w:t xml:space="preserve">bezproblémové pokrytí všech aktivit. </w:t>
      </w:r>
    </w:p>
    <w:p w14:paraId="5BF7DD84" w14:textId="77777777" w:rsidR="00D347FE" w:rsidRPr="00CF6075" w:rsidRDefault="00D347FE" w:rsidP="0066591B">
      <w:pPr>
        <w:widowControl w:val="0"/>
        <w:spacing w:after="120" w:line="276" w:lineRule="auto"/>
        <w:jc w:val="both"/>
      </w:pPr>
    </w:p>
    <w:p w14:paraId="6CA1BD47" w14:textId="77777777" w:rsidR="0073264D" w:rsidRPr="00AA7593" w:rsidRDefault="0073264D" w:rsidP="006B640B">
      <w:pPr>
        <w:pStyle w:val="Nadpis1"/>
        <w:spacing w:before="600" w:after="240"/>
        <w:ind w:left="431" w:hanging="431"/>
      </w:pPr>
      <w:bookmarkStart w:id="31" w:name="_Toc370471100"/>
      <w:r w:rsidRPr="00AA7593">
        <w:t>Analýza rizik a předpokladů</w:t>
      </w:r>
      <w:bookmarkEnd w:id="31"/>
    </w:p>
    <w:p w14:paraId="13E7443B" w14:textId="4C8541CB" w:rsidR="0071563A" w:rsidRPr="0071563A" w:rsidRDefault="0071563A" w:rsidP="008A49AC">
      <w:pPr>
        <w:widowControl w:val="0"/>
        <w:spacing w:after="120" w:line="276" w:lineRule="auto"/>
        <w:jc w:val="both"/>
      </w:pPr>
      <w:r w:rsidRPr="0071563A">
        <w:t>Nejdůležitější obecnou podmínkou úspěšné realizace projektu je, vyjma absence přírodních katastrof popřípadě globálních ekonomických či politických kri</w:t>
      </w:r>
      <w:r w:rsidR="0034076D">
        <w:t xml:space="preserve">zí, stabilní politická situace </w:t>
      </w:r>
      <w:r w:rsidR="00044C0E">
        <w:t xml:space="preserve">v projektové zemi </w:t>
      </w:r>
      <w:r w:rsidRPr="0071563A">
        <w:t xml:space="preserve">a zájem </w:t>
      </w:r>
      <w:r w:rsidR="00044C0E">
        <w:t xml:space="preserve">tamní </w:t>
      </w:r>
      <w:r w:rsidRPr="0071563A">
        <w:t xml:space="preserve">vlády včetně entitní úrovně na zavedení tržního prostředí, které je běžné v zemích EU. </w:t>
      </w:r>
    </w:p>
    <w:p w14:paraId="2A315397" w14:textId="2F39E68F" w:rsidR="0071563A" w:rsidRPr="0071563A" w:rsidRDefault="0071563A" w:rsidP="008A49AC">
      <w:pPr>
        <w:widowControl w:val="0"/>
        <w:spacing w:after="120" w:line="276" w:lineRule="auto"/>
        <w:jc w:val="both"/>
      </w:pPr>
      <w:r w:rsidRPr="0071563A">
        <w:t xml:space="preserve">Jednotlivé aktivity </w:t>
      </w:r>
      <w:r w:rsidR="00044C0E">
        <w:t xml:space="preserve">projektu </w:t>
      </w:r>
      <w:r w:rsidRPr="0071563A">
        <w:t>pak budou úzce souviset s přístupem zainteresovaných subjektů (jak vládních tak i soukromých</w:t>
      </w:r>
      <w:r w:rsidR="00961253">
        <w:t>)</w:t>
      </w:r>
      <w:r w:rsidRPr="0071563A">
        <w:t xml:space="preserve"> včetně přístupu a motivace jejich zaměstnanců. Pro rozvíjení kapacit státních institucí včetně posílení jejich kompetencí pak bude rozhodující personální zabezpečení především pro oblast úřední kontroly. Zde existuje riziko, že v případě nezvýšení počtu inspekt</w:t>
      </w:r>
      <w:r w:rsidR="0009190E">
        <w:t>orů pro samotný dozor v rámci Ba</w:t>
      </w:r>
      <w:r w:rsidRPr="0071563A">
        <w:t xml:space="preserve">H (ne na hranicích), nebude nově zavedený systém plně funkční. </w:t>
      </w:r>
    </w:p>
    <w:p w14:paraId="7A4AC133" w14:textId="7A171AD7" w:rsidR="0009190E" w:rsidRDefault="00044C0E" w:rsidP="0009190E">
      <w:pPr>
        <w:widowControl w:val="0"/>
        <w:spacing w:after="120" w:line="276" w:lineRule="auto"/>
        <w:jc w:val="both"/>
      </w:pPr>
      <w:r>
        <w:t>Zároveň n</w:t>
      </w:r>
      <w:r w:rsidRPr="0071563A">
        <w:t xml:space="preserve">elze </w:t>
      </w:r>
      <w:r w:rsidR="0009190E" w:rsidRPr="0071563A">
        <w:t>opomenout současný rozdílný přístup obou hlavních entit k příslušné legislativě a</w:t>
      </w:r>
      <w:r w:rsidR="0009190E">
        <w:t> </w:t>
      </w:r>
      <w:r w:rsidR="0009190E" w:rsidRPr="0071563A">
        <w:t xml:space="preserve">výkonu úřední kontroly. Zde je nezbytné přesvědčit obě strany o jednotném výkonu úřední kontroly </w:t>
      </w:r>
      <w:r w:rsidR="0009190E">
        <w:t>a</w:t>
      </w:r>
      <w:r w:rsidR="0009190E" w:rsidRPr="0071563A">
        <w:t xml:space="preserve"> sjednocen</w:t>
      </w:r>
      <w:r w:rsidR="0009190E">
        <w:t>í</w:t>
      </w:r>
      <w:r w:rsidR="0009190E" w:rsidRPr="0071563A">
        <w:t xml:space="preserve"> metodiky.</w:t>
      </w:r>
    </w:p>
    <w:p w14:paraId="271669AF" w14:textId="77777777" w:rsidR="00B47DB8" w:rsidRDefault="00B47DB8" w:rsidP="0009190E">
      <w:pPr>
        <w:widowControl w:val="0"/>
        <w:spacing w:after="120" w:line="276" w:lineRule="auto"/>
        <w:jc w:val="both"/>
      </w:pPr>
    </w:p>
    <w:p w14:paraId="1E78868F" w14:textId="5862A602" w:rsidR="00C57B01" w:rsidRPr="00B47DB8" w:rsidRDefault="00C57B01" w:rsidP="0009190E">
      <w:pPr>
        <w:widowControl w:val="0"/>
        <w:spacing w:after="120" w:line="276" w:lineRule="auto"/>
        <w:jc w:val="both"/>
        <w:rPr>
          <w:u w:val="single"/>
        </w:rPr>
      </w:pPr>
      <w:r w:rsidRPr="00B47DB8">
        <w:rPr>
          <w:u w:val="single"/>
        </w:rPr>
        <w:t>Seznam příloh</w:t>
      </w:r>
      <w:r w:rsidR="00AA7738">
        <w:rPr>
          <w:u w:val="single"/>
        </w:rPr>
        <w:t xml:space="preserve"> projektového dokumentu</w:t>
      </w:r>
      <w:r w:rsidR="00B47DB8" w:rsidRPr="00B47DB8">
        <w:rPr>
          <w:u w:val="single"/>
        </w:rPr>
        <w:t>:</w:t>
      </w:r>
    </w:p>
    <w:p w14:paraId="0691443A" w14:textId="5E07E4A1" w:rsidR="00C57B01" w:rsidRDefault="00B47DB8" w:rsidP="0009190E">
      <w:pPr>
        <w:widowControl w:val="0"/>
        <w:spacing w:after="120" w:line="276" w:lineRule="auto"/>
        <w:jc w:val="both"/>
      </w:pPr>
      <w:r>
        <w:t xml:space="preserve">Příloha č. </w:t>
      </w:r>
      <w:r w:rsidR="00C57B01">
        <w:t>1</w:t>
      </w:r>
      <w:r>
        <w:t>:</w:t>
      </w:r>
      <w:r w:rsidR="00C57B01">
        <w:tab/>
      </w:r>
      <w:r>
        <w:t>Matice logického rámce projektu</w:t>
      </w:r>
      <w:r w:rsidR="00D07C11">
        <w:t xml:space="preserve"> </w:t>
      </w:r>
    </w:p>
    <w:p w14:paraId="758518BF" w14:textId="6FDAE361" w:rsidR="00C57B01" w:rsidRDefault="00B47DB8" w:rsidP="0009190E">
      <w:pPr>
        <w:widowControl w:val="0"/>
        <w:spacing w:after="120" w:line="276" w:lineRule="auto"/>
        <w:jc w:val="both"/>
      </w:pPr>
      <w:r>
        <w:t xml:space="preserve">Příloha č. </w:t>
      </w:r>
      <w:r w:rsidR="00C57B01">
        <w:t>2</w:t>
      </w:r>
      <w:r>
        <w:t>:</w:t>
      </w:r>
      <w:r w:rsidR="00C57B01">
        <w:tab/>
        <w:t>Časový harmonogram aktivit projektu</w:t>
      </w:r>
    </w:p>
    <w:p w14:paraId="32B220A4" w14:textId="3EB16BED" w:rsidR="0073264D" w:rsidRDefault="00B47DB8" w:rsidP="00673FE7">
      <w:pPr>
        <w:widowControl w:val="0"/>
        <w:spacing w:after="120" w:line="276" w:lineRule="auto"/>
        <w:ind w:left="709" w:hanging="709"/>
        <w:jc w:val="both"/>
      </w:pPr>
      <w:r>
        <w:t xml:space="preserve">Příloha č. </w:t>
      </w:r>
      <w:r w:rsidR="00C57B01">
        <w:t>3</w:t>
      </w:r>
      <w:r>
        <w:t>:</w:t>
      </w:r>
      <w:r w:rsidR="00C57B01">
        <w:tab/>
      </w:r>
      <w:r>
        <w:t>Strukturovaný rozpočet projektu</w:t>
      </w:r>
    </w:p>
    <w:sectPr w:rsidR="0073264D" w:rsidSect="00C400C8">
      <w:footerReference w:type="default" r:id="rId16"/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47398" w14:textId="77777777" w:rsidR="006B4FA9" w:rsidRDefault="006B4FA9">
      <w:r>
        <w:separator/>
      </w:r>
    </w:p>
  </w:endnote>
  <w:endnote w:type="continuationSeparator" w:id="0">
    <w:p w14:paraId="66D05FCA" w14:textId="77777777" w:rsidR="006B4FA9" w:rsidRDefault="006B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146E2" w14:textId="77777777" w:rsidR="006B4FA9" w:rsidRDefault="006B4F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F91515" w14:textId="77777777" w:rsidR="006B4FA9" w:rsidRDefault="006B4F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232B3" w14:textId="77777777" w:rsidR="006B4FA9" w:rsidRDefault="006B4F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52E9">
      <w:rPr>
        <w:rStyle w:val="slostrnky"/>
        <w:noProof/>
      </w:rPr>
      <w:t>1</w:t>
    </w:r>
    <w:r>
      <w:rPr>
        <w:rStyle w:val="slostrnky"/>
      </w:rPr>
      <w:fldChar w:fldCharType="end"/>
    </w:r>
  </w:p>
  <w:p w14:paraId="5D3FC3AF" w14:textId="77777777" w:rsidR="006B4FA9" w:rsidRDefault="006B4FA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E432C" w14:textId="77777777" w:rsidR="006B4FA9" w:rsidRDefault="006B4FA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52E9">
      <w:rPr>
        <w:noProof/>
      </w:rPr>
      <w:t>20</w:t>
    </w:r>
    <w:r>
      <w:rPr>
        <w:noProof/>
      </w:rPr>
      <w:fldChar w:fldCharType="end"/>
    </w:r>
  </w:p>
  <w:p w14:paraId="3CF3AA1A" w14:textId="77777777" w:rsidR="006B4FA9" w:rsidRDefault="006B4F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ED6D1" w14:textId="77777777" w:rsidR="006B4FA9" w:rsidRDefault="006B4FA9">
      <w:r>
        <w:separator/>
      </w:r>
    </w:p>
  </w:footnote>
  <w:footnote w:type="continuationSeparator" w:id="0">
    <w:p w14:paraId="41E61A76" w14:textId="77777777" w:rsidR="006B4FA9" w:rsidRDefault="006B4FA9">
      <w:r>
        <w:continuationSeparator/>
      </w:r>
    </w:p>
  </w:footnote>
  <w:footnote w:id="1">
    <w:p w14:paraId="1D858CAA" w14:textId="77777777" w:rsidR="006B4FA9" w:rsidRPr="00E9508F" w:rsidRDefault="006B4FA9" w:rsidP="007158C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244636">
        <w:rPr>
          <w:color w:val="1F1A17"/>
          <w:sz w:val="16"/>
          <w:szCs w:val="16"/>
        </w:rPr>
        <w:t>Papic</w:t>
      </w:r>
      <w:proofErr w:type="spellEnd"/>
      <w:r w:rsidRPr="00244636">
        <w:rPr>
          <w:color w:val="1F1A17"/>
          <w:sz w:val="16"/>
          <w:szCs w:val="16"/>
        </w:rPr>
        <w:t xml:space="preserve"> Ž., </w:t>
      </w:r>
      <w:proofErr w:type="spellStart"/>
      <w:r w:rsidRPr="00244636">
        <w:rPr>
          <w:color w:val="1F1A17"/>
          <w:sz w:val="16"/>
          <w:szCs w:val="16"/>
        </w:rPr>
        <w:t>Fetahagic</w:t>
      </w:r>
      <w:proofErr w:type="spellEnd"/>
      <w:r w:rsidRPr="00244636">
        <w:rPr>
          <w:color w:val="1F1A17"/>
          <w:sz w:val="16"/>
          <w:szCs w:val="16"/>
        </w:rPr>
        <w:t xml:space="preserve"> M.</w:t>
      </w:r>
      <w:r>
        <w:rPr>
          <w:sz w:val="16"/>
          <w:szCs w:val="16"/>
        </w:rPr>
        <w:t xml:space="preserve">, 2010. </w:t>
      </w:r>
      <w:proofErr w:type="spellStart"/>
      <w:r>
        <w:rPr>
          <w:sz w:val="16"/>
          <w:szCs w:val="16"/>
        </w:rPr>
        <w:t>Progress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tow</w:t>
      </w:r>
      <w:r w:rsidRPr="00244636">
        <w:rPr>
          <w:sz w:val="16"/>
          <w:szCs w:val="16"/>
        </w:rPr>
        <w:t>ards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the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realization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o</w:t>
      </w:r>
      <w:r>
        <w:rPr>
          <w:sz w:val="16"/>
          <w:szCs w:val="16"/>
        </w:rPr>
        <w:t>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Millennium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development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go</w:t>
      </w:r>
      <w:r w:rsidRPr="00244636">
        <w:rPr>
          <w:sz w:val="16"/>
          <w:szCs w:val="16"/>
        </w:rPr>
        <w:t>als</w:t>
      </w:r>
      <w:proofErr w:type="spellEnd"/>
      <w:r w:rsidRPr="00244636">
        <w:rPr>
          <w:sz w:val="16"/>
          <w:szCs w:val="16"/>
        </w:rPr>
        <w:t xml:space="preserve"> in </w:t>
      </w:r>
      <w:proofErr w:type="spellStart"/>
      <w:r w:rsidRPr="00244636">
        <w:rPr>
          <w:sz w:val="16"/>
          <w:szCs w:val="16"/>
        </w:rPr>
        <w:t>Bosnia</w:t>
      </w:r>
      <w:proofErr w:type="spellEnd"/>
      <w:r w:rsidRPr="00244636">
        <w:rPr>
          <w:sz w:val="16"/>
          <w:szCs w:val="16"/>
        </w:rPr>
        <w:t xml:space="preserve"> and </w:t>
      </w:r>
      <w:proofErr w:type="spellStart"/>
      <w:r w:rsidRPr="00244636">
        <w:rPr>
          <w:sz w:val="16"/>
          <w:szCs w:val="16"/>
        </w:rPr>
        <w:t>Herzegovina</w:t>
      </w:r>
      <w:proofErr w:type="spellEnd"/>
      <w:r w:rsidRPr="00244636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UN, </w:t>
      </w:r>
      <w:r w:rsidRPr="00E9508F">
        <w:rPr>
          <w:sz w:val="16"/>
          <w:szCs w:val="16"/>
        </w:rPr>
        <w:t xml:space="preserve">Ministry </w:t>
      </w:r>
      <w:proofErr w:type="spellStart"/>
      <w:r w:rsidRPr="00E9508F">
        <w:rPr>
          <w:sz w:val="16"/>
          <w:szCs w:val="16"/>
        </w:rPr>
        <w:t>of</w:t>
      </w:r>
      <w:proofErr w:type="spellEnd"/>
      <w:r w:rsidRPr="00E9508F">
        <w:rPr>
          <w:sz w:val="16"/>
          <w:szCs w:val="16"/>
        </w:rPr>
        <w:t xml:space="preserve"> Finance and </w:t>
      </w:r>
      <w:proofErr w:type="spellStart"/>
      <w:r w:rsidRPr="00E9508F">
        <w:rPr>
          <w:sz w:val="16"/>
          <w:szCs w:val="16"/>
        </w:rPr>
        <w:t>Treasury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of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Bosnia</w:t>
      </w:r>
      <w:proofErr w:type="spellEnd"/>
      <w:r w:rsidRPr="00E9508F">
        <w:rPr>
          <w:sz w:val="16"/>
          <w:szCs w:val="16"/>
        </w:rPr>
        <w:t xml:space="preserve"> and </w:t>
      </w:r>
      <w:proofErr w:type="spellStart"/>
      <w:r w:rsidRPr="00E9508F">
        <w:rPr>
          <w:sz w:val="16"/>
          <w:szCs w:val="16"/>
        </w:rPr>
        <w:t>Herzegovina</w:t>
      </w:r>
      <w:proofErr w:type="spellEnd"/>
      <w:r w:rsidRPr="00E9508F">
        <w:rPr>
          <w:sz w:val="16"/>
          <w:szCs w:val="16"/>
        </w:rPr>
        <w:t>. Dostupné z: http://www.undp.ba/index.aspx?PID=20 [cit. 2013-07-04]</w:t>
      </w:r>
    </w:p>
  </w:footnote>
  <w:footnote w:id="2">
    <w:p w14:paraId="27721A8B" w14:textId="77777777" w:rsidR="006B4FA9" w:rsidRPr="00E9508F" w:rsidRDefault="006B4FA9" w:rsidP="007158C0">
      <w:pPr>
        <w:rPr>
          <w:sz w:val="16"/>
          <w:szCs w:val="16"/>
        </w:rPr>
      </w:pPr>
      <w:r w:rsidRPr="00E9508F">
        <w:rPr>
          <w:rStyle w:val="Znakapoznpodarou"/>
          <w:sz w:val="16"/>
          <w:szCs w:val="16"/>
        </w:rPr>
        <w:footnoteRef/>
      </w:r>
      <w:r w:rsidRPr="00E9508F">
        <w:rPr>
          <w:sz w:val="16"/>
          <w:szCs w:val="16"/>
        </w:rPr>
        <w:t xml:space="preserve"> El </w:t>
      </w:r>
      <w:proofErr w:type="spellStart"/>
      <w:r w:rsidRPr="00E9508F">
        <w:rPr>
          <w:sz w:val="16"/>
          <w:szCs w:val="16"/>
        </w:rPr>
        <w:t>Bilali</w:t>
      </w:r>
      <w:proofErr w:type="spellEnd"/>
      <w:r w:rsidRPr="00E9508F">
        <w:rPr>
          <w:sz w:val="16"/>
          <w:szCs w:val="16"/>
        </w:rPr>
        <w:t xml:space="preserve"> H., </w:t>
      </w:r>
      <w:proofErr w:type="spellStart"/>
      <w:r w:rsidRPr="00E9508F">
        <w:rPr>
          <w:sz w:val="16"/>
          <w:szCs w:val="16"/>
        </w:rPr>
        <w:t>Berjan</w:t>
      </w:r>
      <w:proofErr w:type="spellEnd"/>
      <w:r w:rsidRPr="00E9508F">
        <w:rPr>
          <w:sz w:val="16"/>
          <w:szCs w:val="16"/>
        </w:rPr>
        <w:t xml:space="preserve"> S., </w:t>
      </w:r>
      <w:proofErr w:type="spellStart"/>
      <w:r w:rsidRPr="00E9508F">
        <w:rPr>
          <w:sz w:val="16"/>
          <w:szCs w:val="16"/>
        </w:rPr>
        <w:t>Simic</w:t>
      </w:r>
      <w:proofErr w:type="spellEnd"/>
      <w:r w:rsidRPr="00E9508F">
        <w:rPr>
          <w:sz w:val="16"/>
          <w:szCs w:val="16"/>
        </w:rPr>
        <w:t xml:space="preserve"> J., </w:t>
      </w:r>
      <w:proofErr w:type="spellStart"/>
      <w:r w:rsidRPr="00E9508F">
        <w:rPr>
          <w:sz w:val="16"/>
          <w:szCs w:val="16"/>
        </w:rPr>
        <w:t>Despotovic</w:t>
      </w:r>
      <w:proofErr w:type="spellEnd"/>
      <w:r w:rsidRPr="00E9508F">
        <w:rPr>
          <w:sz w:val="16"/>
          <w:szCs w:val="16"/>
        </w:rPr>
        <w:t xml:space="preserve"> A., </w:t>
      </w:r>
      <w:proofErr w:type="spellStart"/>
      <w:r w:rsidRPr="00E9508F">
        <w:rPr>
          <w:sz w:val="16"/>
          <w:szCs w:val="16"/>
        </w:rPr>
        <w:t>Cadro</w:t>
      </w:r>
      <w:proofErr w:type="spellEnd"/>
      <w:r w:rsidRPr="00E9508F">
        <w:rPr>
          <w:sz w:val="16"/>
          <w:szCs w:val="16"/>
        </w:rPr>
        <w:t xml:space="preserve"> S., </w:t>
      </w:r>
      <w:proofErr w:type="spellStart"/>
      <w:r w:rsidRPr="00E9508F">
        <w:rPr>
          <w:sz w:val="16"/>
          <w:szCs w:val="16"/>
        </w:rPr>
        <w:t>Stojkovic</w:t>
      </w:r>
      <w:proofErr w:type="spellEnd"/>
      <w:r w:rsidRPr="00E9508F">
        <w:rPr>
          <w:sz w:val="16"/>
          <w:szCs w:val="16"/>
        </w:rPr>
        <w:t xml:space="preserve"> L., 2012. International </w:t>
      </w:r>
      <w:proofErr w:type="spellStart"/>
      <w:r w:rsidRPr="00E9508F">
        <w:rPr>
          <w:sz w:val="16"/>
          <w:szCs w:val="16"/>
        </w:rPr>
        <w:t>aid</w:t>
      </w:r>
      <w:proofErr w:type="spellEnd"/>
      <w:r w:rsidRPr="00E9508F">
        <w:rPr>
          <w:sz w:val="16"/>
          <w:szCs w:val="16"/>
        </w:rPr>
        <w:t xml:space="preserve"> to </w:t>
      </w:r>
      <w:proofErr w:type="spellStart"/>
      <w:r w:rsidRPr="00E9508F">
        <w:rPr>
          <w:sz w:val="16"/>
          <w:szCs w:val="16"/>
        </w:rPr>
        <w:t>Baosnian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agriculture</w:t>
      </w:r>
      <w:proofErr w:type="spellEnd"/>
      <w:r w:rsidRPr="00E9508F">
        <w:rPr>
          <w:sz w:val="16"/>
          <w:szCs w:val="16"/>
        </w:rPr>
        <w:t xml:space="preserve">, </w:t>
      </w:r>
      <w:proofErr w:type="spellStart"/>
      <w:r w:rsidRPr="00E9508F">
        <w:rPr>
          <w:sz w:val="16"/>
          <w:szCs w:val="16"/>
        </w:rPr>
        <w:t>forestry</w:t>
      </w:r>
      <w:proofErr w:type="spellEnd"/>
      <w:r w:rsidRPr="00E9508F">
        <w:rPr>
          <w:sz w:val="16"/>
          <w:szCs w:val="16"/>
        </w:rPr>
        <w:t xml:space="preserve"> and </w:t>
      </w:r>
      <w:proofErr w:type="spellStart"/>
      <w:r w:rsidRPr="00E9508F">
        <w:rPr>
          <w:sz w:val="16"/>
          <w:szCs w:val="16"/>
        </w:rPr>
        <w:t>rural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development</w:t>
      </w:r>
      <w:proofErr w:type="spellEnd"/>
      <w:r w:rsidRPr="00E9508F">
        <w:rPr>
          <w:sz w:val="16"/>
          <w:szCs w:val="16"/>
        </w:rPr>
        <w:t xml:space="preserve"> in </w:t>
      </w:r>
      <w:proofErr w:type="spellStart"/>
      <w:r w:rsidRPr="00E9508F">
        <w:rPr>
          <w:sz w:val="16"/>
          <w:szCs w:val="16"/>
        </w:rPr>
        <w:t>the</w:t>
      </w:r>
      <w:proofErr w:type="spellEnd"/>
      <w:r w:rsidRPr="00E9508F">
        <w:rPr>
          <w:sz w:val="16"/>
          <w:szCs w:val="16"/>
        </w:rPr>
        <w:t xml:space="preserve"> post-</w:t>
      </w:r>
      <w:proofErr w:type="spellStart"/>
      <w:r w:rsidRPr="00E9508F">
        <w:rPr>
          <w:sz w:val="16"/>
          <w:szCs w:val="16"/>
        </w:rPr>
        <w:t>war</w:t>
      </w:r>
      <w:proofErr w:type="spellEnd"/>
      <w:r w:rsidRPr="00E9508F">
        <w:rPr>
          <w:sz w:val="16"/>
          <w:szCs w:val="16"/>
        </w:rPr>
        <w:t xml:space="preserve"> period. </w:t>
      </w:r>
      <w:proofErr w:type="spellStart"/>
      <w:r w:rsidRPr="00E9508F">
        <w:rPr>
          <w:sz w:val="16"/>
          <w:szCs w:val="16"/>
        </w:rPr>
        <w:t>Third</w:t>
      </w:r>
      <w:proofErr w:type="spellEnd"/>
      <w:r w:rsidRPr="00E9508F">
        <w:rPr>
          <w:sz w:val="16"/>
          <w:szCs w:val="16"/>
        </w:rPr>
        <w:t xml:space="preserve"> International </w:t>
      </w:r>
      <w:proofErr w:type="spellStart"/>
      <w:r w:rsidRPr="00E9508F">
        <w:rPr>
          <w:sz w:val="16"/>
          <w:szCs w:val="16"/>
        </w:rPr>
        <w:t>Scientific</w:t>
      </w:r>
      <w:proofErr w:type="spellEnd"/>
      <w:r w:rsidRPr="00E9508F">
        <w:rPr>
          <w:sz w:val="16"/>
          <w:szCs w:val="16"/>
        </w:rPr>
        <w:t xml:space="preserve"> Symposium "</w:t>
      </w:r>
      <w:proofErr w:type="spellStart"/>
      <w:r w:rsidRPr="00E9508F">
        <w:rPr>
          <w:sz w:val="16"/>
          <w:szCs w:val="16"/>
        </w:rPr>
        <w:t>Agrosym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Jahorina</w:t>
      </w:r>
      <w:proofErr w:type="spellEnd"/>
      <w:r w:rsidRPr="00E9508F">
        <w:rPr>
          <w:sz w:val="16"/>
          <w:szCs w:val="16"/>
        </w:rPr>
        <w:t xml:space="preserve"> 2012". Dostupné z: http://www.agrosym.unssa.rs.ba/agrosym/agrosym_2012/dokumenti/5_ruralni_razvoj/11_RD_Hamid_El_Bilali.pdf [cit. 2013-07-04]</w:t>
      </w:r>
    </w:p>
  </w:footnote>
  <w:footnote w:id="3">
    <w:p w14:paraId="5F711698" w14:textId="77777777" w:rsidR="006B4FA9" w:rsidRPr="00E9508F" w:rsidRDefault="006B4FA9" w:rsidP="007158C0">
      <w:pPr>
        <w:pStyle w:val="Textpoznpodarou"/>
        <w:rPr>
          <w:sz w:val="16"/>
          <w:szCs w:val="16"/>
        </w:rPr>
      </w:pPr>
      <w:r w:rsidRPr="00E9508F">
        <w:rPr>
          <w:rStyle w:val="Znakapoznpodarou"/>
          <w:sz w:val="16"/>
          <w:szCs w:val="16"/>
        </w:rPr>
        <w:footnoteRef/>
      </w:r>
      <w:r w:rsidRPr="00E9508F">
        <w:rPr>
          <w:sz w:val="16"/>
          <w:szCs w:val="16"/>
        </w:rPr>
        <w:t xml:space="preserve"> FAO, 2011. </w:t>
      </w:r>
      <w:proofErr w:type="spellStart"/>
      <w:r w:rsidRPr="00E9508F">
        <w:rPr>
          <w:sz w:val="16"/>
          <w:szCs w:val="16"/>
        </w:rPr>
        <w:t>Bosnia</w:t>
      </w:r>
      <w:proofErr w:type="spellEnd"/>
      <w:r w:rsidRPr="00E9508F">
        <w:rPr>
          <w:sz w:val="16"/>
          <w:szCs w:val="16"/>
        </w:rPr>
        <w:t xml:space="preserve"> a Hercegovina. Dostupné z: http://www.fao.org/fileadmin/user_upload/Europe/documents/Publications/AI_briefs/BiH_ai_en.pdf [2013-06-25]</w:t>
      </w:r>
    </w:p>
  </w:footnote>
  <w:footnote w:id="4">
    <w:p w14:paraId="107CA5BB" w14:textId="77777777" w:rsidR="006B4FA9" w:rsidRPr="00E9508F" w:rsidRDefault="006B4FA9" w:rsidP="007158C0">
      <w:pPr>
        <w:pStyle w:val="Textpoznpodarou"/>
        <w:rPr>
          <w:sz w:val="16"/>
          <w:szCs w:val="16"/>
        </w:rPr>
      </w:pPr>
      <w:r w:rsidRPr="00E9508F">
        <w:rPr>
          <w:rStyle w:val="Znakapoznpodarou"/>
          <w:sz w:val="16"/>
          <w:szCs w:val="16"/>
        </w:rPr>
        <w:footnoteRef/>
      </w:r>
      <w:r w:rsidRPr="00E9508F">
        <w:rPr>
          <w:sz w:val="16"/>
          <w:szCs w:val="16"/>
        </w:rPr>
        <w:t xml:space="preserve"> CIRA.cz, 2013. Situační studie pro zavedení pro zavedení a rozvoj systému šlechtění masného skotu v Bosně a Hercegovině, s. 69</w:t>
      </w:r>
    </w:p>
  </w:footnote>
  <w:footnote w:id="5">
    <w:p w14:paraId="18EEA89D" w14:textId="77777777" w:rsidR="006B4FA9" w:rsidRPr="00244636" w:rsidRDefault="006B4FA9" w:rsidP="007158C0">
      <w:pPr>
        <w:rPr>
          <w:sz w:val="16"/>
          <w:szCs w:val="16"/>
        </w:rPr>
      </w:pPr>
      <w:r w:rsidRPr="00244636">
        <w:rPr>
          <w:rStyle w:val="Znakapoznpodarou"/>
          <w:sz w:val="16"/>
          <w:szCs w:val="16"/>
        </w:rPr>
        <w:footnoteRef/>
      </w:r>
      <w:r w:rsidRPr="00244636">
        <w:rPr>
          <w:sz w:val="16"/>
          <w:szCs w:val="16"/>
        </w:rPr>
        <w:t xml:space="preserve"> UNDP, 2013. </w:t>
      </w:r>
      <w:proofErr w:type="spellStart"/>
      <w:r w:rsidRPr="00244636">
        <w:rPr>
          <w:sz w:val="16"/>
          <w:szCs w:val="16"/>
        </w:rPr>
        <w:t>Human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Development</w:t>
      </w:r>
      <w:proofErr w:type="spellEnd"/>
      <w:r w:rsidRPr="00244636">
        <w:rPr>
          <w:sz w:val="16"/>
          <w:szCs w:val="16"/>
        </w:rPr>
        <w:t xml:space="preserve"> Report 2013. </w:t>
      </w:r>
      <w:proofErr w:type="spellStart"/>
      <w:r w:rsidRPr="00244636">
        <w:rPr>
          <w:sz w:val="16"/>
          <w:szCs w:val="16"/>
        </w:rPr>
        <w:t>Bosnia</w:t>
      </w:r>
      <w:proofErr w:type="spellEnd"/>
      <w:r w:rsidRPr="00244636">
        <w:rPr>
          <w:sz w:val="16"/>
          <w:szCs w:val="16"/>
        </w:rPr>
        <w:t xml:space="preserve"> a Hercegovina. Dostupné z:  </w:t>
      </w:r>
    </w:p>
    <w:p w14:paraId="16C752EC" w14:textId="77777777" w:rsidR="006B4FA9" w:rsidRPr="00244636" w:rsidRDefault="006B4FA9" w:rsidP="007158C0">
      <w:pPr>
        <w:rPr>
          <w:sz w:val="16"/>
          <w:szCs w:val="16"/>
        </w:rPr>
      </w:pPr>
      <w:r w:rsidRPr="00244636">
        <w:rPr>
          <w:sz w:val="16"/>
          <w:szCs w:val="16"/>
        </w:rPr>
        <w:t>http://hdrstats.undp.org/images/explanations/BIH.pdf [2013-06-24]</w:t>
      </w:r>
    </w:p>
  </w:footnote>
  <w:footnote w:id="6">
    <w:p w14:paraId="77C4F0F0" w14:textId="77777777" w:rsidR="006B4FA9" w:rsidRPr="001163BA" w:rsidRDefault="006B4FA9" w:rsidP="007158C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244636">
        <w:rPr>
          <w:color w:val="1F1A17"/>
          <w:sz w:val="16"/>
          <w:szCs w:val="16"/>
        </w:rPr>
        <w:t>Papic</w:t>
      </w:r>
      <w:proofErr w:type="spellEnd"/>
      <w:r w:rsidRPr="00244636">
        <w:rPr>
          <w:color w:val="1F1A17"/>
          <w:sz w:val="16"/>
          <w:szCs w:val="16"/>
        </w:rPr>
        <w:t xml:space="preserve"> Ž., </w:t>
      </w:r>
      <w:proofErr w:type="spellStart"/>
      <w:r w:rsidRPr="00244636">
        <w:rPr>
          <w:color w:val="1F1A17"/>
          <w:sz w:val="16"/>
          <w:szCs w:val="16"/>
        </w:rPr>
        <w:t>Fetahagic</w:t>
      </w:r>
      <w:proofErr w:type="spellEnd"/>
      <w:r w:rsidRPr="00244636">
        <w:rPr>
          <w:color w:val="1F1A17"/>
          <w:sz w:val="16"/>
          <w:szCs w:val="16"/>
        </w:rPr>
        <w:t xml:space="preserve"> M.</w:t>
      </w:r>
      <w:r w:rsidRPr="00244636">
        <w:rPr>
          <w:sz w:val="16"/>
          <w:szCs w:val="16"/>
        </w:rPr>
        <w:t xml:space="preserve">, 2010. </w:t>
      </w:r>
      <w:proofErr w:type="spellStart"/>
      <w:r w:rsidRPr="00244636">
        <w:rPr>
          <w:sz w:val="16"/>
          <w:szCs w:val="16"/>
        </w:rPr>
        <w:t>Progress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towards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the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realization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o</w:t>
      </w:r>
      <w:r>
        <w:rPr>
          <w:sz w:val="16"/>
          <w:szCs w:val="16"/>
        </w:rPr>
        <w:t>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Millennium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development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go</w:t>
      </w:r>
      <w:r w:rsidRPr="00244636">
        <w:rPr>
          <w:sz w:val="16"/>
          <w:szCs w:val="16"/>
        </w:rPr>
        <w:t>als</w:t>
      </w:r>
      <w:proofErr w:type="spellEnd"/>
      <w:r w:rsidRPr="00244636">
        <w:rPr>
          <w:sz w:val="16"/>
          <w:szCs w:val="16"/>
        </w:rPr>
        <w:t xml:space="preserve"> in </w:t>
      </w:r>
      <w:proofErr w:type="spellStart"/>
      <w:r w:rsidRPr="00244636">
        <w:rPr>
          <w:sz w:val="16"/>
          <w:szCs w:val="16"/>
        </w:rPr>
        <w:t>Bosnia</w:t>
      </w:r>
      <w:proofErr w:type="spellEnd"/>
      <w:r w:rsidRPr="00244636">
        <w:rPr>
          <w:sz w:val="16"/>
          <w:szCs w:val="16"/>
        </w:rPr>
        <w:t xml:space="preserve"> and </w:t>
      </w:r>
      <w:proofErr w:type="spellStart"/>
      <w:r w:rsidRPr="00244636">
        <w:rPr>
          <w:sz w:val="16"/>
          <w:szCs w:val="16"/>
        </w:rPr>
        <w:t>Herzegovina</w:t>
      </w:r>
      <w:proofErr w:type="spellEnd"/>
      <w:r w:rsidRPr="00244636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UN, Ministry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Finance and </w:t>
      </w:r>
      <w:proofErr w:type="spellStart"/>
      <w:r>
        <w:rPr>
          <w:sz w:val="16"/>
          <w:szCs w:val="16"/>
        </w:rPr>
        <w:t>Treasury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Bosnia</w:t>
      </w:r>
      <w:proofErr w:type="spellEnd"/>
      <w:r>
        <w:rPr>
          <w:sz w:val="16"/>
          <w:szCs w:val="16"/>
        </w:rPr>
        <w:t xml:space="preserve"> and </w:t>
      </w:r>
      <w:proofErr w:type="spellStart"/>
      <w:r>
        <w:rPr>
          <w:sz w:val="16"/>
          <w:szCs w:val="16"/>
        </w:rPr>
        <w:t>Herzegovina</w:t>
      </w:r>
      <w:proofErr w:type="spellEnd"/>
      <w:r>
        <w:rPr>
          <w:sz w:val="16"/>
          <w:szCs w:val="16"/>
        </w:rPr>
        <w:t xml:space="preserve">. </w:t>
      </w:r>
      <w:r w:rsidRPr="00244636">
        <w:rPr>
          <w:sz w:val="16"/>
          <w:szCs w:val="16"/>
        </w:rPr>
        <w:t>Dostupné z: http://www.undp.ba/inde</w:t>
      </w:r>
      <w:r>
        <w:rPr>
          <w:sz w:val="16"/>
          <w:szCs w:val="16"/>
        </w:rPr>
        <w:t>x.aspx?PID=20 [cit. 2013-07-04]</w:t>
      </w:r>
    </w:p>
  </w:footnote>
  <w:footnote w:id="7">
    <w:p w14:paraId="595C12C9" w14:textId="77777777" w:rsidR="006B4FA9" w:rsidRPr="00A12F61" w:rsidRDefault="006B4FA9" w:rsidP="007158C0">
      <w:pPr>
        <w:rPr>
          <w:sz w:val="16"/>
          <w:szCs w:val="16"/>
        </w:rPr>
      </w:pPr>
      <w:r w:rsidRPr="00244636">
        <w:rPr>
          <w:rStyle w:val="Znakapoznpodarou"/>
          <w:sz w:val="16"/>
          <w:szCs w:val="16"/>
        </w:rPr>
        <w:footnoteRef/>
      </w:r>
      <w:r w:rsidRPr="00244636">
        <w:rPr>
          <w:sz w:val="16"/>
          <w:szCs w:val="16"/>
        </w:rPr>
        <w:t xml:space="preserve"> </w:t>
      </w:r>
      <w:proofErr w:type="spellStart"/>
      <w:r w:rsidRPr="00A12F61">
        <w:rPr>
          <w:sz w:val="16"/>
          <w:szCs w:val="16"/>
        </w:rPr>
        <w:t>The</w:t>
      </w:r>
      <w:proofErr w:type="spellEnd"/>
      <w:r w:rsidRPr="00A12F61">
        <w:rPr>
          <w:sz w:val="16"/>
          <w:szCs w:val="16"/>
        </w:rPr>
        <w:t xml:space="preserve"> </w:t>
      </w:r>
      <w:proofErr w:type="spellStart"/>
      <w:r w:rsidRPr="00A12F61">
        <w:rPr>
          <w:sz w:val="16"/>
          <w:szCs w:val="16"/>
        </w:rPr>
        <w:t>World</w:t>
      </w:r>
      <w:proofErr w:type="spellEnd"/>
      <w:r w:rsidRPr="00A12F61">
        <w:rPr>
          <w:sz w:val="16"/>
          <w:szCs w:val="16"/>
        </w:rPr>
        <w:t xml:space="preserve"> Bank, 2013. </w:t>
      </w:r>
      <w:proofErr w:type="spellStart"/>
      <w:r w:rsidRPr="00A12F61">
        <w:rPr>
          <w:sz w:val="16"/>
          <w:szCs w:val="16"/>
        </w:rPr>
        <w:t>Bosnia</w:t>
      </w:r>
      <w:proofErr w:type="spellEnd"/>
      <w:r w:rsidRPr="00A12F61">
        <w:rPr>
          <w:sz w:val="16"/>
          <w:szCs w:val="16"/>
        </w:rPr>
        <w:t xml:space="preserve"> a Hercegovina. Dostupné z: http://www.worldbank.org/en/country/bosniaandherzegovina, [2013-06-24]</w:t>
      </w:r>
    </w:p>
  </w:footnote>
  <w:footnote w:id="8">
    <w:p w14:paraId="3C497C91" w14:textId="77777777" w:rsidR="006B4FA9" w:rsidRPr="00A16B75" w:rsidRDefault="006B4FA9" w:rsidP="007158C0">
      <w:pPr>
        <w:pStyle w:val="Textpoznpodarou"/>
        <w:rPr>
          <w:sz w:val="16"/>
          <w:szCs w:val="16"/>
        </w:rPr>
      </w:pPr>
      <w:r w:rsidRPr="00A12F61">
        <w:rPr>
          <w:rStyle w:val="Znakapoznpodarou"/>
          <w:sz w:val="16"/>
          <w:szCs w:val="16"/>
        </w:rPr>
        <w:footnoteRef/>
      </w:r>
      <w:r w:rsidRPr="00A12F61">
        <w:rPr>
          <w:sz w:val="16"/>
          <w:szCs w:val="16"/>
        </w:rPr>
        <w:t xml:space="preserve"> </w:t>
      </w:r>
      <w:proofErr w:type="spellStart"/>
      <w:r w:rsidRPr="00A12F61">
        <w:rPr>
          <w:sz w:val="16"/>
          <w:szCs w:val="16"/>
        </w:rPr>
        <w:t>The</w:t>
      </w:r>
      <w:proofErr w:type="spellEnd"/>
      <w:r w:rsidRPr="00A12F61">
        <w:rPr>
          <w:sz w:val="16"/>
          <w:szCs w:val="16"/>
        </w:rPr>
        <w:t xml:space="preserve"> </w:t>
      </w:r>
      <w:proofErr w:type="spellStart"/>
      <w:r w:rsidRPr="00A12F61">
        <w:rPr>
          <w:sz w:val="16"/>
          <w:szCs w:val="16"/>
        </w:rPr>
        <w:t>World</w:t>
      </w:r>
      <w:proofErr w:type="spellEnd"/>
      <w:r w:rsidRPr="00A12F61">
        <w:rPr>
          <w:sz w:val="16"/>
          <w:szCs w:val="16"/>
        </w:rPr>
        <w:t xml:space="preserve"> Bank, 2013. </w:t>
      </w:r>
      <w:proofErr w:type="spellStart"/>
      <w:r w:rsidRPr="00A12F61">
        <w:rPr>
          <w:sz w:val="16"/>
          <w:szCs w:val="16"/>
        </w:rPr>
        <w:t>Bosnia</w:t>
      </w:r>
      <w:proofErr w:type="spellEnd"/>
      <w:r w:rsidRPr="00A12F61">
        <w:rPr>
          <w:sz w:val="16"/>
          <w:szCs w:val="16"/>
        </w:rPr>
        <w:t xml:space="preserve"> and </w:t>
      </w:r>
      <w:proofErr w:type="spellStart"/>
      <w:r w:rsidRPr="00A12F61">
        <w:rPr>
          <w:sz w:val="16"/>
          <w:szCs w:val="16"/>
        </w:rPr>
        <w:t>Herzegovina</w:t>
      </w:r>
      <w:proofErr w:type="spellEnd"/>
      <w:r w:rsidRPr="00A12F61">
        <w:rPr>
          <w:sz w:val="16"/>
          <w:szCs w:val="16"/>
        </w:rPr>
        <w:t xml:space="preserve"> </w:t>
      </w:r>
      <w:proofErr w:type="spellStart"/>
      <w:r w:rsidRPr="00A12F61">
        <w:rPr>
          <w:sz w:val="16"/>
          <w:szCs w:val="16"/>
        </w:rPr>
        <w:t>Overview</w:t>
      </w:r>
      <w:proofErr w:type="spellEnd"/>
      <w:r w:rsidRPr="00A12F61">
        <w:rPr>
          <w:sz w:val="16"/>
          <w:szCs w:val="16"/>
        </w:rPr>
        <w:t>. Dostupné z: http://</w:t>
      </w:r>
      <w:r w:rsidRPr="008447FB">
        <w:rPr>
          <w:sz w:val="16"/>
          <w:szCs w:val="16"/>
        </w:rPr>
        <w:t>www.worldbank.org/en/country/bosniaandherzego</w:t>
      </w:r>
      <w:r>
        <w:rPr>
          <w:sz w:val="16"/>
          <w:szCs w:val="16"/>
        </w:rPr>
        <w:t>vina/overview [cit. 2013-07-04]</w:t>
      </w:r>
    </w:p>
  </w:footnote>
  <w:footnote w:id="9">
    <w:p w14:paraId="6A3C8E74" w14:textId="77777777" w:rsidR="006B4FA9" w:rsidRPr="00A16B75" w:rsidRDefault="006B4FA9" w:rsidP="007158C0">
      <w:pPr>
        <w:rPr>
          <w:sz w:val="16"/>
          <w:szCs w:val="16"/>
        </w:rPr>
      </w:pPr>
      <w:r w:rsidRPr="00A16B75">
        <w:rPr>
          <w:rStyle w:val="Znakapoznpodarou"/>
          <w:sz w:val="16"/>
          <w:szCs w:val="16"/>
        </w:rPr>
        <w:footnoteRef/>
      </w:r>
      <w:r w:rsidRPr="00A16B75">
        <w:rPr>
          <w:sz w:val="16"/>
          <w:szCs w:val="16"/>
        </w:rPr>
        <w:t xml:space="preserve"> </w:t>
      </w:r>
      <w:proofErr w:type="spellStart"/>
      <w:r w:rsidRPr="00A16B75">
        <w:rPr>
          <w:sz w:val="16"/>
          <w:szCs w:val="16"/>
        </w:rPr>
        <w:t>The</w:t>
      </w:r>
      <w:proofErr w:type="spellEnd"/>
      <w:r w:rsidRPr="00A16B75">
        <w:rPr>
          <w:sz w:val="16"/>
          <w:szCs w:val="16"/>
        </w:rPr>
        <w:t xml:space="preserve"> </w:t>
      </w:r>
      <w:proofErr w:type="spellStart"/>
      <w:r w:rsidRPr="00A16B75">
        <w:rPr>
          <w:sz w:val="16"/>
          <w:szCs w:val="16"/>
        </w:rPr>
        <w:t>World</w:t>
      </w:r>
      <w:proofErr w:type="spellEnd"/>
      <w:r w:rsidRPr="00A16B75">
        <w:rPr>
          <w:sz w:val="16"/>
          <w:szCs w:val="16"/>
        </w:rPr>
        <w:t xml:space="preserve"> Bank, 2013. </w:t>
      </w:r>
      <w:proofErr w:type="spellStart"/>
      <w:r w:rsidRPr="00A16B75">
        <w:rPr>
          <w:sz w:val="16"/>
          <w:szCs w:val="16"/>
        </w:rPr>
        <w:t>Improving</w:t>
      </w:r>
      <w:proofErr w:type="spellEnd"/>
      <w:r w:rsidRPr="00A16B75">
        <w:rPr>
          <w:sz w:val="16"/>
          <w:szCs w:val="16"/>
        </w:rPr>
        <w:t xml:space="preserve"> </w:t>
      </w:r>
      <w:proofErr w:type="spellStart"/>
      <w:r w:rsidRPr="00A16B75">
        <w:rPr>
          <w:sz w:val="16"/>
          <w:szCs w:val="16"/>
        </w:rPr>
        <w:t>Oppourtunities</w:t>
      </w:r>
      <w:proofErr w:type="spellEnd"/>
      <w:r w:rsidRPr="00A16B75">
        <w:rPr>
          <w:sz w:val="16"/>
          <w:szCs w:val="16"/>
        </w:rPr>
        <w:t xml:space="preserve"> </w:t>
      </w:r>
      <w:proofErr w:type="spellStart"/>
      <w:r w:rsidRPr="00A16B75">
        <w:rPr>
          <w:sz w:val="16"/>
          <w:szCs w:val="16"/>
        </w:rPr>
        <w:t>for</w:t>
      </w:r>
      <w:proofErr w:type="spellEnd"/>
      <w:r w:rsidRPr="00A16B75">
        <w:rPr>
          <w:sz w:val="16"/>
          <w:szCs w:val="16"/>
        </w:rPr>
        <w:t xml:space="preserve"> </w:t>
      </w:r>
      <w:proofErr w:type="spellStart"/>
      <w:r w:rsidRPr="00A16B75">
        <w:rPr>
          <w:sz w:val="16"/>
          <w:szCs w:val="16"/>
        </w:rPr>
        <w:t>Young</w:t>
      </w:r>
      <w:proofErr w:type="spellEnd"/>
      <w:r w:rsidRPr="00A16B75">
        <w:rPr>
          <w:sz w:val="16"/>
          <w:szCs w:val="16"/>
        </w:rPr>
        <w:t xml:space="preserve"> </w:t>
      </w:r>
      <w:proofErr w:type="spellStart"/>
      <w:r w:rsidRPr="00A16B75">
        <w:rPr>
          <w:sz w:val="16"/>
          <w:szCs w:val="16"/>
        </w:rPr>
        <w:t>People</w:t>
      </w:r>
      <w:proofErr w:type="spellEnd"/>
      <w:r w:rsidRPr="00A16B75">
        <w:rPr>
          <w:sz w:val="16"/>
          <w:szCs w:val="16"/>
        </w:rPr>
        <w:t xml:space="preserve"> in </w:t>
      </w:r>
      <w:proofErr w:type="spellStart"/>
      <w:r w:rsidRPr="00A16B75">
        <w:rPr>
          <w:sz w:val="16"/>
          <w:szCs w:val="16"/>
        </w:rPr>
        <w:t>Bosnia</w:t>
      </w:r>
      <w:proofErr w:type="spellEnd"/>
      <w:r w:rsidRPr="00A16B75">
        <w:rPr>
          <w:sz w:val="16"/>
          <w:szCs w:val="16"/>
        </w:rPr>
        <w:t xml:space="preserve"> and Hercegovina. Dostupné z: </w:t>
      </w:r>
    </w:p>
    <w:p w14:paraId="3031F8CB" w14:textId="77777777" w:rsidR="006B4FA9" w:rsidRPr="00A16B75" w:rsidRDefault="006B4FA9" w:rsidP="007158C0">
      <w:pPr>
        <w:rPr>
          <w:sz w:val="16"/>
          <w:szCs w:val="16"/>
        </w:rPr>
      </w:pPr>
      <w:r w:rsidRPr="00A16B75">
        <w:rPr>
          <w:sz w:val="16"/>
          <w:szCs w:val="16"/>
        </w:rPr>
        <w:t>http://www.worldbank.org/en/news/feature/2013/02/14/improving-opportunities-young-people-Bosnia-Herzegovina [cit. 2013-06-24]</w:t>
      </w:r>
    </w:p>
  </w:footnote>
  <w:footnote w:id="10">
    <w:p w14:paraId="082258DE" w14:textId="77777777" w:rsidR="006B4FA9" w:rsidRPr="00A16B75" w:rsidRDefault="006B4FA9" w:rsidP="007158C0">
      <w:pPr>
        <w:pStyle w:val="Textpoznpodarou"/>
        <w:rPr>
          <w:sz w:val="16"/>
          <w:szCs w:val="16"/>
        </w:rPr>
      </w:pPr>
      <w:r w:rsidRPr="00A16B75">
        <w:rPr>
          <w:rStyle w:val="Znakapoznpodarou"/>
          <w:sz w:val="16"/>
          <w:szCs w:val="16"/>
        </w:rPr>
        <w:footnoteRef/>
      </w:r>
      <w:r w:rsidRPr="00A16B75">
        <w:rPr>
          <w:sz w:val="16"/>
          <w:szCs w:val="16"/>
        </w:rPr>
        <w:t xml:space="preserve"> FAO, 2011. </w:t>
      </w:r>
      <w:proofErr w:type="spellStart"/>
      <w:r w:rsidRPr="00A16B75">
        <w:rPr>
          <w:sz w:val="16"/>
          <w:szCs w:val="16"/>
        </w:rPr>
        <w:t>Bosnia</w:t>
      </w:r>
      <w:proofErr w:type="spellEnd"/>
      <w:r w:rsidRPr="00A16B75">
        <w:rPr>
          <w:sz w:val="16"/>
          <w:szCs w:val="16"/>
        </w:rPr>
        <w:t xml:space="preserve"> a Hercegovina. Dostupné z: http://www.fao.org/fileadmin/user_upload/Europe/documents/Publications/AI_briefs/BiH_ai_en.pdf [2013-06-25]</w:t>
      </w:r>
    </w:p>
  </w:footnote>
  <w:footnote w:id="11">
    <w:p w14:paraId="28B7FD50" w14:textId="77777777" w:rsidR="006B4FA9" w:rsidRPr="00A16B75" w:rsidRDefault="006B4FA9" w:rsidP="007158C0">
      <w:pPr>
        <w:pStyle w:val="Textpoznpodarou"/>
        <w:rPr>
          <w:sz w:val="16"/>
          <w:szCs w:val="16"/>
        </w:rPr>
      </w:pPr>
      <w:r w:rsidRPr="00A16B75">
        <w:rPr>
          <w:rStyle w:val="Znakapoznpodarou"/>
          <w:sz w:val="16"/>
          <w:szCs w:val="16"/>
        </w:rPr>
        <w:footnoteRef/>
      </w:r>
      <w:r w:rsidRPr="00A16B75">
        <w:rPr>
          <w:sz w:val="16"/>
          <w:szCs w:val="16"/>
        </w:rPr>
        <w:t xml:space="preserve"> FAO, 2011. </w:t>
      </w:r>
      <w:proofErr w:type="spellStart"/>
      <w:r w:rsidRPr="00A16B75">
        <w:rPr>
          <w:sz w:val="16"/>
          <w:szCs w:val="16"/>
        </w:rPr>
        <w:t>Bosnia</w:t>
      </w:r>
      <w:proofErr w:type="spellEnd"/>
      <w:r w:rsidRPr="00A16B75">
        <w:rPr>
          <w:sz w:val="16"/>
          <w:szCs w:val="16"/>
        </w:rPr>
        <w:t xml:space="preserve"> a Hercegovina. Dostupné z: http://www.fao.org/fileadmin/user_upload/Europe/documents/Publications/AI_br</w:t>
      </w:r>
      <w:r>
        <w:rPr>
          <w:sz w:val="16"/>
          <w:szCs w:val="16"/>
        </w:rPr>
        <w:t>iefs/BiH_ai_en.pdf [2013-06-25]</w:t>
      </w:r>
    </w:p>
  </w:footnote>
  <w:footnote w:id="12">
    <w:p w14:paraId="357DB689" w14:textId="77777777" w:rsidR="006B4FA9" w:rsidRPr="00A16B75" w:rsidRDefault="006B4FA9" w:rsidP="007158C0">
      <w:pPr>
        <w:pStyle w:val="Textpoznpodarou"/>
        <w:rPr>
          <w:sz w:val="16"/>
          <w:szCs w:val="16"/>
        </w:rPr>
      </w:pPr>
      <w:r w:rsidRPr="00A16B75">
        <w:rPr>
          <w:rStyle w:val="Znakapoznpodarou"/>
          <w:sz w:val="16"/>
          <w:szCs w:val="16"/>
        </w:rPr>
        <w:footnoteRef/>
      </w:r>
      <w:r w:rsidRPr="00A16B75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BiH</w:t>
      </w:r>
      <w:proofErr w:type="spellEnd"/>
      <w:r>
        <w:rPr>
          <w:sz w:val="16"/>
          <w:szCs w:val="16"/>
        </w:rPr>
        <w:t xml:space="preserve"> Ministry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Finance and </w:t>
      </w:r>
      <w:proofErr w:type="spellStart"/>
      <w:r>
        <w:rPr>
          <w:sz w:val="16"/>
          <w:szCs w:val="16"/>
        </w:rPr>
        <w:t>Treasury</w:t>
      </w:r>
      <w:proofErr w:type="spellEnd"/>
      <w:r>
        <w:rPr>
          <w:sz w:val="16"/>
          <w:szCs w:val="16"/>
        </w:rPr>
        <w:t xml:space="preserve">. Donor </w:t>
      </w:r>
      <w:proofErr w:type="spellStart"/>
      <w:r>
        <w:rPr>
          <w:sz w:val="16"/>
          <w:szCs w:val="16"/>
        </w:rPr>
        <w:t>Coordination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Bosnia</w:t>
      </w:r>
      <w:proofErr w:type="spellEnd"/>
      <w:r>
        <w:rPr>
          <w:sz w:val="16"/>
          <w:szCs w:val="16"/>
        </w:rPr>
        <w:t xml:space="preserve"> and </w:t>
      </w:r>
      <w:proofErr w:type="spellStart"/>
      <w:r>
        <w:rPr>
          <w:sz w:val="16"/>
          <w:szCs w:val="16"/>
        </w:rPr>
        <w:t>Herzegovina</w:t>
      </w:r>
      <w:proofErr w:type="spellEnd"/>
      <w:r>
        <w:rPr>
          <w:sz w:val="16"/>
          <w:szCs w:val="16"/>
        </w:rPr>
        <w:t xml:space="preserve">, Donor </w:t>
      </w:r>
      <w:proofErr w:type="spellStart"/>
      <w:r>
        <w:rPr>
          <w:sz w:val="16"/>
          <w:szCs w:val="16"/>
        </w:rPr>
        <w:t>Mapping</w:t>
      </w:r>
      <w:proofErr w:type="spellEnd"/>
      <w:r>
        <w:rPr>
          <w:sz w:val="16"/>
          <w:szCs w:val="16"/>
        </w:rPr>
        <w:t xml:space="preserve"> report, 2009-2010, </w:t>
      </w:r>
      <w:proofErr w:type="gramStart"/>
      <w:r>
        <w:rPr>
          <w:sz w:val="16"/>
          <w:szCs w:val="16"/>
        </w:rPr>
        <w:t>p.134</w:t>
      </w:r>
      <w:proofErr w:type="gramEnd"/>
    </w:p>
  </w:footnote>
  <w:footnote w:id="13">
    <w:p w14:paraId="32D082C2" w14:textId="77777777" w:rsidR="006B4FA9" w:rsidRPr="00AE475D" w:rsidRDefault="006B4FA9" w:rsidP="007158C0">
      <w:pPr>
        <w:rPr>
          <w:sz w:val="16"/>
          <w:szCs w:val="16"/>
        </w:rPr>
      </w:pPr>
      <w:r w:rsidRPr="00AE475D">
        <w:rPr>
          <w:rStyle w:val="Znakapoznpodarou"/>
          <w:sz w:val="16"/>
          <w:szCs w:val="16"/>
        </w:rPr>
        <w:footnoteRef/>
      </w:r>
      <w:r w:rsidRPr="00AE475D">
        <w:rPr>
          <w:sz w:val="16"/>
          <w:szCs w:val="16"/>
        </w:rPr>
        <w:t xml:space="preserve"> USAID, 2012. Country </w:t>
      </w:r>
      <w:proofErr w:type="spellStart"/>
      <w:r w:rsidRPr="00AE475D">
        <w:rPr>
          <w:sz w:val="16"/>
          <w:szCs w:val="16"/>
        </w:rPr>
        <w:t>Development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Cooperation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Strategy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for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Bosania</w:t>
      </w:r>
      <w:proofErr w:type="spellEnd"/>
      <w:r w:rsidRPr="00AE475D">
        <w:rPr>
          <w:sz w:val="16"/>
          <w:szCs w:val="16"/>
        </w:rPr>
        <w:t xml:space="preserve"> and </w:t>
      </w:r>
      <w:proofErr w:type="spellStart"/>
      <w:r w:rsidRPr="00AE475D">
        <w:rPr>
          <w:sz w:val="16"/>
          <w:szCs w:val="16"/>
        </w:rPr>
        <w:t>Herzegovina</w:t>
      </w:r>
      <w:proofErr w:type="spellEnd"/>
      <w:r w:rsidRPr="00AE475D">
        <w:rPr>
          <w:sz w:val="16"/>
          <w:szCs w:val="16"/>
        </w:rPr>
        <w:t xml:space="preserve"> 2012-2016. Dostupné z:</w:t>
      </w:r>
    </w:p>
    <w:p w14:paraId="04350FEA" w14:textId="77777777" w:rsidR="006B4FA9" w:rsidRPr="00AE475D" w:rsidRDefault="006B4FA9" w:rsidP="007158C0">
      <w:pPr>
        <w:rPr>
          <w:sz w:val="16"/>
          <w:szCs w:val="16"/>
        </w:rPr>
      </w:pPr>
      <w:r w:rsidRPr="00AE475D">
        <w:rPr>
          <w:sz w:val="16"/>
          <w:szCs w:val="16"/>
        </w:rPr>
        <w:t xml:space="preserve"> http://www.usaid.gov/sites/default/files/documents/1863/BosniaCDCS.pdf [2013-06-25]</w:t>
      </w:r>
    </w:p>
  </w:footnote>
  <w:footnote w:id="14">
    <w:p w14:paraId="02B049C5" w14:textId="77777777" w:rsidR="006B4FA9" w:rsidRPr="00386775" w:rsidRDefault="006B4FA9" w:rsidP="007158C0">
      <w:pPr>
        <w:pStyle w:val="Textpoznpodarou"/>
        <w:rPr>
          <w:sz w:val="16"/>
          <w:szCs w:val="16"/>
        </w:rPr>
      </w:pPr>
      <w:r w:rsidRPr="00AE475D">
        <w:rPr>
          <w:rStyle w:val="Znakapoznpodarou"/>
          <w:sz w:val="16"/>
          <w:szCs w:val="16"/>
        </w:rPr>
        <w:footnoteRef/>
      </w:r>
      <w:r w:rsidRPr="00AE475D">
        <w:rPr>
          <w:sz w:val="16"/>
          <w:szCs w:val="16"/>
        </w:rPr>
        <w:t xml:space="preserve"> FAO, 2011. </w:t>
      </w:r>
      <w:proofErr w:type="spellStart"/>
      <w:r w:rsidRPr="00AE475D">
        <w:rPr>
          <w:sz w:val="16"/>
          <w:szCs w:val="16"/>
        </w:rPr>
        <w:t>Bosnia</w:t>
      </w:r>
      <w:proofErr w:type="spellEnd"/>
      <w:r w:rsidRPr="00AE475D">
        <w:rPr>
          <w:sz w:val="16"/>
          <w:szCs w:val="16"/>
        </w:rPr>
        <w:t xml:space="preserve"> a Hercegovina. Dostupné z: http://www.fao.org/fileadmin/user_upload/Europe/</w:t>
      </w:r>
      <w:r w:rsidRPr="00386775">
        <w:rPr>
          <w:sz w:val="16"/>
          <w:szCs w:val="16"/>
        </w:rPr>
        <w:t>documents/Publications/AI_briefs/BiH_ai_en.pdf [2013-06-25]</w:t>
      </w:r>
    </w:p>
  </w:footnote>
  <w:footnote w:id="15">
    <w:p w14:paraId="400AC22A" w14:textId="77777777" w:rsidR="006B4FA9" w:rsidRPr="00386775" w:rsidRDefault="006B4FA9" w:rsidP="007158C0">
      <w:pPr>
        <w:rPr>
          <w:sz w:val="16"/>
          <w:szCs w:val="16"/>
        </w:rPr>
      </w:pPr>
      <w:r w:rsidRPr="00386775">
        <w:rPr>
          <w:rStyle w:val="Znakapoznpodarou"/>
          <w:sz w:val="16"/>
          <w:szCs w:val="16"/>
        </w:rPr>
        <w:footnoteRef/>
      </w:r>
      <w:r w:rsidRPr="00386775">
        <w:rPr>
          <w:sz w:val="16"/>
          <w:szCs w:val="16"/>
        </w:rPr>
        <w:t xml:space="preserve"> </w:t>
      </w:r>
      <w:proofErr w:type="spellStart"/>
      <w:r w:rsidRPr="00386775">
        <w:rPr>
          <w:sz w:val="16"/>
          <w:szCs w:val="16"/>
        </w:rPr>
        <w:t>European</w:t>
      </w:r>
      <w:proofErr w:type="spellEnd"/>
      <w:r w:rsidRPr="00386775">
        <w:rPr>
          <w:sz w:val="16"/>
          <w:szCs w:val="16"/>
        </w:rPr>
        <w:t xml:space="preserve"> </w:t>
      </w:r>
      <w:proofErr w:type="spellStart"/>
      <w:r w:rsidRPr="00386775">
        <w:rPr>
          <w:sz w:val="16"/>
          <w:szCs w:val="16"/>
        </w:rPr>
        <w:t>Commission</w:t>
      </w:r>
      <w:proofErr w:type="spellEnd"/>
      <w:r w:rsidRPr="00386775">
        <w:rPr>
          <w:sz w:val="16"/>
          <w:szCs w:val="16"/>
        </w:rPr>
        <w:t xml:space="preserve">, 2013. </w:t>
      </w:r>
      <w:proofErr w:type="spellStart"/>
      <w:r w:rsidRPr="00386775">
        <w:rPr>
          <w:sz w:val="16"/>
          <w:szCs w:val="16"/>
        </w:rPr>
        <w:t>Bosnia</w:t>
      </w:r>
      <w:proofErr w:type="spellEnd"/>
      <w:r w:rsidRPr="00386775">
        <w:rPr>
          <w:sz w:val="16"/>
          <w:szCs w:val="16"/>
        </w:rPr>
        <w:t xml:space="preserve"> and </w:t>
      </w:r>
      <w:proofErr w:type="spellStart"/>
      <w:r w:rsidRPr="00386775">
        <w:rPr>
          <w:sz w:val="16"/>
          <w:szCs w:val="16"/>
        </w:rPr>
        <w:t>Herzegovina</w:t>
      </w:r>
      <w:proofErr w:type="spellEnd"/>
      <w:r w:rsidRPr="00386775">
        <w:rPr>
          <w:sz w:val="16"/>
          <w:szCs w:val="16"/>
        </w:rPr>
        <w:t xml:space="preserve"> - </w:t>
      </w:r>
      <w:proofErr w:type="spellStart"/>
      <w:r w:rsidRPr="00386775">
        <w:rPr>
          <w:sz w:val="16"/>
          <w:szCs w:val="16"/>
        </w:rPr>
        <w:t>Agriculture</w:t>
      </w:r>
      <w:proofErr w:type="spellEnd"/>
      <w:r w:rsidRPr="00386775">
        <w:rPr>
          <w:sz w:val="16"/>
          <w:szCs w:val="16"/>
        </w:rPr>
        <w:t xml:space="preserve"> and </w:t>
      </w:r>
      <w:proofErr w:type="spellStart"/>
      <w:r w:rsidRPr="00386775">
        <w:rPr>
          <w:sz w:val="16"/>
          <w:szCs w:val="16"/>
        </w:rPr>
        <w:t>enlargement</w:t>
      </w:r>
      <w:proofErr w:type="spellEnd"/>
      <w:r w:rsidRPr="00386775">
        <w:rPr>
          <w:sz w:val="16"/>
          <w:szCs w:val="16"/>
        </w:rPr>
        <w:t>. Dostupné z: http://ec.europa.eu/agriculture/enlargement/countries/bosnia-herzegovina/profile_en.pdf [cit. 2013-07-04]</w:t>
      </w:r>
    </w:p>
  </w:footnote>
  <w:footnote w:id="16">
    <w:p w14:paraId="77C7968E" w14:textId="77777777" w:rsidR="006B4FA9" w:rsidRPr="00AE475D" w:rsidRDefault="006B4FA9" w:rsidP="007158C0">
      <w:pPr>
        <w:rPr>
          <w:sz w:val="16"/>
          <w:szCs w:val="16"/>
        </w:rPr>
      </w:pPr>
      <w:r w:rsidRPr="00AE475D">
        <w:rPr>
          <w:rStyle w:val="Znakapoznpodarou"/>
          <w:sz w:val="16"/>
          <w:szCs w:val="16"/>
        </w:rPr>
        <w:footnoteRef/>
      </w:r>
      <w:r w:rsidRPr="00AE475D">
        <w:rPr>
          <w:sz w:val="16"/>
          <w:szCs w:val="16"/>
        </w:rPr>
        <w:t xml:space="preserve"> USAID, 2012. Country </w:t>
      </w:r>
      <w:proofErr w:type="spellStart"/>
      <w:r w:rsidRPr="00AE475D">
        <w:rPr>
          <w:sz w:val="16"/>
          <w:szCs w:val="16"/>
        </w:rPr>
        <w:t>Development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Cooperation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Strategy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for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Bosania</w:t>
      </w:r>
      <w:proofErr w:type="spellEnd"/>
      <w:r w:rsidRPr="00AE475D">
        <w:rPr>
          <w:sz w:val="16"/>
          <w:szCs w:val="16"/>
        </w:rPr>
        <w:t xml:space="preserve"> and </w:t>
      </w:r>
      <w:proofErr w:type="spellStart"/>
      <w:r w:rsidRPr="00AE475D">
        <w:rPr>
          <w:sz w:val="16"/>
          <w:szCs w:val="16"/>
        </w:rPr>
        <w:t>Herzegovina</w:t>
      </w:r>
      <w:proofErr w:type="spellEnd"/>
      <w:r w:rsidRPr="00AE475D">
        <w:rPr>
          <w:sz w:val="16"/>
          <w:szCs w:val="16"/>
        </w:rPr>
        <w:t xml:space="preserve"> 2012-2016. Dostupné z:</w:t>
      </w:r>
    </w:p>
    <w:p w14:paraId="3EE7B980" w14:textId="77777777" w:rsidR="006B4FA9" w:rsidRPr="00AE475D" w:rsidRDefault="006B4FA9" w:rsidP="007158C0">
      <w:pPr>
        <w:rPr>
          <w:sz w:val="16"/>
          <w:szCs w:val="16"/>
        </w:rPr>
      </w:pPr>
      <w:r w:rsidRPr="00AE475D">
        <w:rPr>
          <w:sz w:val="16"/>
          <w:szCs w:val="16"/>
        </w:rPr>
        <w:t xml:space="preserve"> http://www.usaid.gov/sites/default/files/documents/1863/BosniaCDCS.pdf [2013-06-25]</w:t>
      </w:r>
    </w:p>
  </w:footnote>
  <w:footnote w:id="17">
    <w:p w14:paraId="5AC43D56" w14:textId="77777777" w:rsidR="006B4FA9" w:rsidRPr="006F7B8B" w:rsidRDefault="006B4FA9" w:rsidP="007158C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244636">
        <w:rPr>
          <w:color w:val="1F1A17"/>
          <w:sz w:val="16"/>
          <w:szCs w:val="16"/>
        </w:rPr>
        <w:t>Papic</w:t>
      </w:r>
      <w:proofErr w:type="spellEnd"/>
      <w:r w:rsidRPr="00244636">
        <w:rPr>
          <w:color w:val="1F1A17"/>
          <w:sz w:val="16"/>
          <w:szCs w:val="16"/>
        </w:rPr>
        <w:t xml:space="preserve"> Ž., </w:t>
      </w:r>
      <w:proofErr w:type="spellStart"/>
      <w:r w:rsidRPr="00244636">
        <w:rPr>
          <w:color w:val="1F1A17"/>
          <w:sz w:val="16"/>
          <w:szCs w:val="16"/>
        </w:rPr>
        <w:t>Fetahagic</w:t>
      </w:r>
      <w:proofErr w:type="spellEnd"/>
      <w:r w:rsidRPr="00244636">
        <w:rPr>
          <w:color w:val="1F1A17"/>
          <w:sz w:val="16"/>
          <w:szCs w:val="16"/>
        </w:rPr>
        <w:t xml:space="preserve"> M.</w:t>
      </w:r>
      <w:r w:rsidRPr="00244636">
        <w:rPr>
          <w:sz w:val="16"/>
          <w:szCs w:val="16"/>
        </w:rPr>
        <w:t xml:space="preserve">, 2010. </w:t>
      </w:r>
      <w:proofErr w:type="spellStart"/>
      <w:r w:rsidRPr="00244636">
        <w:rPr>
          <w:sz w:val="16"/>
          <w:szCs w:val="16"/>
        </w:rPr>
        <w:t>Progress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towards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the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realization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of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the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Millennium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development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goeals</w:t>
      </w:r>
      <w:proofErr w:type="spellEnd"/>
      <w:r w:rsidRPr="00244636">
        <w:rPr>
          <w:sz w:val="16"/>
          <w:szCs w:val="16"/>
        </w:rPr>
        <w:t xml:space="preserve"> in </w:t>
      </w:r>
      <w:proofErr w:type="spellStart"/>
      <w:r w:rsidRPr="00244636">
        <w:rPr>
          <w:sz w:val="16"/>
          <w:szCs w:val="16"/>
        </w:rPr>
        <w:t>Bosnia</w:t>
      </w:r>
      <w:proofErr w:type="spellEnd"/>
      <w:r w:rsidRPr="00244636">
        <w:rPr>
          <w:sz w:val="16"/>
          <w:szCs w:val="16"/>
        </w:rPr>
        <w:t xml:space="preserve"> and </w:t>
      </w:r>
      <w:proofErr w:type="spellStart"/>
      <w:r w:rsidRPr="00244636">
        <w:rPr>
          <w:sz w:val="16"/>
          <w:szCs w:val="16"/>
        </w:rPr>
        <w:t>Herzegovina</w:t>
      </w:r>
      <w:proofErr w:type="spellEnd"/>
      <w:r w:rsidRPr="00244636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UN, Ministry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Finance and </w:t>
      </w:r>
      <w:proofErr w:type="spellStart"/>
      <w:r w:rsidRPr="006F7B8B">
        <w:rPr>
          <w:sz w:val="16"/>
          <w:szCs w:val="16"/>
        </w:rPr>
        <w:t>Treasury</w:t>
      </w:r>
      <w:proofErr w:type="spellEnd"/>
      <w:r w:rsidRPr="006F7B8B">
        <w:rPr>
          <w:sz w:val="16"/>
          <w:szCs w:val="16"/>
        </w:rPr>
        <w:t xml:space="preserve"> </w:t>
      </w:r>
      <w:proofErr w:type="spellStart"/>
      <w:r w:rsidRPr="006F7B8B">
        <w:rPr>
          <w:sz w:val="16"/>
          <w:szCs w:val="16"/>
        </w:rPr>
        <w:t>of</w:t>
      </w:r>
      <w:proofErr w:type="spellEnd"/>
      <w:r w:rsidRPr="006F7B8B">
        <w:rPr>
          <w:sz w:val="16"/>
          <w:szCs w:val="16"/>
        </w:rPr>
        <w:t xml:space="preserve"> </w:t>
      </w:r>
      <w:proofErr w:type="spellStart"/>
      <w:r w:rsidRPr="006F7B8B">
        <w:rPr>
          <w:sz w:val="16"/>
          <w:szCs w:val="16"/>
        </w:rPr>
        <w:t>Bosnia</w:t>
      </w:r>
      <w:proofErr w:type="spellEnd"/>
      <w:r w:rsidRPr="006F7B8B">
        <w:rPr>
          <w:sz w:val="16"/>
          <w:szCs w:val="16"/>
        </w:rPr>
        <w:t xml:space="preserve"> and </w:t>
      </w:r>
      <w:proofErr w:type="spellStart"/>
      <w:r w:rsidRPr="006F7B8B">
        <w:rPr>
          <w:sz w:val="16"/>
          <w:szCs w:val="16"/>
        </w:rPr>
        <w:t>Herzegovina</w:t>
      </w:r>
      <w:proofErr w:type="spellEnd"/>
      <w:r w:rsidRPr="006F7B8B">
        <w:rPr>
          <w:sz w:val="16"/>
          <w:szCs w:val="16"/>
        </w:rPr>
        <w:t>. Dostupné z: http://www.undp.ba/index.aspx?PID=20 [cit. 2013-07-04]</w:t>
      </w:r>
    </w:p>
  </w:footnote>
  <w:footnote w:id="18">
    <w:p w14:paraId="35720447" w14:textId="77777777" w:rsidR="006B4FA9" w:rsidRPr="006F7B8B" w:rsidRDefault="006B4FA9" w:rsidP="007158C0">
      <w:pPr>
        <w:rPr>
          <w:sz w:val="16"/>
          <w:szCs w:val="16"/>
        </w:rPr>
      </w:pPr>
      <w:r w:rsidRPr="006F7B8B">
        <w:rPr>
          <w:rStyle w:val="Znakapoznpodarou"/>
          <w:sz w:val="16"/>
          <w:szCs w:val="16"/>
        </w:rPr>
        <w:footnoteRef/>
      </w:r>
      <w:r w:rsidRPr="006F7B8B">
        <w:rPr>
          <w:sz w:val="16"/>
          <w:szCs w:val="16"/>
        </w:rPr>
        <w:t xml:space="preserve"> </w:t>
      </w:r>
      <w:proofErr w:type="spellStart"/>
      <w:r w:rsidRPr="006F7B8B">
        <w:rPr>
          <w:sz w:val="16"/>
          <w:szCs w:val="16"/>
        </w:rPr>
        <w:t>European</w:t>
      </w:r>
      <w:proofErr w:type="spellEnd"/>
      <w:r w:rsidRPr="006F7B8B">
        <w:rPr>
          <w:sz w:val="16"/>
          <w:szCs w:val="16"/>
        </w:rPr>
        <w:t xml:space="preserve"> </w:t>
      </w:r>
      <w:proofErr w:type="spellStart"/>
      <w:r w:rsidRPr="006F7B8B">
        <w:rPr>
          <w:sz w:val="16"/>
          <w:szCs w:val="16"/>
        </w:rPr>
        <w:t>Commission</w:t>
      </w:r>
      <w:proofErr w:type="spellEnd"/>
      <w:r w:rsidRPr="006F7B8B">
        <w:rPr>
          <w:sz w:val="16"/>
          <w:szCs w:val="16"/>
        </w:rPr>
        <w:t xml:space="preserve">, 2013. </w:t>
      </w:r>
      <w:proofErr w:type="spellStart"/>
      <w:r w:rsidRPr="006F7B8B">
        <w:rPr>
          <w:sz w:val="16"/>
          <w:szCs w:val="16"/>
        </w:rPr>
        <w:t>Bosnia</w:t>
      </w:r>
      <w:proofErr w:type="spellEnd"/>
      <w:r w:rsidRPr="006F7B8B">
        <w:rPr>
          <w:sz w:val="16"/>
          <w:szCs w:val="16"/>
        </w:rPr>
        <w:t xml:space="preserve"> and </w:t>
      </w:r>
      <w:proofErr w:type="spellStart"/>
      <w:r w:rsidRPr="006F7B8B">
        <w:rPr>
          <w:sz w:val="16"/>
          <w:szCs w:val="16"/>
        </w:rPr>
        <w:t>Herzegovina</w:t>
      </w:r>
      <w:proofErr w:type="spellEnd"/>
      <w:r w:rsidRPr="006F7B8B">
        <w:rPr>
          <w:sz w:val="16"/>
          <w:szCs w:val="16"/>
        </w:rPr>
        <w:t xml:space="preserve"> - </w:t>
      </w:r>
      <w:proofErr w:type="spellStart"/>
      <w:r w:rsidRPr="006F7B8B">
        <w:rPr>
          <w:sz w:val="16"/>
          <w:szCs w:val="16"/>
        </w:rPr>
        <w:t>Agriculture</w:t>
      </w:r>
      <w:proofErr w:type="spellEnd"/>
      <w:r w:rsidRPr="006F7B8B">
        <w:rPr>
          <w:sz w:val="16"/>
          <w:szCs w:val="16"/>
        </w:rPr>
        <w:t xml:space="preserve"> and </w:t>
      </w:r>
      <w:proofErr w:type="spellStart"/>
      <w:r w:rsidRPr="006F7B8B">
        <w:rPr>
          <w:sz w:val="16"/>
          <w:szCs w:val="16"/>
        </w:rPr>
        <w:t>enlargement</w:t>
      </w:r>
      <w:proofErr w:type="spellEnd"/>
      <w:r w:rsidRPr="006F7B8B">
        <w:rPr>
          <w:sz w:val="16"/>
          <w:szCs w:val="16"/>
        </w:rPr>
        <w:t>. Dostupné z: http://ec.europa.eu/agriculture/enlargement/countries/bosnia-herzegovina/profile_en.pdf [cit. 2013-07-04]</w:t>
      </w:r>
    </w:p>
  </w:footnote>
  <w:footnote w:id="19">
    <w:p w14:paraId="721AF12E" w14:textId="77777777" w:rsidR="006B4FA9" w:rsidRPr="006F7B8B" w:rsidRDefault="006B4FA9" w:rsidP="007158C0">
      <w:pPr>
        <w:pStyle w:val="Textpoznpodarou"/>
        <w:rPr>
          <w:sz w:val="16"/>
          <w:szCs w:val="16"/>
        </w:rPr>
      </w:pPr>
      <w:r w:rsidRPr="006F7B8B">
        <w:rPr>
          <w:rStyle w:val="Znakapoznpodarou"/>
          <w:sz w:val="16"/>
          <w:szCs w:val="16"/>
        </w:rPr>
        <w:footnoteRef/>
      </w:r>
      <w:r w:rsidRPr="006F7B8B">
        <w:rPr>
          <w:sz w:val="16"/>
          <w:szCs w:val="16"/>
        </w:rPr>
        <w:t xml:space="preserve"> </w:t>
      </w:r>
      <w:proofErr w:type="spellStart"/>
      <w:r w:rsidRPr="006F7B8B">
        <w:rPr>
          <w:sz w:val="16"/>
          <w:szCs w:val="16"/>
        </w:rPr>
        <w:t>The</w:t>
      </w:r>
      <w:proofErr w:type="spellEnd"/>
      <w:r w:rsidRPr="006F7B8B">
        <w:rPr>
          <w:sz w:val="16"/>
          <w:szCs w:val="16"/>
        </w:rPr>
        <w:t xml:space="preserve"> </w:t>
      </w:r>
      <w:proofErr w:type="spellStart"/>
      <w:r w:rsidRPr="006F7B8B">
        <w:rPr>
          <w:sz w:val="16"/>
          <w:szCs w:val="16"/>
        </w:rPr>
        <w:t>BiH</w:t>
      </w:r>
      <w:proofErr w:type="spellEnd"/>
      <w:r w:rsidRPr="006F7B8B">
        <w:rPr>
          <w:sz w:val="16"/>
          <w:szCs w:val="16"/>
        </w:rPr>
        <w:t xml:space="preserve"> Ministry </w:t>
      </w:r>
      <w:proofErr w:type="spellStart"/>
      <w:r w:rsidRPr="006F7B8B">
        <w:rPr>
          <w:sz w:val="16"/>
          <w:szCs w:val="16"/>
        </w:rPr>
        <w:t>of</w:t>
      </w:r>
      <w:proofErr w:type="spellEnd"/>
      <w:r w:rsidRPr="006F7B8B">
        <w:rPr>
          <w:sz w:val="16"/>
          <w:szCs w:val="16"/>
        </w:rPr>
        <w:t xml:space="preserve"> Finance and </w:t>
      </w:r>
      <w:proofErr w:type="spellStart"/>
      <w:r w:rsidRPr="006F7B8B">
        <w:rPr>
          <w:sz w:val="16"/>
          <w:szCs w:val="16"/>
        </w:rPr>
        <w:t>Treasury</w:t>
      </w:r>
      <w:proofErr w:type="spellEnd"/>
      <w:r w:rsidRPr="006F7B8B">
        <w:rPr>
          <w:sz w:val="16"/>
          <w:szCs w:val="16"/>
        </w:rPr>
        <w:t xml:space="preserve">. Donor </w:t>
      </w:r>
      <w:proofErr w:type="spellStart"/>
      <w:r w:rsidRPr="006F7B8B">
        <w:rPr>
          <w:sz w:val="16"/>
          <w:szCs w:val="16"/>
        </w:rPr>
        <w:t>Coordination</w:t>
      </w:r>
      <w:proofErr w:type="spellEnd"/>
      <w:r w:rsidRPr="006F7B8B">
        <w:rPr>
          <w:sz w:val="16"/>
          <w:szCs w:val="16"/>
        </w:rPr>
        <w:t xml:space="preserve"> </w:t>
      </w:r>
      <w:proofErr w:type="spellStart"/>
      <w:r w:rsidRPr="006F7B8B">
        <w:rPr>
          <w:sz w:val="16"/>
          <w:szCs w:val="16"/>
        </w:rPr>
        <w:t>Forum</w:t>
      </w:r>
      <w:proofErr w:type="spellEnd"/>
      <w:r w:rsidRPr="006F7B8B">
        <w:rPr>
          <w:sz w:val="16"/>
          <w:szCs w:val="16"/>
        </w:rPr>
        <w:t xml:space="preserve"> </w:t>
      </w:r>
      <w:proofErr w:type="spellStart"/>
      <w:r w:rsidRPr="006F7B8B">
        <w:rPr>
          <w:sz w:val="16"/>
          <w:szCs w:val="16"/>
        </w:rPr>
        <w:t>of</w:t>
      </w:r>
      <w:proofErr w:type="spellEnd"/>
      <w:r w:rsidRPr="006F7B8B">
        <w:rPr>
          <w:sz w:val="16"/>
          <w:szCs w:val="16"/>
        </w:rPr>
        <w:t xml:space="preserve"> </w:t>
      </w:r>
      <w:proofErr w:type="spellStart"/>
      <w:r w:rsidRPr="006F7B8B">
        <w:rPr>
          <w:sz w:val="16"/>
          <w:szCs w:val="16"/>
        </w:rPr>
        <w:t>Bosnia</w:t>
      </w:r>
      <w:proofErr w:type="spellEnd"/>
      <w:r w:rsidRPr="006F7B8B">
        <w:rPr>
          <w:sz w:val="16"/>
          <w:szCs w:val="16"/>
        </w:rPr>
        <w:t xml:space="preserve"> and </w:t>
      </w:r>
      <w:proofErr w:type="spellStart"/>
      <w:r w:rsidRPr="006F7B8B">
        <w:rPr>
          <w:sz w:val="16"/>
          <w:szCs w:val="16"/>
        </w:rPr>
        <w:t>Herzegovina</w:t>
      </w:r>
      <w:proofErr w:type="spellEnd"/>
      <w:r w:rsidRPr="006F7B8B">
        <w:rPr>
          <w:sz w:val="16"/>
          <w:szCs w:val="16"/>
        </w:rPr>
        <w:t xml:space="preserve">, Donor </w:t>
      </w:r>
      <w:proofErr w:type="spellStart"/>
      <w:r w:rsidRPr="006F7B8B">
        <w:rPr>
          <w:sz w:val="16"/>
          <w:szCs w:val="16"/>
        </w:rPr>
        <w:t>Mapping</w:t>
      </w:r>
      <w:proofErr w:type="spellEnd"/>
      <w:r w:rsidRPr="006F7B8B">
        <w:rPr>
          <w:sz w:val="16"/>
          <w:szCs w:val="16"/>
        </w:rPr>
        <w:t xml:space="preserve"> report, 2009-2010, </w:t>
      </w:r>
      <w:proofErr w:type="gramStart"/>
      <w:r w:rsidRPr="006F7B8B">
        <w:rPr>
          <w:sz w:val="16"/>
          <w:szCs w:val="16"/>
        </w:rPr>
        <w:t>p.134</w:t>
      </w:r>
      <w:proofErr w:type="gramEnd"/>
    </w:p>
  </w:footnote>
  <w:footnote w:id="20">
    <w:p w14:paraId="0EA3664D" w14:textId="77777777" w:rsidR="006B4FA9" w:rsidRPr="006F7B8B" w:rsidRDefault="006B4FA9" w:rsidP="007158C0">
      <w:pPr>
        <w:rPr>
          <w:sz w:val="16"/>
          <w:szCs w:val="16"/>
        </w:rPr>
      </w:pPr>
      <w:r w:rsidRPr="006F7B8B">
        <w:rPr>
          <w:rStyle w:val="Znakapoznpodarou"/>
          <w:sz w:val="16"/>
          <w:szCs w:val="16"/>
        </w:rPr>
        <w:footnoteRef/>
      </w:r>
      <w:r w:rsidRPr="006F7B8B">
        <w:rPr>
          <w:sz w:val="16"/>
          <w:szCs w:val="16"/>
        </w:rPr>
        <w:t xml:space="preserve"> USAID, 2013. </w:t>
      </w:r>
      <w:proofErr w:type="spellStart"/>
      <w:r w:rsidRPr="006F7B8B">
        <w:rPr>
          <w:sz w:val="16"/>
          <w:szCs w:val="16"/>
        </w:rPr>
        <w:t>Fostering</w:t>
      </w:r>
      <w:proofErr w:type="spellEnd"/>
      <w:r w:rsidRPr="006F7B8B">
        <w:rPr>
          <w:sz w:val="16"/>
          <w:szCs w:val="16"/>
        </w:rPr>
        <w:t xml:space="preserve"> </w:t>
      </w:r>
      <w:proofErr w:type="spellStart"/>
      <w:r w:rsidRPr="006F7B8B">
        <w:rPr>
          <w:sz w:val="16"/>
          <w:szCs w:val="16"/>
        </w:rPr>
        <w:t>Agricultural</w:t>
      </w:r>
      <w:proofErr w:type="spellEnd"/>
      <w:r w:rsidRPr="006F7B8B">
        <w:rPr>
          <w:sz w:val="16"/>
          <w:szCs w:val="16"/>
        </w:rPr>
        <w:t xml:space="preserve"> </w:t>
      </w:r>
      <w:proofErr w:type="spellStart"/>
      <w:r w:rsidRPr="006F7B8B">
        <w:rPr>
          <w:sz w:val="16"/>
          <w:szCs w:val="16"/>
        </w:rPr>
        <w:t>Markets</w:t>
      </w:r>
      <w:proofErr w:type="spellEnd"/>
      <w:r w:rsidRPr="006F7B8B">
        <w:rPr>
          <w:sz w:val="16"/>
          <w:szCs w:val="16"/>
        </w:rPr>
        <w:t xml:space="preserve"> </w:t>
      </w:r>
      <w:proofErr w:type="spellStart"/>
      <w:r w:rsidRPr="006F7B8B">
        <w:rPr>
          <w:sz w:val="16"/>
          <w:szCs w:val="16"/>
        </w:rPr>
        <w:t>Activity</w:t>
      </w:r>
      <w:proofErr w:type="spellEnd"/>
      <w:r w:rsidRPr="006F7B8B">
        <w:rPr>
          <w:sz w:val="16"/>
          <w:szCs w:val="16"/>
        </w:rPr>
        <w:t xml:space="preserve"> (FARMA). Dostupné z:</w:t>
      </w:r>
    </w:p>
    <w:p w14:paraId="2D9863BA" w14:textId="77777777" w:rsidR="006B4FA9" w:rsidRPr="00AE475D" w:rsidRDefault="006B4FA9" w:rsidP="007158C0">
      <w:pPr>
        <w:rPr>
          <w:sz w:val="16"/>
          <w:szCs w:val="16"/>
        </w:rPr>
      </w:pPr>
      <w:r w:rsidRPr="006F7B8B">
        <w:rPr>
          <w:sz w:val="16"/>
          <w:szCs w:val="16"/>
        </w:rPr>
        <w:t>http://transition.usaid.gov/ba/edo/sheets/farma</w:t>
      </w:r>
      <w:r w:rsidRPr="00AE475D">
        <w:rPr>
          <w:sz w:val="16"/>
          <w:szCs w:val="16"/>
        </w:rPr>
        <w:t>.pdf [2013-06-25]</w:t>
      </w:r>
    </w:p>
  </w:footnote>
  <w:footnote w:id="21">
    <w:p w14:paraId="4A36A28C" w14:textId="77777777" w:rsidR="006B4FA9" w:rsidRPr="00AE475D" w:rsidRDefault="006B4FA9" w:rsidP="007158C0">
      <w:pPr>
        <w:pStyle w:val="Textpoznpodarou"/>
        <w:rPr>
          <w:sz w:val="16"/>
          <w:szCs w:val="16"/>
        </w:rPr>
      </w:pPr>
      <w:r w:rsidRPr="00AE475D">
        <w:rPr>
          <w:rStyle w:val="Znakapoznpodarou"/>
          <w:sz w:val="16"/>
          <w:szCs w:val="16"/>
        </w:rPr>
        <w:footnoteRef/>
      </w:r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The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BiH</w:t>
      </w:r>
      <w:proofErr w:type="spellEnd"/>
      <w:r w:rsidRPr="00AE475D">
        <w:rPr>
          <w:sz w:val="16"/>
          <w:szCs w:val="16"/>
        </w:rPr>
        <w:t xml:space="preserve"> Ministry </w:t>
      </w:r>
      <w:proofErr w:type="spellStart"/>
      <w:r w:rsidRPr="00AE475D">
        <w:rPr>
          <w:sz w:val="16"/>
          <w:szCs w:val="16"/>
        </w:rPr>
        <w:t>of</w:t>
      </w:r>
      <w:proofErr w:type="spellEnd"/>
      <w:r w:rsidRPr="00AE475D">
        <w:rPr>
          <w:sz w:val="16"/>
          <w:szCs w:val="16"/>
        </w:rPr>
        <w:t xml:space="preserve"> Finance and </w:t>
      </w:r>
      <w:proofErr w:type="spellStart"/>
      <w:r w:rsidRPr="00AE475D">
        <w:rPr>
          <w:sz w:val="16"/>
          <w:szCs w:val="16"/>
        </w:rPr>
        <w:t>Treasury</w:t>
      </w:r>
      <w:proofErr w:type="spellEnd"/>
      <w:r w:rsidRPr="00AE475D">
        <w:rPr>
          <w:sz w:val="16"/>
          <w:szCs w:val="16"/>
        </w:rPr>
        <w:t xml:space="preserve">. Donor </w:t>
      </w:r>
      <w:proofErr w:type="spellStart"/>
      <w:r w:rsidRPr="00AE475D">
        <w:rPr>
          <w:sz w:val="16"/>
          <w:szCs w:val="16"/>
        </w:rPr>
        <w:t>Coordination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Forum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of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Bosnia</w:t>
      </w:r>
      <w:proofErr w:type="spellEnd"/>
      <w:r w:rsidRPr="00AE475D">
        <w:rPr>
          <w:sz w:val="16"/>
          <w:szCs w:val="16"/>
        </w:rPr>
        <w:t xml:space="preserve"> and </w:t>
      </w:r>
      <w:proofErr w:type="spellStart"/>
      <w:r w:rsidRPr="00AE475D">
        <w:rPr>
          <w:sz w:val="16"/>
          <w:szCs w:val="16"/>
        </w:rPr>
        <w:t>Herzegovina</w:t>
      </w:r>
      <w:proofErr w:type="spellEnd"/>
      <w:r w:rsidRPr="00AE475D">
        <w:rPr>
          <w:sz w:val="16"/>
          <w:szCs w:val="16"/>
        </w:rPr>
        <w:t xml:space="preserve">, Donor </w:t>
      </w:r>
      <w:proofErr w:type="spellStart"/>
      <w:r w:rsidRPr="00AE475D">
        <w:rPr>
          <w:sz w:val="16"/>
          <w:szCs w:val="16"/>
        </w:rPr>
        <w:t>Mapping</w:t>
      </w:r>
      <w:proofErr w:type="spellEnd"/>
      <w:r w:rsidRPr="00AE475D">
        <w:rPr>
          <w:sz w:val="16"/>
          <w:szCs w:val="16"/>
        </w:rPr>
        <w:t xml:space="preserve"> report, 2009-2010, </w:t>
      </w:r>
      <w:proofErr w:type="gramStart"/>
      <w:r w:rsidRPr="00AE475D">
        <w:rPr>
          <w:sz w:val="16"/>
          <w:szCs w:val="16"/>
        </w:rPr>
        <w:t>p.134</w:t>
      </w:r>
      <w:proofErr w:type="gramEnd"/>
    </w:p>
  </w:footnote>
  <w:footnote w:id="22">
    <w:p w14:paraId="2D06B5BE" w14:textId="77777777" w:rsidR="006B4FA9" w:rsidRDefault="006B4FA9" w:rsidP="007158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244636">
        <w:rPr>
          <w:color w:val="1F1A17"/>
          <w:sz w:val="16"/>
          <w:szCs w:val="16"/>
        </w:rPr>
        <w:t>Papic</w:t>
      </w:r>
      <w:proofErr w:type="spellEnd"/>
      <w:r w:rsidRPr="00244636">
        <w:rPr>
          <w:color w:val="1F1A17"/>
          <w:sz w:val="16"/>
          <w:szCs w:val="16"/>
        </w:rPr>
        <w:t xml:space="preserve"> Ž., </w:t>
      </w:r>
      <w:proofErr w:type="spellStart"/>
      <w:r w:rsidRPr="00244636">
        <w:rPr>
          <w:color w:val="1F1A17"/>
          <w:sz w:val="16"/>
          <w:szCs w:val="16"/>
        </w:rPr>
        <w:t>Fetahagic</w:t>
      </w:r>
      <w:proofErr w:type="spellEnd"/>
      <w:r w:rsidRPr="00244636">
        <w:rPr>
          <w:color w:val="1F1A17"/>
          <w:sz w:val="16"/>
          <w:szCs w:val="16"/>
        </w:rPr>
        <w:t xml:space="preserve"> M.</w:t>
      </w:r>
      <w:r w:rsidRPr="00244636">
        <w:rPr>
          <w:sz w:val="16"/>
          <w:szCs w:val="16"/>
        </w:rPr>
        <w:t xml:space="preserve">, 2010. </w:t>
      </w:r>
      <w:proofErr w:type="spellStart"/>
      <w:r w:rsidRPr="00244636">
        <w:rPr>
          <w:sz w:val="16"/>
          <w:szCs w:val="16"/>
        </w:rPr>
        <w:t>Progress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towards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the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realization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of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the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Millennium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development</w:t>
      </w:r>
      <w:proofErr w:type="spellEnd"/>
      <w:r w:rsidRPr="00244636">
        <w:rPr>
          <w:sz w:val="16"/>
          <w:szCs w:val="16"/>
        </w:rPr>
        <w:t xml:space="preserve"> </w:t>
      </w:r>
      <w:proofErr w:type="spellStart"/>
      <w:r w:rsidRPr="00244636">
        <w:rPr>
          <w:sz w:val="16"/>
          <w:szCs w:val="16"/>
        </w:rPr>
        <w:t>goeals</w:t>
      </w:r>
      <w:proofErr w:type="spellEnd"/>
      <w:r w:rsidRPr="00244636">
        <w:rPr>
          <w:sz w:val="16"/>
          <w:szCs w:val="16"/>
        </w:rPr>
        <w:t xml:space="preserve"> in </w:t>
      </w:r>
      <w:proofErr w:type="spellStart"/>
      <w:r w:rsidRPr="00244636">
        <w:rPr>
          <w:sz w:val="16"/>
          <w:szCs w:val="16"/>
        </w:rPr>
        <w:t>Bosnia</w:t>
      </w:r>
      <w:proofErr w:type="spellEnd"/>
      <w:r w:rsidRPr="00244636">
        <w:rPr>
          <w:sz w:val="16"/>
          <w:szCs w:val="16"/>
        </w:rPr>
        <w:t xml:space="preserve"> and </w:t>
      </w:r>
      <w:proofErr w:type="spellStart"/>
      <w:r w:rsidRPr="00244636">
        <w:rPr>
          <w:sz w:val="16"/>
          <w:szCs w:val="16"/>
        </w:rPr>
        <w:t>Herzegovina</w:t>
      </w:r>
      <w:proofErr w:type="spellEnd"/>
      <w:r w:rsidRPr="00244636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UN, Ministry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Finance and </w:t>
      </w:r>
      <w:proofErr w:type="spellStart"/>
      <w:r>
        <w:rPr>
          <w:sz w:val="16"/>
          <w:szCs w:val="16"/>
        </w:rPr>
        <w:t>Treasury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Bosnia</w:t>
      </w:r>
      <w:proofErr w:type="spellEnd"/>
      <w:r>
        <w:rPr>
          <w:sz w:val="16"/>
          <w:szCs w:val="16"/>
        </w:rPr>
        <w:t xml:space="preserve"> and </w:t>
      </w:r>
      <w:proofErr w:type="spellStart"/>
      <w:r>
        <w:rPr>
          <w:sz w:val="16"/>
          <w:szCs w:val="16"/>
        </w:rPr>
        <w:t>Herzegovina</w:t>
      </w:r>
      <w:proofErr w:type="spellEnd"/>
      <w:r>
        <w:rPr>
          <w:sz w:val="16"/>
          <w:szCs w:val="16"/>
        </w:rPr>
        <w:t xml:space="preserve">. </w:t>
      </w:r>
      <w:r w:rsidRPr="00244636">
        <w:rPr>
          <w:sz w:val="16"/>
          <w:szCs w:val="16"/>
        </w:rPr>
        <w:t>Dostupné z: http://www.undp.ba/inde</w:t>
      </w:r>
      <w:r>
        <w:rPr>
          <w:sz w:val="16"/>
          <w:szCs w:val="16"/>
        </w:rPr>
        <w:t>x.aspx?PID=20 [cit. 2013-07-04]</w:t>
      </w:r>
    </w:p>
  </w:footnote>
  <w:footnote w:id="23">
    <w:p w14:paraId="75770E8A" w14:textId="77777777" w:rsidR="006B4FA9" w:rsidRDefault="006B4FA9" w:rsidP="007158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9508F">
        <w:rPr>
          <w:sz w:val="16"/>
          <w:szCs w:val="16"/>
        </w:rPr>
        <w:t xml:space="preserve">El </w:t>
      </w:r>
      <w:proofErr w:type="spellStart"/>
      <w:r w:rsidRPr="00E9508F">
        <w:rPr>
          <w:sz w:val="16"/>
          <w:szCs w:val="16"/>
        </w:rPr>
        <w:t>Bilali</w:t>
      </w:r>
      <w:proofErr w:type="spellEnd"/>
      <w:r w:rsidRPr="00E9508F">
        <w:rPr>
          <w:sz w:val="16"/>
          <w:szCs w:val="16"/>
        </w:rPr>
        <w:t xml:space="preserve"> H., </w:t>
      </w:r>
      <w:proofErr w:type="spellStart"/>
      <w:r w:rsidRPr="00E9508F">
        <w:rPr>
          <w:sz w:val="16"/>
          <w:szCs w:val="16"/>
        </w:rPr>
        <w:t>Berjan</w:t>
      </w:r>
      <w:proofErr w:type="spellEnd"/>
      <w:r w:rsidRPr="00E9508F">
        <w:rPr>
          <w:sz w:val="16"/>
          <w:szCs w:val="16"/>
        </w:rPr>
        <w:t xml:space="preserve"> S., </w:t>
      </w:r>
      <w:proofErr w:type="spellStart"/>
      <w:r w:rsidRPr="00E9508F">
        <w:rPr>
          <w:sz w:val="16"/>
          <w:szCs w:val="16"/>
        </w:rPr>
        <w:t>Simic</w:t>
      </w:r>
      <w:proofErr w:type="spellEnd"/>
      <w:r w:rsidRPr="00E9508F">
        <w:rPr>
          <w:sz w:val="16"/>
          <w:szCs w:val="16"/>
        </w:rPr>
        <w:t xml:space="preserve"> J., </w:t>
      </w:r>
      <w:proofErr w:type="spellStart"/>
      <w:r w:rsidRPr="00E9508F">
        <w:rPr>
          <w:sz w:val="16"/>
          <w:szCs w:val="16"/>
        </w:rPr>
        <w:t>Despotovic</w:t>
      </w:r>
      <w:proofErr w:type="spellEnd"/>
      <w:r w:rsidRPr="00E9508F">
        <w:rPr>
          <w:sz w:val="16"/>
          <w:szCs w:val="16"/>
        </w:rPr>
        <w:t xml:space="preserve"> A., </w:t>
      </w:r>
      <w:proofErr w:type="spellStart"/>
      <w:r w:rsidRPr="00E9508F">
        <w:rPr>
          <w:sz w:val="16"/>
          <w:szCs w:val="16"/>
        </w:rPr>
        <w:t>Cadro</w:t>
      </w:r>
      <w:proofErr w:type="spellEnd"/>
      <w:r w:rsidRPr="00E9508F">
        <w:rPr>
          <w:sz w:val="16"/>
          <w:szCs w:val="16"/>
        </w:rPr>
        <w:t xml:space="preserve"> S., </w:t>
      </w:r>
      <w:proofErr w:type="spellStart"/>
      <w:r w:rsidRPr="00E9508F">
        <w:rPr>
          <w:sz w:val="16"/>
          <w:szCs w:val="16"/>
        </w:rPr>
        <w:t>Stojkovic</w:t>
      </w:r>
      <w:proofErr w:type="spellEnd"/>
      <w:r w:rsidRPr="00E9508F">
        <w:rPr>
          <w:sz w:val="16"/>
          <w:szCs w:val="16"/>
        </w:rPr>
        <w:t xml:space="preserve"> L., 2012. International </w:t>
      </w:r>
      <w:proofErr w:type="spellStart"/>
      <w:r w:rsidRPr="00E9508F">
        <w:rPr>
          <w:sz w:val="16"/>
          <w:szCs w:val="16"/>
        </w:rPr>
        <w:t>aid</w:t>
      </w:r>
      <w:proofErr w:type="spellEnd"/>
      <w:r w:rsidRPr="00E9508F">
        <w:rPr>
          <w:sz w:val="16"/>
          <w:szCs w:val="16"/>
        </w:rPr>
        <w:t xml:space="preserve"> to </w:t>
      </w:r>
      <w:proofErr w:type="spellStart"/>
      <w:r w:rsidRPr="00E9508F">
        <w:rPr>
          <w:sz w:val="16"/>
          <w:szCs w:val="16"/>
        </w:rPr>
        <w:t>Baosnian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agriculture</w:t>
      </w:r>
      <w:proofErr w:type="spellEnd"/>
      <w:r w:rsidRPr="00E9508F">
        <w:rPr>
          <w:sz w:val="16"/>
          <w:szCs w:val="16"/>
        </w:rPr>
        <w:t xml:space="preserve">, </w:t>
      </w:r>
      <w:proofErr w:type="spellStart"/>
      <w:r w:rsidRPr="00E9508F">
        <w:rPr>
          <w:sz w:val="16"/>
          <w:szCs w:val="16"/>
        </w:rPr>
        <w:t>forestry</w:t>
      </w:r>
      <w:proofErr w:type="spellEnd"/>
      <w:r w:rsidRPr="00E9508F">
        <w:rPr>
          <w:sz w:val="16"/>
          <w:szCs w:val="16"/>
        </w:rPr>
        <w:t xml:space="preserve"> and </w:t>
      </w:r>
      <w:proofErr w:type="spellStart"/>
      <w:r w:rsidRPr="00E9508F">
        <w:rPr>
          <w:sz w:val="16"/>
          <w:szCs w:val="16"/>
        </w:rPr>
        <w:t>rural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development</w:t>
      </w:r>
      <w:proofErr w:type="spellEnd"/>
      <w:r w:rsidRPr="00E9508F">
        <w:rPr>
          <w:sz w:val="16"/>
          <w:szCs w:val="16"/>
        </w:rPr>
        <w:t xml:space="preserve"> in </w:t>
      </w:r>
      <w:proofErr w:type="spellStart"/>
      <w:r w:rsidRPr="00E9508F">
        <w:rPr>
          <w:sz w:val="16"/>
          <w:szCs w:val="16"/>
        </w:rPr>
        <w:t>the</w:t>
      </w:r>
      <w:proofErr w:type="spellEnd"/>
      <w:r w:rsidRPr="00E9508F">
        <w:rPr>
          <w:sz w:val="16"/>
          <w:szCs w:val="16"/>
        </w:rPr>
        <w:t xml:space="preserve"> post-</w:t>
      </w:r>
      <w:proofErr w:type="spellStart"/>
      <w:r w:rsidRPr="00E9508F">
        <w:rPr>
          <w:sz w:val="16"/>
          <w:szCs w:val="16"/>
        </w:rPr>
        <w:t>war</w:t>
      </w:r>
      <w:proofErr w:type="spellEnd"/>
      <w:r w:rsidRPr="00E9508F">
        <w:rPr>
          <w:sz w:val="16"/>
          <w:szCs w:val="16"/>
        </w:rPr>
        <w:t xml:space="preserve"> period. </w:t>
      </w:r>
      <w:proofErr w:type="spellStart"/>
      <w:r w:rsidRPr="00E9508F">
        <w:rPr>
          <w:sz w:val="16"/>
          <w:szCs w:val="16"/>
        </w:rPr>
        <w:t>Third</w:t>
      </w:r>
      <w:proofErr w:type="spellEnd"/>
      <w:r w:rsidRPr="00E9508F">
        <w:rPr>
          <w:sz w:val="16"/>
          <w:szCs w:val="16"/>
        </w:rPr>
        <w:t xml:space="preserve"> International </w:t>
      </w:r>
      <w:proofErr w:type="spellStart"/>
      <w:r w:rsidRPr="00E9508F">
        <w:rPr>
          <w:sz w:val="16"/>
          <w:szCs w:val="16"/>
        </w:rPr>
        <w:t>Scientific</w:t>
      </w:r>
      <w:proofErr w:type="spellEnd"/>
      <w:r w:rsidRPr="00E9508F">
        <w:rPr>
          <w:sz w:val="16"/>
          <w:szCs w:val="16"/>
        </w:rPr>
        <w:t xml:space="preserve"> Symposium "</w:t>
      </w:r>
      <w:proofErr w:type="spellStart"/>
      <w:r w:rsidRPr="00E9508F">
        <w:rPr>
          <w:sz w:val="16"/>
          <w:szCs w:val="16"/>
        </w:rPr>
        <w:t>Agrosym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Jahorina</w:t>
      </w:r>
      <w:proofErr w:type="spellEnd"/>
      <w:r w:rsidRPr="00E9508F">
        <w:rPr>
          <w:sz w:val="16"/>
          <w:szCs w:val="16"/>
        </w:rPr>
        <w:t xml:space="preserve"> 2012". Dostupné z: http://www.agrosym.unssa.rs.ba/agrosym/agrosym_2012/dokumenti/5_ruralni_razvoj/11_RD_Hamid_El_Bilali.pdf [cit. 2013-07-04]</w:t>
      </w:r>
    </w:p>
  </w:footnote>
  <w:footnote w:id="24">
    <w:p w14:paraId="7375C023" w14:textId="77777777" w:rsidR="006B4FA9" w:rsidRPr="00AE475D" w:rsidRDefault="006B4FA9" w:rsidP="007158C0">
      <w:pPr>
        <w:rPr>
          <w:sz w:val="16"/>
          <w:szCs w:val="16"/>
        </w:rPr>
      </w:pPr>
      <w:r w:rsidRPr="00AE475D">
        <w:rPr>
          <w:rStyle w:val="Znakapoznpodarou"/>
          <w:sz w:val="16"/>
          <w:szCs w:val="16"/>
        </w:rPr>
        <w:footnoteRef/>
      </w:r>
      <w:r w:rsidRPr="00AE475D">
        <w:rPr>
          <w:sz w:val="16"/>
          <w:szCs w:val="16"/>
        </w:rPr>
        <w:t xml:space="preserve"> USAID, 2012. Country </w:t>
      </w:r>
      <w:proofErr w:type="spellStart"/>
      <w:r w:rsidRPr="00AE475D">
        <w:rPr>
          <w:sz w:val="16"/>
          <w:szCs w:val="16"/>
        </w:rPr>
        <w:t>Development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Cooperation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Strategy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for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Bosania</w:t>
      </w:r>
      <w:proofErr w:type="spellEnd"/>
      <w:r w:rsidRPr="00AE475D">
        <w:rPr>
          <w:sz w:val="16"/>
          <w:szCs w:val="16"/>
        </w:rPr>
        <w:t xml:space="preserve"> and </w:t>
      </w:r>
      <w:proofErr w:type="spellStart"/>
      <w:r w:rsidRPr="00AE475D">
        <w:rPr>
          <w:sz w:val="16"/>
          <w:szCs w:val="16"/>
        </w:rPr>
        <w:t>Herzegovina</w:t>
      </w:r>
      <w:proofErr w:type="spellEnd"/>
      <w:r w:rsidRPr="00AE475D">
        <w:rPr>
          <w:sz w:val="16"/>
          <w:szCs w:val="16"/>
        </w:rPr>
        <w:t xml:space="preserve"> 2012-2016. Dostupné z:</w:t>
      </w:r>
    </w:p>
    <w:p w14:paraId="0758F03C" w14:textId="77777777" w:rsidR="006B4FA9" w:rsidRPr="006D35C5" w:rsidRDefault="006B4FA9" w:rsidP="007158C0">
      <w:pPr>
        <w:pStyle w:val="Textpoznpodarou"/>
        <w:rPr>
          <w:sz w:val="16"/>
          <w:szCs w:val="16"/>
        </w:rPr>
      </w:pPr>
      <w:r w:rsidRPr="00AE475D">
        <w:rPr>
          <w:sz w:val="16"/>
          <w:szCs w:val="16"/>
        </w:rPr>
        <w:t xml:space="preserve"> http://www</w:t>
      </w:r>
      <w:r w:rsidRPr="006D35C5">
        <w:rPr>
          <w:sz w:val="16"/>
          <w:szCs w:val="16"/>
        </w:rPr>
        <w:t>.usaid.gov/sites/default/files/documents/1863/BosniaCDCS.pdf [2013-06-25]</w:t>
      </w:r>
    </w:p>
  </w:footnote>
  <w:footnote w:id="25">
    <w:p w14:paraId="7A04E876" w14:textId="77777777" w:rsidR="006B4FA9" w:rsidRDefault="006B4FA9" w:rsidP="007158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9508F">
        <w:rPr>
          <w:sz w:val="16"/>
          <w:szCs w:val="16"/>
        </w:rPr>
        <w:t xml:space="preserve">El </w:t>
      </w:r>
      <w:proofErr w:type="spellStart"/>
      <w:r w:rsidRPr="00E9508F">
        <w:rPr>
          <w:sz w:val="16"/>
          <w:szCs w:val="16"/>
        </w:rPr>
        <w:t>Bilali</w:t>
      </w:r>
      <w:proofErr w:type="spellEnd"/>
      <w:r w:rsidRPr="00E9508F">
        <w:rPr>
          <w:sz w:val="16"/>
          <w:szCs w:val="16"/>
        </w:rPr>
        <w:t xml:space="preserve"> H., </w:t>
      </w:r>
      <w:proofErr w:type="spellStart"/>
      <w:r w:rsidRPr="00E9508F">
        <w:rPr>
          <w:sz w:val="16"/>
          <w:szCs w:val="16"/>
        </w:rPr>
        <w:t>Berjan</w:t>
      </w:r>
      <w:proofErr w:type="spellEnd"/>
      <w:r w:rsidRPr="00E9508F">
        <w:rPr>
          <w:sz w:val="16"/>
          <w:szCs w:val="16"/>
        </w:rPr>
        <w:t xml:space="preserve"> S., </w:t>
      </w:r>
      <w:proofErr w:type="spellStart"/>
      <w:r w:rsidRPr="00E9508F">
        <w:rPr>
          <w:sz w:val="16"/>
          <w:szCs w:val="16"/>
        </w:rPr>
        <w:t>Simic</w:t>
      </w:r>
      <w:proofErr w:type="spellEnd"/>
      <w:r w:rsidRPr="00E9508F">
        <w:rPr>
          <w:sz w:val="16"/>
          <w:szCs w:val="16"/>
        </w:rPr>
        <w:t xml:space="preserve"> J., </w:t>
      </w:r>
      <w:proofErr w:type="spellStart"/>
      <w:r w:rsidRPr="00E9508F">
        <w:rPr>
          <w:sz w:val="16"/>
          <w:szCs w:val="16"/>
        </w:rPr>
        <w:t>Despotovic</w:t>
      </w:r>
      <w:proofErr w:type="spellEnd"/>
      <w:r w:rsidRPr="00E9508F">
        <w:rPr>
          <w:sz w:val="16"/>
          <w:szCs w:val="16"/>
        </w:rPr>
        <w:t xml:space="preserve"> A., </w:t>
      </w:r>
      <w:proofErr w:type="spellStart"/>
      <w:r w:rsidRPr="00E9508F">
        <w:rPr>
          <w:sz w:val="16"/>
          <w:szCs w:val="16"/>
        </w:rPr>
        <w:t>Cadro</w:t>
      </w:r>
      <w:proofErr w:type="spellEnd"/>
      <w:r w:rsidRPr="00E9508F">
        <w:rPr>
          <w:sz w:val="16"/>
          <w:szCs w:val="16"/>
        </w:rPr>
        <w:t xml:space="preserve"> S., </w:t>
      </w:r>
      <w:proofErr w:type="spellStart"/>
      <w:r w:rsidRPr="00E9508F">
        <w:rPr>
          <w:sz w:val="16"/>
          <w:szCs w:val="16"/>
        </w:rPr>
        <w:t>Stojkovic</w:t>
      </w:r>
      <w:proofErr w:type="spellEnd"/>
      <w:r w:rsidRPr="00E9508F">
        <w:rPr>
          <w:sz w:val="16"/>
          <w:szCs w:val="16"/>
        </w:rPr>
        <w:t xml:space="preserve"> L., 2012. International </w:t>
      </w:r>
      <w:proofErr w:type="spellStart"/>
      <w:r w:rsidRPr="00E9508F">
        <w:rPr>
          <w:sz w:val="16"/>
          <w:szCs w:val="16"/>
        </w:rPr>
        <w:t>aid</w:t>
      </w:r>
      <w:proofErr w:type="spellEnd"/>
      <w:r w:rsidRPr="00E9508F">
        <w:rPr>
          <w:sz w:val="16"/>
          <w:szCs w:val="16"/>
        </w:rPr>
        <w:t xml:space="preserve"> to </w:t>
      </w:r>
      <w:proofErr w:type="spellStart"/>
      <w:r w:rsidRPr="00E9508F">
        <w:rPr>
          <w:sz w:val="16"/>
          <w:szCs w:val="16"/>
        </w:rPr>
        <w:t>Baosnian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agriculture</w:t>
      </w:r>
      <w:proofErr w:type="spellEnd"/>
      <w:r w:rsidRPr="00E9508F">
        <w:rPr>
          <w:sz w:val="16"/>
          <w:szCs w:val="16"/>
        </w:rPr>
        <w:t xml:space="preserve">, </w:t>
      </w:r>
      <w:proofErr w:type="spellStart"/>
      <w:r w:rsidRPr="00E9508F">
        <w:rPr>
          <w:sz w:val="16"/>
          <w:szCs w:val="16"/>
        </w:rPr>
        <w:t>forestry</w:t>
      </w:r>
      <w:proofErr w:type="spellEnd"/>
      <w:r w:rsidRPr="00E9508F">
        <w:rPr>
          <w:sz w:val="16"/>
          <w:szCs w:val="16"/>
        </w:rPr>
        <w:t xml:space="preserve"> and </w:t>
      </w:r>
      <w:proofErr w:type="spellStart"/>
      <w:r w:rsidRPr="00E9508F">
        <w:rPr>
          <w:sz w:val="16"/>
          <w:szCs w:val="16"/>
        </w:rPr>
        <w:t>rural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development</w:t>
      </w:r>
      <w:proofErr w:type="spellEnd"/>
      <w:r w:rsidRPr="00E9508F">
        <w:rPr>
          <w:sz w:val="16"/>
          <w:szCs w:val="16"/>
        </w:rPr>
        <w:t xml:space="preserve"> in </w:t>
      </w:r>
      <w:proofErr w:type="spellStart"/>
      <w:r w:rsidRPr="00E9508F">
        <w:rPr>
          <w:sz w:val="16"/>
          <w:szCs w:val="16"/>
        </w:rPr>
        <w:t>the</w:t>
      </w:r>
      <w:proofErr w:type="spellEnd"/>
      <w:r w:rsidRPr="00E9508F">
        <w:rPr>
          <w:sz w:val="16"/>
          <w:szCs w:val="16"/>
        </w:rPr>
        <w:t xml:space="preserve"> post-</w:t>
      </w:r>
      <w:proofErr w:type="spellStart"/>
      <w:r w:rsidRPr="00E9508F">
        <w:rPr>
          <w:sz w:val="16"/>
          <w:szCs w:val="16"/>
        </w:rPr>
        <w:t>war</w:t>
      </w:r>
      <w:proofErr w:type="spellEnd"/>
      <w:r w:rsidRPr="00E9508F">
        <w:rPr>
          <w:sz w:val="16"/>
          <w:szCs w:val="16"/>
        </w:rPr>
        <w:t xml:space="preserve"> period. </w:t>
      </w:r>
      <w:proofErr w:type="spellStart"/>
      <w:r w:rsidRPr="00E9508F">
        <w:rPr>
          <w:sz w:val="16"/>
          <w:szCs w:val="16"/>
        </w:rPr>
        <w:t>Third</w:t>
      </w:r>
      <w:proofErr w:type="spellEnd"/>
      <w:r w:rsidRPr="00E9508F">
        <w:rPr>
          <w:sz w:val="16"/>
          <w:szCs w:val="16"/>
        </w:rPr>
        <w:t xml:space="preserve"> International </w:t>
      </w:r>
      <w:proofErr w:type="spellStart"/>
      <w:r w:rsidRPr="00E9508F">
        <w:rPr>
          <w:sz w:val="16"/>
          <w:szCs w:val="16"/>
        </w:rPr>
        <w:t>Scientific</w:t>
      </w:r>
      <w:proofErr w:type="spellEnd"/>
      <w:r w:rsidRPr="00E9508F">
        <w:rPr>
          <w:sz w:val="16"/>
          <w:szCs w:val="16"/>
        </w:rPr>
        <w:t xml:space="preserve"> Symposium "</w:t>
      </w:r>
      <w:proofErr w:type="spellStart"/>
      <w:r w:rsidRPr="00E9508F">
        <w:rPr>
          <w:sz w:val="16"/>
          <w:szCs w:val="16"/>
        </w:rPr>
        <w:t>Agrosym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Jahorina</w:t>
      </w:r>
      <w:proofErr w:type="spellEnd"/>
      <w:r w:rsidRPr="00E9508F">
        <w:rPr>
          <w:sz w:val="16"/>
          <w:szCs w:val="16"/>
        </w:rPr>
        <w:t xml:space="preserve"> 2012". Dostupné z: http://www.agrosym.unssa.rs.ba/agrosym/agrosym_2012/dokumenti/5_ruralni_razvoj/11_RD_Hamid_El_Bilali.pdf [cit. 2013-07-04]</w:t>
      </w:r>
    </w:p>
  </w:footnote>
  <w:footnote w:id="26">
    <w:p w14:paraId="2956FFB0" w14:textId="77777777" w:rsidR="006B4FA9" w:rsidRPr="00AE475D" w:rsidRDefault="006B4FA9" w:rsidP="007158C0">
      <w:pPr>
        <w:rPr>
          <w:sz w:val="16"/>
          <w:szCs w:val="16"/>
        </w:rPr>
      </w:pPr>
      <w:r w:rsidRPr="00AE475D">
        <w:rPr>
          <w:rStyle w:val="Znakapoznpodarou"/>
          <w:sz w:val="16"/>
          <w:szCs w:val="16"/>
        </w:rPr>
        <w:footnoteRef/>
      </w:r>
      <w:r w:rsidRPr="00AE475D">
        <w:rPr>
          <w:sz w:val="16"/>
          <w:szCs w:val="16"/>
        </w:rPr>
        <w:t xml:space="preserve"> USAID, 2012. Country </w:t>
      </w:r>
      <w:proofErr w:type="spellStart"/>
      <w:r w:rsidRPr="00AE475D">
        <w:rPr>
          <w:sz w:val="16"/>
          <w:szCs w:val="16"/>
        </w:rPr>
        <w:t>Development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Cooperation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Strategy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for</w:t>
      </w:r>
      <w:proofErr w:type="spellEnd"/>
      <w:r w:rsidRPr="00AE475D">
        <w:rPr>
          <w:sz w:val="16"/>
          <w:szCs w:val="16"/>
        </w:rPr>
        <w:t xml:space="preserve"> </w:t>
      </w:r>
      <w:proofErr w:type="spellStart"/>
      <w:r w:rsidRPr="00AE475D">
        <w:rPr>
          <w:sz w:val="16"/>
          <w:szCs w:val="16"/>
        </w:rPr>
        <w:t>Bosania</w:t>
      </w:r>
      <w:proofErr w:type="spellEnd"/>
      <w:r w:rsidRPr="00AE475D">
        <w:rPr>
          <w:sz w:val="16"/>
          <w:szCs w:val="16"/>
        </w:rPr>
        <w:t xml:space="preserve"> and </w:t>
      </w:r>
      <w:proofErr w:type="spellStart"/>
      <w:r w:rsidRPr="00AE475D">
        <w:rPr>
          <w:sz w:val="16"/>
          <w:szCs w:val="16"/>
        </w:rPr>
        <w:t>Herzegovina</w:t>
      </w:r>
      <w:proofErr w:type="spellEnd"/>
      <w:r w:rsidRPr="00AE475D">
        <w:rPr>
          <w:sz w:val="16"/>
          <w:szCs w:val="16"/>
        </w:rPr>
        <w:t xml:space="preserve"> 2012-2016. Dostupné z:</w:t>
      </w:r>
    </w:p>
    <w:p w14:paraId="099BD07E" w14:textId="77777777" w:rsidR="006B4FA9" w:rsidRPr="006D35C5" w:rsidRDefault="006B4FA9" w:rsidP="007158C0">
      <w:pPr>
        <w:pStyle w:val="Textpoznpodarou"/>
        <w:rPr>
          <w:sz w:val="16"/>
          <w:szCs w:val="16"/>
        </w:rPr>
      </w:pPr>
      <w:r w:rsidRPr="00AE475D">
        <w:rPr>
          <w:sz w:val="16"/>
          <w:szCs w:val="16"/>
        </w:rPr>
        <w:t xml:space="preserve"> http://www</w:t>
      </w:r>
      <w:r w:rsidRPr="006D35C5">
        <w:rPr>
          <w:sz w:val="16"/>
          <w:szCs w:val="16"/>
        </w:rPr>
        <w:t>.usaid.gov/sites/default/files/documents/1863/BosniaCDCS.pdf [2013-06-25]</w:t>
      </w:r>
    </w:p>
  </w:footnote>
  <w:footnote w:id="27">
    <w:p w14:paraId="399A252D" w14:textId="77777777" w:rsidR="006B4FA9" w:rsidRPr="008447FB" w:rsidRDefault="006B4FA9" w:rsidP="007158C0">
      <w:pPr>
        <w:pStyle w:val="Textpoznpodarou"/>
        <w:rPr>
          <w:sz w:val="16"/>
          <w:szCs w:val="16"/>
        </w:rPr>
      </w:pPr>
      <w:r w:rsidRPr="006D35C5">
        <w:rPr>
          <w:rStyle w:val="Znakapoznpodarou"/>
          <w:sz w:val="16"/>
          <w:szCs w:val="16"/>
        </w:rPr>
        <w:footnoteRef/>
      </w:r>
      <w:r w:rsidRPr="006D35C5">
        <w:rPr>
          <w:sz w:val="16"/>
          <w:szCs w:val="16"/>
        </w:rPr>
        <w:t xml:space="preserve"> </w:t>
      </w:r>
      <w:proofErr w:type="spellStart"/>
      <w:r w:rsidRPr="006D35C5">
        <w:rPr>
          <w:sz w:val="16"/>
          <w:szCs w:val="16"/>
        </w:rPr>
        <w:t>The</w:t>
      </w:r>
      <w:proofErr w:type="spellEnd"/>
      <w:r w:rsidRPr="006D35C5">
        <w:rPr>
          <w:sz w:val="16"/>
          <w:szCs w:val="16"/>
        </w:rPr>
        <w:t xml:space="preserve"> </w:t>
      </w:r>
      <w:proofErr w:type="spellStart"/>
      <w:r w:rsidRPr="006D35C5">
        <w:rPr>
          <w:sz w:val="16"/>
          <w:szCs w:val="16"/>
        </w:rPr>
        <w:t>BiH</w:t>
      </w:r>
      <w:proofErr w:type="spellEnd"/>
      <w:r w:rsidRPr="006D35C5">
        <w:rPr>
          <w:sz w:val="16"/>
          <w:szCs w:val="16"/>
        </w:rPr>
        <w:t xml:space="preserve"> Ministry </w:t>
      </w:r>
      <w:proofErr w:type="spellStart"/>
      <w:r w:rsidRPr="006D35C5">
        <w:rPr>
          <w:sz w:val="16"/>
          <w:szCs w:val="16"/>
        </w:rPr>
        <w:t>of</w:t>
      </w:r>
      <w:proofErr w:type="spellEnd"/>
      <w:r w:rsidRPr="006D35C5">
        <w:rPr>
          <w:sz w:val="16"/>
          <w:szCs w:val="16"/>
        </w:rPr>
        <w:t xml:space="preserve"> Finance and </w:t>
      </w:r>
      <w:proofErr w:type="spellStart"/>
      <w:r w:rsidRPr="006D35C5">
        <w:rPr>
          <w:sz w:val="16"/>
          <w:szCs w:val="16"/>
        </w:rPr>
        <w:t>Treasury</w:t>
      </w:r>
      <w:proofErr w:type="spellEnd"/>
      <w:r w:rsidRPr="006D35C5">
        <w:rPr>
          <w:sz w:val="16"/>
          <w:szCs w:val="16"/>
        </w:rPr>
        <w:t xml:space="preserve">. Donor </w:t>
      </w:r>
      <w:proofErr w:type="spellStart"/>
      <w:r w:rsidRPr="006D35C5">
        <w:rPr>
          <w:sz w:val="16"/>
          <w:szCs w:val="16"/>
        </w:rPr>
        <w:t>Coordination</w:t>
      </w:r>
      <w:proofErr w:type="spellEnd"/>
      <w:r w:rsidRPr="006D35C5">
        <w:rPr>
          <w:sz w:val="16"/>
          <w:szCs w:val="16"/>
        </w:rPr>
        <w:t xml:space="preserve"> </w:t>
      </w:r>
      <w:proofErr w:type="spellStart"/>
      <w:r w:rsidRPr="006D35C5">
        <w:rPr>
          <w:sz w:val="16"/>
          <w:szCs w:val="16"/>
        </w:rPr>
        <w:t>Forum</w:t>
      </w:r>
      <w:proofErr w:type="spellEnd"/>
      <w:r w:rsidRPr="006D35C5">
        <w:rPr>
          <w:sz w:val="16"/>
          <w:szCs w:val="16"/>
        </w:rPr>
        <w:t xml:space="preserve"> </w:t>
      </w:r>
      <w:proofErr w:type="spellStart"/>
      <w:r w:rsidRPr="006D35C5">
        <w:rPr>
          <w:sz w:val="16"/>
          <w:szCs w:val="16"/>
        </w:rPr>
        <w:t>of</w:t>
      </w:r>
      <w:proofErr w:type="spellEnd"/>
      <w:r w:rsidRPr="006D35C5">
        <w:rPr>
          <w:sz w:val="16"/>
          <w:szCs w:val="16"/>
        </w:rPr>
        <w:t xml:space="preserve"> </w:t>
      </w:r>
      <w:proofErr w:type="spellStart"/>
      <w:r w:rsidRPr="006D35C5">
        <w:rPr>
          <w:sz w:val="16"/>
          <w:szCs w:val="16"/>
        </w:rPr>
        <w:t>Bosnia</w:t>
      </w:r>
      <w:proofErr w:type="spellEnd"/>
      <w:r w:rsidRPr="006D35C5">
        <w:rPr>
          <w:sz w:val="16"/>
          <w:szCs w:val="16"/>
        </w:rPr>
        <w:t xml:space="preserve"> and </w:t>
      </w:r>
      <w:proofErr w:type="spellStart"/>
      <w:r w:rsidRPr="006D35C5">
        <w:rPr>
          <w:sz w:val="16"/>
          <w:szCs w:val="16"/>
        </w:rPr>
        <w:t>Herzegovina</w:t>
      </w:r>
      <w:proofErr w:type="spellEnd"/>
      <w:r w:rsidRPr="006D35C5">
        <w:rPr>
          <w:sz w:val="16"/>
          <w:szCs w:val="16"/>
        </w:rPr>
        <w:t xml:space="preserve">, Donor </w:t>
      </w:r>
      <w:proofErr w:type="spellStart"/>
      <w:r w:rsidRPr="006D35C5">
        <w:rPr>
          <w:sz w:val="16"/>
          <w:szCs w:val="16"/>
        </w:rPr>
        <w:t>Mapping</w:t>
      </w:r>
      <w:proofErr w:type="spellEnd"/>
      <w:r w:rsidRPr="006D35C5">
        <w:rPr>
          <w:sz w:val="16"/>
          <w:szCs w:val="16"/>
        </w:rPr>
        <w:t xml:space="preserve"> report, 2009-2010, </w:t>
      </w:r>
      <w:proofErr w:type="gramStart"/>
      <w:r w:rsidRPr="006D35C5">
        <w:rPr>
          <w:sz w:val="16"/>
          <w:szCs w:val="16"/>
        </w:rPr>
        <w:t>p.134</w:t>
      </w:r>
      <w:proofErr w:type="gramEnd"/>
    </w:p>
  </w:footnote>
  <w:footnote w:id="28">
    <w:p w14:paraId="6990FA0D" w14:textId="77777777" w:rsidR="006B4FA9" w:rsidRDefault="006B4FA9" w:rsidP="007158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9508F">
        <w:rPr>
          <w:sz w:val="16"/>
          <w:szCs w:val="16"/>
        </w:rPr>
        <w:t xml:space="preserve">El </w:t>
      </w:r>
      <w:proofErr w:type="spellStart"/>
      <w:r w:rsidRPr="00E9508F">
        <w:rPr>
          <w:sz w:val="16"/>
          <w:szCs w:val="16"/>
        </w:rPr>
        <w:t>Bilali</w:t>
      </w:r>
      <w:proofErr w:type="spellEnd"/>
      <w:r w:rsidRPr="00E9508F">
        <w:rPr>
          <w:sz w:val="16"/>
          <w:szCs w:val="16"/>
        </w:rPr>
        <w:t xml:space="preserve"> H., </w:t>
      </w:r>
      <w:proofErr w:type="spellStart"/>
      <w:r w:rsidRPr="00E9508F">
        <w:rPr>
          <w:sz w:val="16"/>
          <w:szCs w:val="16"/>
        </w:rPr>
        <w:t>Berjan</w:t>
      </w:r>
      <w:proofErr w:type="spellEnd"/>
      <w:r w:rsidRPr="00E9508F">
        <w:rPr>
          <w:sz w:val="16"/>
          <w:szCs w:val="16"/>
        </w:rPr>
        <w:t xml:space="preserve"> S., </w:t>
      </w:r>
      <w:proofErr w:type="spellStart"/>
      <w:r w:rsidRPr="00E9508F">
        <w:rPr>
          <w:sz w:val="16"/>
          <w:szCs w:val="16"/>
        </w:rPr>
        <w:t>Simic</w:t>
      </w:r>
      <w:proofErr w:type="spellEnd"/>
      <w:r w:rsidRPr="00E9508F">
        <w:rPr>
          <w:sz w:val="16"/>
          <w:szCs w:val="16"/>
        </w:rPr>
        <w:t xml:space="preserve"> J., </w:t>
      </w:r>
      <w:proofErr w:type="spellStart"/>
      <w:r w:rsidRPr="00E9508F">
        <w:rPr>
          <w:sz w:val="16"/>
          <w:szCs w:val="16"/>
        </w:rPr>
        <w:t>Despotovic</w:t>
      </w:r>
      <w:proofErr w:type="spellEnd"/>
      <w:r w:rsidRPr="00E9508F">
        <w:rPr>
          <w:sz w:val="16"/>
          <w:szCs w:val="16"/>
        </w:rPr>
        <w:t xml:space="preserve"> A., </w:t>
      </w:r>
      <w:proofErr w:type="spellStart"/>
      <w:r w:rsidRPr="00E9508F">
        <w:rPr>
          <w:sz w:val="16"/>
          <w:szCs w:val="16"/>
        </w:rPr>
        <w:t>Cadro</w:t>
      </w:r>
      <w:proofErr w:type="spellEnd"/>
      <w:r w:rsidRPr="00E9508F">
        <w:rPr>
          <w:sz w:val="16"/>
          <w:szCs w:val="16"/>
        </w:rPr>
        <w:t xml:space="preserve"> S., </w:t>
      </w:r>
      <w:proofErr w:type="spellStart"/>
      <w:r w:rsidRPr="00E9508F">
        <w:rPr>
          <w:sz w:val="16"/>
          <w:szCs w:val="16"/>
        </w:rPr>
        <w:t>Stojkovic</w:t>
      </w:r>
      <w:proofErr w:type="spellEnd"/>
      <w:r w:rsidRPr="00E9508F">
        <w:rPr>
          <w:sz w:val="16"/>
          <w:szCs w:val="16"/>
        </w:rPr>
        <w:t xml:space="preserve"> L., 2012. International </w:t>
      </w:r>
      <w:proofErr w:type="spellStart"/>
      <w:r w:rsidRPr="00E9508F">
        <w:rPr>
          <w:sz w:val="16"/>
          <w:szCs w:val="16"/>
        </w:rPr>
        <w:t>aid</w:t>
      </w:r>
      <w:proofErr w:type="spellEnd"/>
      <w:r w:rsidRPr="00E9508F">
        <w:rPr>
          <w:sz w:val="16"/>
          <w:szCs w:val="16"/>
        </w:rPr>
        <w:t xml:space="preserve"> to </w:t>
      </w:r>
      <w:proofErr w:type="spellStart"/>
      <w:r w:rsidRPr="00E9508F">
        <w:rPr>
          <w:sz w:val="16"/>
          <w:szCs w:val="16"/>
        </w:rPr>
        <w:t>Baosnian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agriculture</w:t>
      </w:r>
      <w:proofErr w:type="spellEnd"/>
      <w:r w:rsidRPr="00E9508F">
        <w:rPr>
          <w:sz w:val="16"/>
          <w:szCs w:val="16"/>
        </w:rPr>
        <w:t xml:space="preserve">, </w:t>
      </w:r>
      <w:proofErr w:type="spellStart"/>
      <w:r w:rsidRPr="00E9508F">
        <w:rPr>
          <w:sz w:val="16"/>
          <w:szCs w:val="16"/>
        </w:rPr>
        <w:t>forestry</w:t>
      </w:r>
      <w:proofErr w:type="spellEnd"/>
      <w:r w:rsidRPr="00E9508F">
        <w:rPr>
          <w:sz w:val="16"/>
          <w:szCs w:val="16"/>
        </w:rPr>
        <w:t xml:space="preserve"> and </w:t>
      </w:r>
      <w:proofErr w:type="spellStart"/>
      <w:r w:rsidRPr="00E9508F">
        <w:rPr>
          <w:sz w:val="16"/>
          <w:szCs w:val="16"/>
        </w:rPr>
        <w:t>rural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development</w:t>
      </w:r>
      <w:proofErr w:type="spellEnd"/>
      <w:r w:rsidRPr="00E9508F">
        <w:rPr>
          <w:sz w:val="16"/>
          <w:szCs w:val="16"/>
        </w:rPr>
        <w:t xml:space="preserve"> in </w:t>
      </w:r>
      <w:proofErr w:type="spellStart"/>
      <w:r w:rsidRPr="00E9508F">
        <w:rPr>
          <w:sz w:val="16"/>
          <w:szCs w:val="16"/>
        </w:rPr>
        <w:t>the</w:t>
      </w:r>
      <w:proofErr w:type="spellEnd"/>
      <w:r w:rsidRPr="00E9508F">
        <w:rPr>
          <w:sz w:val="16"/>
          <w:szCs w:val="16"/>
        </w:rPr>
        <w:t xml:space="preserve"> post-</w:t>
      </w:r>
      <w:proofErr w:type="spellStart"/>
      <w:r w:rsidRPr="00E9508F">
        <w:rPr>
          <w:sz w:val="16"/>
          <w:szCs w:val="16"/>
        </w:rPr>
        <w:t>war</w:t>
      </w:r>
      <w:proofErr w:type="spellEnd"/>
      <w:r w:rsidRPr="00E9508F">
        <w:rPr>
          <w:sz w:val="16"/>
          <w:szCs w:val="16"/>
        </w:rPr>
        <w:t xml:space="preserve"> period. </w:t>
      </w:r>
      <w:proofErr w:type="spellStart"/>
      <w:r w:rsidRPr="00E9508F">
        <w:rPr>
          <w:sz w:val="16"/>
          <w:szCs w:val="16"/>
        </w:rPr>
        <w:t>Third</w:t>
      </w:r>
      <w:proofErr w:type="spellEnd"/>
      <w:r w:rsidRPr="00E9508F">
        <w:rPr>
          <w:sz w:val="16"/>
          <w:szCs w:val="16"/>
        </w:rPr>
        <w:t xml:space="preserve"> International </w:t>
      </w:r>
      <w:proofErr w:type="spellStart"/>
      <w:r w:rsidRPr="00E9508F">
        <w:rPr>
          <w:sz w:val="16"/>
          <w:szCs w:val="16"/>
        </w:rPr>
        <w:t>Scientific</w:t>
      </w:r>
      <w:proofErr w:type="spellEnd"/>
      <w:r w:rsidRPr="00E9508F">
        <w:rPr>
          <w:sz w:val="16"/>
          <w:szCs w:val="16"/>
        </w:rPr>
        <w:t xml:space="preserve"> Symposium "</w:t>
      </w:r>
      <w:proofErr w:type="spellStart"/>
      <w:r w:rsidRPr="00E9508F">
        <w:rPr>
          <w:sz w:val="16"/>
          <w:szCs w:val="16"/>
        </w:rPr>
        <w:t>Agrosym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Jahorina</w:t>
      </w:r>
      <w:proofErr w:type="spellEnd"/>
      <w:r w:rsidRPr="00E9508F">
        <w:rPr>
          <w:sz w:val="16"/>
          <w:szCs w:val="16"/>
        </w:rPr>
        <w:t xml:space="preserve"> 2012". Dostupné z: http://www.agrosym.unssa.rs.ba/agrosym/agrosym_2012/dokumenti/5_ruralni_razvoj/11_RD_Hamid_El_Bilali.pdf [cit. 2013-07-04]</w:t>
      </w:r>
    </w:p>
  </w:footnote>
  <w:footnote w:id="29">
    <w:p w14:paraId="79D5A23B" w14:textId="77777777" w:rsidR="006B4FA9" w:rsidRPr="008447FB" w:rsidRDefault="006B4FA9" w:rsidP="007158C0">
      <w:pPr>
        <w:pStyle w:val="Textpoznpodarou"/>
        <w:rPr>
          <w:sz w:val="16"/>
          <w:szCs w:val="16"/>
        </w:rPr>
      </w:pPr>
      <w:r w:rsidRPr="008447FB">
        <w:rPr>
          <w:rStyle w:val="Znakapoznpodarou"/>
          <w:sz w:val="16"/>
          <w:szCs w:val="16"/>
        </w:rPr>
        <w:footnoteRef/>
      </w:r>
      <w:r w:rsidRPr="008447FB">
        <w:rPr>
          <w:sz w:val="16"/>
          <w:szCs w:val="16"/>
        </w:rPr>
        <w:t xml:space="preserve"> </w:t>
      </w:r>
      <w:proofErr w:type="spellStart"/>
      <w:r w:rsidRPr="008447FB">
        <w:rPr>
          <w:sz w:val="16"/>
          <w:szCs w:val="16"/>
        </w:rPr>
        <w:t>The</w:t>
      </w:r>
      <w:proofErr w:type="spellEnd"/>
      <w:r w:rsidRPr="008447FB">
        <w:rPr>
          <w:sz w:val="16"/>
          <w:szCs w:val="16"/>
        </w:rPr>
        <w:t xml:space="preserve"> </w:t>
      </w:r>
      <w:proofErr w:type="spellStart"/>
      <w:r w:rsidRPr="008447FB">
        <w:rPr>
          <w:sz w:val="16"/>
          <w:szCs w:val="16"/>
        </w:rPr>
        <w:t>World</w:t>
      </w:r>
      <w:proofErr w:type="spellEnd"/>
      <w:r w:rsidRPr="008447FB">
        <w:rPr>
          <w:sz w:val="16"/>
          <w:szCs w:val="16"/>
        </w:rPr>
        <w:t xml:space="preserve"> Bank, 2013. </w:t>
      </w:r>
      <w:proofErr w:type="spellStart"/>
      <w:r w:rsidRPr="008447FB">
        <w:rPr>
          <w:sz w:val="16"/>
          <w:szCs w:val="16"/>
        </w:rPr>
        <w:t>Bosnia</w:t>
      </w:r>
      <w:proofErr w:type="spellEnd"/>
      <w:r w:rsidRPr="008447FB">
        <w:rPr>
          <w:sz w:val="16"/>
          <w:szCs w:val="16"/>
        </w:rPr>
        <w:t xml:space="preserve"> and </w:t>
      </w:r>
      <w:proofErr w:type="spellStart"/>
      <w:r w:rsidRPr="008447FB">
        <w:rPr>
          <w:sz w:val="16"/>
          <w:szCs w:val="16"/>
        </w:rPr>
        <w:t>Herzegovina</w:t>
      </w:r>
      <w:proofErr w:type="spellEnd"/>
      <w:r w:rsidRPr="008447FB">
        <w:rPr>
          <w:sz w:val="16"/>
          <w:szCs w:val="16"/>
        </w:rPr>
        <w:t xml:space="preserve"> </w:t>
      </w:r>
      <w:proofErr w:type="spellStart"/>
      <w:r w:rsidRPr="008447FB">
        <w:rPr>
          <w:sz w:val="16"/>
          <w:szCs w:val="16"/>
        </w:rPr>
        <w:t>Overview</w:t>
      </w:r>
      <w:proofErr w:type="spellEnd"/>
      <w:r w:rsidRPr="008447FB">
        <w:rPr>
          <w:sz w:val="16"/>
          <w:szCs w:val="16"/>
        </w:rPr>
        <w:t>. Dostupné z:</w:t>
      </w:r>
      <w:r>
        <w:rPr>
          <w:sz w:val="16"/>
          <w:szCs w:val="16"/>
        </w:rPr>
        <w:t xml:space="preserve"> </w:t>
      </w:r>
      <w:r w:rsidRPr="008447FB">
        <w:rPr>
          <w:sz w:val="16"/>
          <w:szCs w:val="16"/>
        </w:rPr>
        <w:t>http://www.worldbank.org/en/country/bosniaandherzegovina/overview [cit. 2013-07-04]</w:t>
      </w:r>
    </w:p>
  </w:footnote>
  <w:footnote w:id="30">
    <w:p w14:paraId="13BDA5A7" w14:textId="77777777" w:rsidR="006B4FA9" w:rsidRDefault="006B4FA9" w:rsidP="007158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9508F">
        <w:rPr>
          <w:sz w:val="16"/>
          <w:szCs w:val="16"/>
        </w:rPr>
        <w:t xml:space="preserve">El </w:t>
      </w:r>
      <w:proofErr w:type="spellStart"/>
      <w:r w:rsidRPr="00E9508F">
        <w:rPr>
          <w:sz w:val="16"/>
          <w:szCs w:val="16"/>
        </w:rPr>
        <w:t>Bilali</w:t>
      </w:r>
      <w:proofErr w:type="spellEnd"/>
      <w:r w:rsidRPr="00E9508F">
        <w:rPr>
          <w:sz w:val="16"/>
          <w:szCs w:val="16"/>
        </w:rPr>
        <w:t xml:space="preserve"> H., </w:t>
      </w:r>
      <w:proofErr w:type="spellStart"/>
      <w:r w:rsidRPr="00E9508F">
        <w:rPr>
          <w:sz w:val="16"/>
          <w:szCs w:val="16"/>
        </w:rPr>
        <w:t>Berjan</w:t>
      </w:r>
      <w:proofErr w:type="spellEnd"/>
      <w:r w:rsidRPr="00E9508F">
        <w:rPr>
          <w:sz w:val="16"/>
          <w:szCs w:val="16"/>
        </w:rPr>
        <w:t xml:space="preserve"> S., </w:t>
      </w:r>
      <w:proofErr w:type="spellStart"/>
      <w:r w:rsidRPr="00E9508F">
        <w:rPr>
          <w:sz w:val="16"/>
          <w:szCs w:val="16"/>
        </w:rPr>
        <w:t>Simic</w:t>
      </w:r>
      <w:proofErr w:type="spellEnd"/>
      <w:r w:rsidRPr="00E9508F">
        <w:rPr>
          <w:sz w:val="16"/>
          <w:szCs w:val="16"/>
        </w:rPr>
        <w:t xml:space="preserve"> J., </w:t>
      </w:r>
      <w:proofErr w:type="spellStart"/>
      <w:r w:rsidRPr="00E9508F">
        <w:rPr>
          <w:sz w:val="16"/>
          <w:szCs w:val="16"/>
        </w:rPr>
        <w:t>Despotovic</w:t>
      </w:r>
      <w:proofErr w:type="spellEnd"/>
      <w:r w:rsidRPr="00E9508F">
        <w:rPr>
          <w:sz w:val="16"/>
          <w:szCs w:val="16"/>
        </w:rPr>
        <w:t xml:space="preserve"> A., </w:t>
      </w:r>
      <w:proofErr w:type="spellStart"/>
      <w:r w:rsidRPr="00E9508F">
        <w:rPr>
          <w:sz w:val="16"/>
          <w:szCs w:val="16"/>
        </w:rPr>
        <w:t>Cadro</w:t>
      </w:r>
      <w:proofErr w:type="spellEnd"/>
      <w:r w:rsidRPr="00E9508F">
        <w:rPr>
          <w:sz w:val="16"/>
          <w:szCs w:val="16"/>
        </w:rPr>
        <w:t xml:space="preserve"> S., </w:t>
      </w:r>
      <w:proofErr w:type="spellStart"/>
      <w:r w:rsidRPr="00E9508F">
        <w:rPr>
          <w:sz w:val="16"/>
          <w:szCs w:val="16"/>
        </w:rPr>
        <w:t>Stojkovic</w:t>
      </w:r>
      <w:proofErr w:type="spellEnd"/>
      <w:r w:rsidRPr="00E9508F">
        <w:rPr>
          <w:sz w:val="16"/>
          <w:szCs w:val="16"/>
        </w:rPr>
        <w:t xml:space="preserve"> L., 2012. International </w:t>
      </w:r>
      <w:proofErr w:type="spellStart"/>
      <w:r w:rsidRPr="00E9508F">
        <w:rPr>
          <w:sz w:val="16"/>
          <w:szCs w:val="16"/>
        </w:rPr>
        <w:t>aid</w:t>
      </w:r>
      <w:proofErr w:type="spellEnd"/>
      <w:r w:rsidRPr="00E9508F">
        <w:rPr>
          <w:sz w:val="16"/>
          <w:szCs w:val="16"/>
        </w:rPr>
        <w:t xml:space="preserve"> to </w:t>
      </w:r>
      <w:proofErr w:type="spellStart"/>
      <w:r w:rsidRPr="00E9508F">
        <w:rPr>
          <w:sz w:val="16"/>
          <w:szCs w:val="16"/>
        </w:rPr>
        <w:t>Baosnian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agriculture</w:t>
      </w:r>
      <w:proofErr w:type="spellEnd"/>
      <w:r w:rsidRPr="00E9508F">
        <w:rPr>
          <w:sz w:val="16"/>
          <w:szCs w:val="16"/>
        </w:rPr>
        <w:t xml:space="preserve">, </w:t>
      </w:r>
      <w:proofErr w:type="spellStart"/>
      <w:r w:rsidRPr="00E9508F">
        <w:rPr>
          <w:sz w:val="16"/>
          <w:szCs w:val="16"/>
        </w:rPr>
        <w:t>forestry</w:t>
      </w:r>
      <w:proofErr w:type="spellEnd"/>
      <w:r w:rsidRPr="00E9508F">
        <w:rPr>
          <w:sz w:val="16"/>
          <w:szCs w:val="16"/>
        </w:rPr>
        <w:t xml:space="preserve"> and </w:t>
      </w:r>
      <w:proofErr w:type="spellStart"/>
      <w:r w:rsidRPr="00E9508F">
        <w:rPr>
          <w:sz w:val="16"/>
          <w:szCs w:val="16"/>
        </w:rPr>
        <w:t>rural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development</w:t>
      </w:r>
      <w:proofErr w:type="spellEnd"/>
      <w:r w:rsidRPr="00E9508F">
        <w:rPr>
          <w:sz w:val="16"/>
          <w:szCs w:val="16"/>
        </w:rPr>
        <w:t xml:space="preserve"> in </w:t>
      </w:r>
      <w:proofErr w:type="spellStart"/>
      <w:r w:rsidRPr="00E9508F">
        <w:rPr>
          <w:sz w:val="16"/>
          <w:szCs w:val="16"/>
        </w:rPr>
        <w:t>the</w:t>
      </w:r>
      <w:proofErr w:type="spellEnd"/>
      <w:r w:rsidRPr="00E9508F">
        <w:rPr>
          <w:sz w:val="16"/>
          <w:szCs w:val="16"/>
        </w:rPr>
        <w:t xml:space="preserve"> post-</w:t>
      </w:r>
      <w:proofErr w:type="spellStart"/>
      <w:r w:rsidRPr="00E9508F">
        <w:rPr>
          <w:sz w:val="16"/>
          <w:szCs w:val="16"/>
        </w:rPr>
        <w:t>war</w:t>
      </w:r>
      <w:proofErr w:type="spellEnd"/>
      <w:r w:rsidRPr="00E9508F">
        <w:rPr>
          <w:sz w:val="16"/>
          <w:szCs w:val="16"/>
        </w:rPr>
        <w:t xml:space="preserve"> period. </w:t>
      </w:r>
      <w:proofErr w:type="spellStart"/>
      <w:r w:rsidRPr="00E9508F">
        <w:rPr>
          <w:sz w:val="16"/>
          <w:szCs w:val="16"/>
        </w:rPr>
        <w:t>Third</w:t>
      </w:r>
      <w:proofErr w:type="spellEnd"/>
      <w:r w:rsidRPr="00E9508F">
        <w:rPr>
          <w:sz w:val="16"/>
          <w:szCs w:val="16"/>
        </w:rPr>
        <w:t xml:space="preserve"> International </w:t>
      </w:r>
      <w:proofErr w:type="spellStart"/>
      <w:r w:rsidRPr="00E9508F">
        <w:rPr>
          <w:sz w:val="16"/>
          <w:szCs w:val="16"/>
        </w:rPr>
        <w:t>Scientific</w:t>
      </w:r>
      <w:proofErr w:type="spellEnd"/>
      <w:r w:rsidRPr="00E9508F">
        <w:rPr>
          <w:sz w:val="16"/>
          <w:szCs w:val="16"/>
        </w:rPr>
        <w:t xml:space="preserve"> Symposium "</w:t>
      </w:r>
      <w:proofErr w:type="spellStart"/>
      <w:r w:rsidRPr="00E9508F">
        <w:rPr>
          <w:sz w:val="16"/>
          <w:szCs w:val="16"/>
        </w:rPr>
        <w:t>Agrosym</w:t>
      </w:r>
      <w:proofErr w:type="spellEnd"/>
      <w:r w:rsidRPr="00E9508F">
        <w:rPr>
          <w:sz w:val="16"/>
          <w:szCs w:val="16"/>
        </w:rPr>
        <w:t xml:space="preserve"> </w:t>
      </w:r>
      <w:proofErr w:type="spellStart"/>
      <w:r w:rsidRPr="00E9508F">
        <w:rPr>
          <w:sz w:val="16"/>
          <w:szCs w:val="16"/>
        </w:rPr>
        <w:t>Jahorina</w:t>
      </w:r>
      <w:proofErr w:type="spellEnd"/>
      <w:r w:rsidRPr="00E9508F">
        <w:rPr>
          <w:sz w:val="16"/>
          <w:szCs w:val="16"/>
        </w:rPr>
        <w:t xml:space="preserve"> 2012". Dostupné z: http://www.agrosym.unssa.rs.ba/agrosym/agrosym_2012/dokumenti/5_ruralni_razvoj/11_RD_Hamid_El_Bilali.pdf [cit. 2013-07-04]</w:t>
      </w:r>
    </w:p>
  </w:footnote>
  <w:footnote w:id="31">
    <w:p w14:paraId="6D88A0A7" w14:textId="77777777" w:rsidR="006B4FA9" w:rsidRPr="0053095B" w:rsidRDefault="006B4FA9" w:rsidP="007158C0">
      <w:pPr>
        <w:autoSpaceDE w:val="0"/>
        <w:autoSpaceDN w:val="0"/>
        <w:adjustRightInd w:val="0"/>
        <w:rPr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53095B">
        <w:rPr>
          <w:sz w:val="16"/>
          <w:szCs w:val="16"/>
        </w:rPr>
        <w:t xml:space="preserve">FAO, 2013. </w:t>
      </w:r>
      <w:r w:rsidRPr="0053095B">
        <w:rPr>
          <w:bCs/>
          <w:sz w:val="16"/>
          <w:szCs w:val="16"/>
        </w:rPr>
        <w:t xml:space="preserve">FAO </w:t>
      </w:r>
      <w:proofErr w:type="spellStart"/>
      <w:r w:rsidRPr="0053095B">
        <w:rPr>
          <w:bCs/>
          <w:sz w:val="16"/>
          <w:szCs w:val="16"/>
        </w:rPr>
        <w:t>Technical</w:t>
      </w:r>
      <w:proofErr w:type="spellEnd"/>
      <w:r w:rsidRPr="0053095B">
        <w:rPr>
          <w:bCs/>
          <w:sz w:val="16"/>
          <w:szCs w:val="16"/>
        </w:rPr>
        <w:t xml:space="preserve"> </w:t>
      </w:r>
      <w:proofErr w:type="spellStart"/>
      <w:r w:rsidRPr="0053095B">
        <w:rPr>
          <w:bCs/>
          <w:sz w:val="16"/>
          <w:szCs w:val="16"/>
        </w:rPr>
        <w:t>Cooperation</w:t>
      </w:r>
      <w:proofErr w:type="spellEnd"/>
      <w:r w:rsidRPr="0053095B">
        <w:rPr>
          <w:bCs/>
          <w:sz w:val="16"/>
          <w:szCs w:val="16"/>
        </w:rPr>
        <w:t xml:space="preserve"> Department, </w:t>
      </w:r>
      <w:proofErr w:type="spellStart"/>
      <w:r w:rsidRPr="0053095B">
        <w:rPr>
          <w:bCs/>
          <w:sz w:val="16"/>
          <w:szCs w:val="16"/>
        </w:rPr>
        <w:t>Field</w:t>
      </w:r>
      <w:proofErr w:type="spellEnd"/>
      <w:r w:rsidRPr="0053095B">
        <w:rPr>
          <w:bCs/>
          <w:sz w:val="16"/>
          <w:szCs w:val="16"/>
        </w:rPr>
        <w:t xml:space="preserve"> </w:t>
      </w:r>
      <w:proofErr w:type="spellStart"/>
      <w:r w:rsidRPr="0053095B">
        <w:rPr>
          <w:bCs/>
          <w:sz w:val="16"/>
          <w:szCs w:val="16"/>
        </w:rPr>
        <w:t>Programme</w:t>
      </w:r>
      <w:proofErr w:type="spellEnd"/>
      <w:r w:rsidRPr="0053095B">
        <w:rPr>
          <w:bCs/>
          <w:sz w:val="16"/>
          <w:szCs w:val="16"/>
        </w:rPr>
        <w:t xml:space="preserve"> </w:t>
      </w:r>
      <w:proofErr w:type="spellStart"/>
      <w:r w:rsidRPr="0053095B">
        <w:rPr>
          <w:bCs/>
          <w:sz w:val="16"/>
          <w:szCs w:val="16"/>
        </w:rPr>
        <w:t>Activities</w:t>
      </w:r>
      <w:proofErr w:type="spellEnd"/>
      <w:r w:rsidRPr="0053095B">
        <w:rPr>
          <w:sz w:val="16"/>
          <w:szCs w:val="16"/>
        </w:rPr>
        <w:t>. Dostupné z: https://extranet.fao.org/fpmis/FPMISReportServlet.jsp?div=&amp;type=countryprofileopen&amp;language=EN&amp;countryId=BA [</w:t>
      </w:r>
      <w:proofErr w:type="gramStart"/>
      <w:r w:rsidRPr="0053095B">
        <w:rPr>
          <w:sz w:val="16"/>
          <w:szCs w:val="16"/>
        </w:rPr>
        <w:t>cit</w:t>
      </w:r>
      <w:proofErr w:type="gramEnd"/>
      <w:r w:rsidRPr="0053095B">
        <w:rPr>
          <w:sz w:val="16"/>
          <w:szCs w:val="16"/>
        </w:rPr>
        <w:t>.</w:t>
      </w:r>
      <w:proofErr w:type="gramStart"/>
      <w:r w:rsidRPr="0053095B">
        <w:rPr>
          <w:sz w:val="16"/>
          <w:szCs w:val="16"/>
        </w:rPr>
        <w:t>2013</w:t>
      </w:r>
      <w:proofErr w:type="gramEnd"/>
      <w:r w:rsidRPr="0053095B">
        <w:rPr>
          <w:sz w:val="16"/>
          <w:szCs w:val="16"/>
        </w:rPr>
        <w:t>-07-04]</w:t>
      </w:r>
    </w:p>
  </w:footnote>
  <w:footnote w:id="32">
    <w:p w14:paraId="2D880E38" w14:textId="77777777" w:rsidR="006B4FA9" w:rsidRPr="006D35C5" w:rsidRDefault="006B4FA9" w:rsidP="007158C0">
      <w:pPr>
        <w:pStyle w:val="Textpoznpodarou"/>
        <w:rPr>
          <w:sz w:val="16"/>
          <w:szCs w:val="16"/>
        </w:rPr>
      </w:pPr>
      <w:r w:rsidRPr="008447FB">
        <w:rPr>
          <w:rStyle w:val="Znakapoznpodarou"/>
          <w:sz w:val="16"/>
          <w:szCs w:val="16"/>
        </w:rPr>
        <w:footnoteRef/>
      </w:r>
      <w:r w:rsidRPr="008447FB">
        <w:rPr>
          <w:sz w:val="16"/>
          <w:szCs w:val="16"/>
        </w:rPr>
        <w:t xml:space="preserve"> Přijata usnesením vlády č. 336/2010</w:t>
      </w:r>
    </w:p>
  </w:footnote>
  <w:footnote w:id="33">
    <w:p w14:paraId="57965561" w14:textId="77777777" w:rsidR="006B4FA9" w:rsidRPr="006D35C5" w:rsidRDefault="006B4FA9" w:rsidP="007158C0">
      <w:pPr>
        <w:pStyle w:val="Textpoznpodarou"/>
        <w:rPr>
          <w:sz w:val="16"/>
          <w:szCs w:val="16"/>
        </w:rPr>
      </w:pPr>
      <w:r w:rsidRPr="006D35C5">
        <w:rPr>
          <w:rStyle w:val="Znakapoznpodarou"/>
          <w:sz w:val="16"/>
          <w:szCs w:val="16"/>
        </w:rPr>
        <w:footnoteRef/>
      </w:r>
      <w:r w:rsidRPr="006D35C5">
        <w:rPr>
          <w:sz w:val="16"/>
          <w:szCs w:val="16"/>
        </w:rPr>
        <w:t xml:space="preserve"> </w:t>
      </w:r>
      <w:proofErr w:type="spellStart"/>
      <w:r w:rsidRPr="006D35C5">
        <w:rPr>
          <w:sz w:val="16"/>
          <w:szCs w:val="16"/>
        </w:rPr>
        <w:t>Mzv</w:t>
      </w:r>
      <w:proofErr w:type="spellEnd"/>
      <w:r w:rsidRPr="006D35C5">
        <w:rPr>
          <w:sz w:val="16"/>
          <w:szCs w:val="16"/>
        </w:rPr>
        <w:t>, 2011, Program rozvojové spolupráce s Bosnou a Hercegovinou 2011-17. Dostupné z:http://www.mzv.cz/jnp/cz/zahranicni_vztahy/rozvojova_spoluprace/dvoustranna_zrs_cr/programove_zeme/bosna_a_hercegovina/program_rozvojove_spoluprace_s_</w:t>
      </w:r>
      <w:r>
        <w:rPr>
          <w:sz w:val="16"/>
          <w:szCs w:val="16"/>
        </w:rPr>
        <w:t>bosnou_a.html [cit. 2013-06-27]</w:t>
      </w:r>
    </w:p>
  </w:footnote>
  <w:footnote w:id="34">
    <w:p w14:paraId="77C262CC" w14:textId="77777777" w:rsidR="006B4FA9" w:rsidRPr="00013A28" w:rsidRDefault="006B4FA9" w:rsidP="0086276E">
      <w:pPr>
        <w:jc w:val="both"/>
        <w:rPr>
          <w:sz w:val="20"/>
          <w:szCs w:val="20"/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Pr="00013A28">
        <w:rPr>
          <w:sz w:val="20"/>
          <w:szCs w:val="20"/>
        </w:rPr>
        <w:t xml:space="preserve">Podrobněji </w:t>
      </w:r>
      <w:proofErr w:type="gramStart"/>
      <w:r w:rsidRPr="00013A28">
        <w:rPr>
          <w:sz w:val="20"/>
          <w:szCs w:val="20"/>
        </w:rPr>
        <w:t>viz.</w:t>
      </w:r>
      <w:proofErr w:type="gramEnd"/>
      <w:r w:rsidRPr="00013A28">
        <w:rPr>
          <w:sz w:val="20"/>
          <w:szCs w:val="20"/>
        </w:rPr>
        <w:t xml:space="preserve"> </w:t>
      </w:r>
      <w:r>
        <w:rPr>
          <w:sz w:val="20"/>
          <w:szCs w:val="20"/>
        </w:rPr>
        <w:t>ÚKZÚZ:</w:t>
      </w:r>
      <w:r w:rsidRPr="00013A28">
        <w:rPr>
          <w:sz w:val="20"/>
          <w:szCs w:val="20"/>
          <w:lang w:val="en-GB"/>
        </w:rPr>
        <w:t>Evaluation report on system of control and certification of plant propagating material in Bosnia and Herzegovina</w:t>
      </w:r>
      <w:r>
        <w:rPr>
          <w:sz w:val="20"/>
          <w:szCs w:val="20"/>
          <w:lang w:val="en-GB"/>
        </w:rPr>
        <w:t>, Brno, 2013</w:t>
      </w:r>
    </w:p>
    <w:p w14:paraId="00B1FD7D" w14:textId="548AE740" w:rsidR="006B4FA9" w:rsidRDefault="006B4FA9">
      <w:pPr>
        <w:pStyle w:val="Textpoznpodarou"/>
      </w:pPr>
    </w:p>
  </w:footnote>
  <w:footnote w:id="35">
    <w:p w14:paraId="49639BC3" w14:textId="0233AA6A" w:rsidR="006B4FA9" w:rsidRDefault="006B4FA9" w:rsidP="009F215C">
      <w:pPr>
        <w:jc w:val="both"/>
        <w:rPr>
          <w:b/>
          <w:u w:val="single"/>
          <w:lang w:val="en-GB"/>
        </w:rPr>
      </w:pPr>
      <w:r>
        <w:rPr>
          <w:rStyle w:val="Znakapoznpodarou"/>
        </w:rPr>
        <w:footnoteRef/>
      </w:r>
      <w:r>
        <w:t xml:space="preserve">  </w:t>
      </w:r>
      <w:r w:rsidRPr="009F215C">
        <w:rPr>
          <w:sz w:val="20"/>
          <w:szCs w:val="20"/>
        </w:rPr>
        <w:t>viz.</w:t>
      </w:r>
      <w:r>
        <w:t xml:space="preserve"> </w:t>
      </w:r>
      <w:r>
        <w:rPr>
          <w:sz w:val="20"/>
          <w:szCs w:val="20"/>
        </w:rPr>
        <w:t>ÚKZÚZ:</w:t>
      </w:r>
      <w:r w:rsidRPr="00013A28">
        <w:rPr>
          <w:sz w:val="20"/>
          <w:szCs w:val="20"/>
          <w:lang w:val="en-GB"/>
        </w:rPr>
        <w:t>Evaluation report on system of control and certification of plant propagating material in Bosnia and Herzegovina</w:t>
      </w:r>
      <w:r>
        <w:rPr>
          <w:sz w:val="20"/>
          <w:szCs w:val="20"/>
          <w:lang w:val="en-GB"/>
        </w:rPr>
        <w:t>, Brno, 2013</w:t>
      </w:r>
    </w:p>
    <w:p w14:paraId="0D5B67FA" w14:textId="77777777" w:rsidR="006B4FA9" w:rsidRPr="009F215C" w:rsidRDefault="006B4FA9">
      <w:pPr>
        <w:pStyle w:val="Textpoznpodarou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D67F0" w14:textId="77777777" w:rsidR="006B4FA9" w:rsidRDefault="006B4FA9">
    <w:pPr>
      <w:rPr>
        <w:sz w:val="32"/>
        <w:szCs w:val="32"/>
      </w:rPr>
    </w:pPr>
  </w:p>
  <w:p w14:paraId="6EC9149D" w14:textId="77777777" w:rsidR="006B4FA9" w:rsidRDefault="006B4FA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5C19"/>
    <w:multiLevelType w:val="hybridMultilevel"/>
    <w:tmpl w:val="F6C0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359A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43FF52BC"/>
    <w:multiLevelType w:val="hybridMultilevel"/>
    <w:tmpl w:val="68E6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26F9A"/>
    <w:multiLevelType w:val="hybridMultilevel"/>
    <w:tmpl w:val="206667C6"/>
    <w:lvl w:ilvl="0" w:tplc="DBCEEE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C8"/>
    <w:rsid w:val="00010F27"/>
    <w:rsid w:val="0001327C"/>
    <w:rsid w:val="00013A28"/>
    <w:rsid w:val="00014419"/>
    <w:rsid w:val="00016517"/>
    <w:rsid w:val="00023E5F"/>
    <w:rsid w:val="00040583"/>
    <w:rsid w:val="00044C0E"/>
    <w:rsid w:val="00054F85"/>
    <w:rsid w:val="00056985"/>
    <w:rsid w:val="00056C75"/>
    <w:rsid w:val="00057240"/>
    <w:rsid w:val="00060DB6"/>
    <w:rsid w:val="0007681A"/>
    <w:rsid w:val="0008686B"/>
    <w:rsid w:val="0009190E"/>
    <w:rsid w:val="00091F84"/>
    <w:rsid w:val="000A1022"/>
    <w:rsid w:val="000C39E0"/>
    <w:rsid w:val="000D0E19"/>
    <w:rsid w:val="000D1885"/>
    <w:rsid w:val="000D4344"/>
    <w:rsid w:val="00114109"/>
    <w:rsid w:val="00120F0F"/>
    <w:rsid w:val="00127B06"/>
    <w:rsid w:val="001621BD"/>
    <w:rsid w:val="0017369F"/>
    <w:rsid w:val="00187A1A"/>
    <w:rsid w:val="00187CA6"/>
    <w:rsid w:val="00195E46"/>
    <w:rsid w:val="001A13D9"/>
    <w:rsid w:val="001A6AE6"/>
    <w:rsid w:val="001C42D2"/>
    <w:rsid w:val="001C6493"/>
    <w:rsid w:val="001D6979"/>
    <w:rsid w:val="001E01F9"/>
    <w:rsid w:val="001E45AD"/>
    <w:rsid w:val="00212020"/>
    <w:rsid w:val="0025234E"/>
    <w:rsid w:val="00267563"/>
    <w:rsid w:val="00272FF9"/>
    <w:rsid w:val="00294348"/>
    <w:rsid w:val="002A01B5"/>
    <w:rsid w:val="002A28FE"/>
    <w:rsid w:val="002A344A"/>
    <w:rsid w:val="002F0D3F"/>
    <w:rsid w:val="00302631"/>
    <w:rsid w:val="00323B3B"/>
    <w:rsid w:val="00325DED"/>
    <w:rsid w:val="0034076D"/>
    <w:rsid w:val="00383EA8"/>
    <w:rsid w:val="003909E7"/>
    <w:rsid w:val="00393353"/>
    <w:rsid w:val="003A5508"/>
    <w:rsid w:val="003C719B"/>
    <w:rsid w:val="00407BD2"/>
    <w:rsid w:val="00413607"/>
    <w:rsid w:val="004359A0"/>
    <w:rsid w:val="004406A0"/>
    <w:rsid w:val="00483E54"/>
    <w:rsid w:val="004918EC"/>
    <w:rsid w:val="004A019F"/>
    <w:rsid w:val="004A1CEF"/>
    <w:rsid w:val="004A35AE"/>
    <w:rsid w:val="004B26BF"/>
    <w:rsid w:val="004C3C33"/>
    <w:rsid w:val="00503128"/>
    <w:rsid w:val="005104AC"/>
    <w:rsid w:val="00522713"/>
    <w:rsid w:val="00543423"/>
    <w:rsid w:val="00560333"/>
    <w:rsid w:val="0056059B"/>
    <w:rsid w:val="00577485"/>
    <w:rsid w:val="00594797"/>
    <w:rsid w:val="005B7E4F"/>
    <w:rsid w:val="005C17EB"/>
    <w:rsid w:val="005D734E"/>
    <w:rsid w:val="005E2619"/>
    <w:rsid w:val="005F6466"/>
    <w:rsid w:val="00614E3E"/>
    <w:rsid w:val="0062115E"/>
    <w:rsid w:val="00634CAB"/>
    <w:rsid w:val="00637CC6"/>
    <w:rsid w:val="00645C48"/>
    <w:rsid w:val="00662D60"/>
    <w:rsid w:val="0066591B"/>
    <w:rsid w:val="00673FE7"/>
    <w:rsid w:val="00684A97"/>
    <w:rsid w:val="006B4FA9"/>
    <w:rsid w:val="006B640B"/>
    <w:rsid w:val="006C0D44"/>
    <w:rsid w:val="006E41C8"/>
    <w:rsid w:val="006F6FE7"/>
    <w:rsid w:val="0071563A"/>
    <w:rsid w:val="007158C0"/>
    <w:rsid w:val="007269E0"/>
    <w:rsid w:val="0073264D"/>
    <w:rsid w:val="007368DA"/>
    <w:rsid w:val="00753140"/>
    <w:rsid w:val="00757275"/>
    <w:rsid w:val="00776023"/>
    <w:rsid w:val="00781D52"/>
    <w:rsid w:val="00787D4B"/>
    <w:rsid w:val="007B1BC6"/>
    <w:rsid w:val="007C722B"/>
    <w:rsid w:val="007D07B2"/>
    <w:rsid w:val="007D560A"/>
    <w:rsid w:val="007E7BCE"/>
    <w:rsid w:val="007F7781"/>
    <w:rsid w:val="00802A57"/>
    <w:rsid w:val="00805C24"/>
    <w:rsid w:val="00835777"/>
    <w:rsid w:val="00836795"/>
    <w:rsid w:val="00840473"/>
    <w:rsid w:val="008539FE"/>
    <w:rsid w:val="0086276E"/>
    <w:rsid w:val="00867269"/>
    <w:rsid w:val="00893E43"/>
    <w:rsid w:val="008A4359"/>
    <w:rsid w:val="008A47F9"/>
    <w:rsid w:val="008A49AC"/>
    <w:rsid w:val="008B4EA6"/>
    <w:rsid w:val="008C2338"/>
    <w:rsid w:val="008D361E"/>
    <w:rsid w:val="008D529C"/>
    <w:rsid w:val="008E31F8"/>
    <w:rsid w:val="00904D74"/>
    <w:rsid w:val="00940672"/>
    <w:rsid w:val="00961253"/>
    <w:rsid w:val="00997CCC"/>
    <w:rsid w:val="009B3B27"/>
    <w:rsid w:val="009C14B3"/>
    <w:rsid w:val="009C3CD9"/>
    <w:rsid w:val="009D7A87"/>
    <w:rsid w:val="009E0A0D"/>
    <w:rsid w:val="009F215C"/>
    <w:rsid w:val="00A102D6"/>
    <w:rsid w:val="00A245F4"/>
    <w:rsid w:val="00A264A4"/>
    <w:rsid w:val="00A33CB6"/>
    <w:rsid w:val="00A41206"/>
    <w:rsid w:val="00A76054"/>
    <w:rsid w:val="00A80CF5"/>
    <w:rsid w:val="00A91118"/>
    <w:rsid w:val="00A91C60"/>
    <w:rsid w:val="00A95137"/>
    <w:rsid w:val="00AA61BF"/>
    <w:rsid w:val="00AA7593"/>
    <w:rsid w:val="00AA7738"/>
    <w:rsid w:val="00AB2D0A"/>
    <w:rsid w:val="00AB7032"/>
    <w:rsid w:val="00AC4D22"/>
    <w:rsid w:val="00AC5B64"/>
    <w:rsid w:val="00B33FA5"/>
    <w:rsid w:val="00B3661F"/>
    <w:rsid w:val="00B47DB8"/>
    <w:rsid w:val="00B563B7"/>
    <w:rsid w:val="00B56AAA"/>
    <w:rsid w:val="00B70015"/>
    <w:rsid w:val="00B96481"/>
    <w:rsid w:val="00B97CE1"/>
    <w:rsid w:val="00BC6028"/>
    <w:rsid w:val="00BD4F03"/>
    <w:rsid w:val="00BD552C"/>
    <w:rsid w:val="00C06A9F"/>
    <w:rsid w:val="00C23D84"/>
    <w:rsid w:val="00C240AC"/>
    <w:rsid w:val="00C378B6"/>
    <w:rsid w:val="00C400C8"/>
    <w:rsid w:val="00C55461"/>
    <w:rsid w:val="00C575A0"/>
    <w:rsid w:val="00C57B01"/>
    <w:rsid w:val="00C650EA"/>
    <w:rsid w:val="00C86532"/>
    <w:rsid w:val="00C91A35"/>
    <w:rsid w:val="00CA1AC7"/>
    <w:rsid w:val="00CA49CF"/>
    <w:rsid w:val="00CB52E9"/>
    <w:rsid w:val="00CB78C2"/>
    <w:rsid w:val="00CD02DF"/>
    <w:rsid w:val="00CD077E"/>
    <w:rsid w:val="00CD7756"/>
    <w:rsid w:val="00CE7C72"/>
    <w:rsid w:val="00CF0A4E"/>
    <w:rsid w:val="00CF6075"/>
    <w:rsid w:val="00D07C11"/>
    <w:rsid w:val="00D25596"/>
    <w:rsid w:val="00D347FE"/>
    <w:rsid w:val="00D858BB"/>
    <w:rsid w:val="00D958BC"/>
    <w:rsid w:val="00D95DF6"/>
    <w:rsid w:val="00DA016C"/>
    <w:rsid w:val="00DA26B5"/>
    <w:rsid w:val="00DB38D8"/>
    <w:rsid w:val="00DE4AD7"/>
    <w:rsid w:val="00E0349E"/>
    <w:rsid w:val="00E47B0C"/>
    <w:rsid w:val="00E62E53"/>
    <w:rsid w:val="00E649AC"/>
    <w:rsid w:val="00E8777B"/>
    <w:rsid w:val="00EE3D4E"/>
    <w:rsid w:val="00EE7284"/>
    <w:rsid w:val="00F4519A"/>
    <w:rsid w:val="00F47E78"/>
    <w:rsid w:val="00F644CA"/>
    <w:rsid w:val="00F92237"/>
    <w:rsid w:val="00FC7CCC"/>
    <w:rsid w:val="00FE0817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74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4"/>
      </w:numPr>
      <w:spacing w:before="480" w:after="24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560A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4"/>
      </w:numPr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F85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F85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F85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F85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7D560A"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kladntextChar">
    <w:name w:val="Základní text Char"/>
    <w:rPr>
      <w:sz w:val="24"/>
      <w:szCs w:val="24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2Char">
    <w:name w:val="Nadpis 2 Char"/>
    <w:rPr>
      <w:b/>
      <w:sz w:val="24"/>
      <w:szCs w:val="24"/>
    </w:rPr>
  </w:style>
  <w:style w:type="character" w:customStyle="1" w:styleId="Nadpis4Char">
    <w:name w:val="Nadpis 4 Char"/>
    <w:rPr>
      <w:b/>
      <w:bCs/>
      <w:szCs w:val="24"/>
    </w:rPr>
  </w:style>
  <w:style w:type="character" w:customStyle="1" w:styleId="Nadpis5Char">
    <w:name w:val="Nadpis 5 Char"/>
    <w:rPr>
      <w:b/>
      <w:bCs/>
      <w:i/>
      <w:iCs/>
      <w:sz w:val="26"/>
      <w:szCs w:val="26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rPr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paragraph" w:styleId="Titulek">
    <w:name w:val="caption"/>
    <w:basedOn w:val="Normln"/>
    <w:next w:val="Normln"/>
    <w:qFormat/>
    <w:pPr>
      <w:ind w:firstLine="180"/>
    </w:pPr>
    <w:rPr>
      <w:rFonts w:ascii="Eras Light ITC" w:hAnsi="Eras Light ITC"/>
      <w:b/>
      <w:bCs/>
      <w:sz w:val="22"/>
      <w:lang w:val="en-ZA"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2Char">
    <w:name w:val="Základní text 2 Char"/>
    <w:rPr>
      <w:sz w:val="24"/>
      <w:szCs w:val="24"/>
    </w:rPr>
  </w:style>
  <w:style w:type="paragraph" w:customStyle="1" w:styleId="Zkladntext1">
    <w:name w:val="Základní text 1"/>
    <w:basedOn w:val="Normln"/>
    <w:next w:val="Normln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character" w:customStyle="1" w:styleId="Nadpis3Char">
    <w:name w:val="Nadpis 3 Char"/>
    <w:link w:val="Nadpis3"/>
    <w:uiPriority w:val="9"/>
    <w:rsid w:val="007D560A"/>
    <w:rPr>
      <w:rFonts w:ascii="Cambria" w:hAnsi="Cambria"/>
      <w:b/>
      <w:bCs/>
      <w:sz w:val="26"/>
      <w:szCs w:val="26"/>
    </w:rPr>
  </w:style>
  <w:style w:type="character" w:customStyle="1" w:styleId="st">
    <w:name w:val="st"/>
    <w:rsid w:val="005104AC"/>
  </w:style>
  <w:style w:type="character" w:styleId="Zvraznn">
    <w:name w:val="Emphasis"/>
    <w:uiPriority w:val="20"/>
    <w:qFormat/>
    <w:rsid w:val="005104AC"/>
    <w:rPr>
      <w:i/>
      <w:iCs/>
    </w:rPr>
  </w:style>
  <w:style w:type="paragraph" w:styleId="Obsah1">
    <w:name w:val="toc 1"/>
    <w:basedOn w:val="Normln"/>
    <w:next w:val="Normln"/>
    <w:autoRedefine/>
    <w:uiPriority w:val="39"/>
    <w:unhideWhenUsed/>
    <w:rsid w:val="007B1BC6"/>
  </w:style>
  <w:style w:type="paragraph" w:styleId="Obsah2">
    <w:name w:val="toc 2"/>
    <w:basedOn w:val="Normln"/>
    <w:next w:val="Normln"/>
    <w:autoRedefine/>
    <w:uiPriority w:val="39"/>
    <w:unhideWhenUsed/>
    <w:rsid w:val="007B1BC6"/>
    <w:pPr>
      <w:ind w:left="240"/>
    </w:pPr>
  </w:style>
  <w:style w:type="character" w:customStyle="1" w:styleId="Nadpis6Char">
    <w:name w:val="Nadpis 6 Char"/>
    <w:link w:val="Nadpis6"/>
    <w:uiPriority w:val="9"/>
    <w:semiHidden/>
    <w:rsid w:val="00054F85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054F85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054F85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054F85"/>
    <w:rPr>
      <w:rFonts w:ascii="Cambria" w:hAnsi="Cambr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9E0A0D"/>
    <w:pPr>
      <w:tabs>
        <w:tab w:val="left" w:pos="1320"/>
        <w:tab w:val="right" w:leader="dot" w:pos="9060"/>
      </w:tabs>
      <w:spacing w:line="276" w:lineRule="auto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4"/>
      </w:numPr>
      <w:spacing w:before="480" w:after="24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560A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4"/>
      </w:numPr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F85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F85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F85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F85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7D560A"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kladntextChar">
    <w:name w:val="Základní text Char"/>
    <w:rPr>
      <w:sz w:val="24"/>
      <w:szCs w:val="24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2Char">
    <w:name w:val="Nadpis 2 Char"/>
    <w:rPr>
      <w:b/>
      <w:sz w:val="24"/>
      <w:szCs w:val="24"/>
    </w:rPr>
  </w:style>
  <w:style w:type="character" w:customStyle="1" w:styleId="Nadpis4Char">
    <w:name w:val="Nadpis 4 Char"/>
    <w:rPr>
      <w:b/>
      <w:bCs/>
      <w:szCs w:val="24"/>
    </w:rPr>
  </w:style>
  <w:style w:type="character" w:customStyle="1" w:styleId="Nadpis5Char">
    <w:name w:val="Nadpis 5 Char"/>
    <w:rPr>
      <w:b/>
      <w:bCs/>
      <w:i/>
      <w:iCs/>
      <w:sz w:val="26"/>
      <w:szCs w:val="26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rPr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paragraph" w:styleId="Titulek">
    <w:name w:val="caption"/>
    <w:basedOn w:val="Normln"/>
    <w:next w:val="Normln"/>
    <w:qFormat/>
    <w:pPr>
      <w:ind w:firstLine="180"/>
    </w:pPr>
    <w:rPr>
      <w:rFonts w:ascii="Eras Light ITC" w:hAnsi="Eras Light ITC"/>
      <w:b/>
      <w:bCs/>
      <w:sz w:val="22"/>
      <w:lang w:val="en-ZA"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2Char">
    <w:name w:val="Základní text 2 Char"/>
    <w:rPr>
      <w:sz w:val="24"/>
      <w:szCs w:val="24"/>
    </w:rPr>
  </w:style>
  <w:style w:type="paragraph" w:customStyle="1" w:styleId="Zkladntext1">
    <w:name w:val="Základní text 1"/>
    <w:basedOn w:val="Normln"/>
    <w:next w:val="Normln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character" w:customStyle="1" w:styleId="Nadpis3Char">
    <w:name w:val="Nadpis 3 Char"/>
    <w:link w:val="Nadpis3"/>
    <w:uiPriority w:val="9"/>
    <w:rsid w:val="007D560A"/>
    <w:rPr>
      <w:rFonts w:ascii="Cambria" w:hAnsi="Cambria"/>
      <w:b/>
      <w:bCs/>
      <w:sz w:val="26"/>
      <w:szCs w:val="26"/>
    </w:rPr>
  </w:style>
  <w:style w:type="character" w:customStyle="1" w:styleId="st">
    <w:name w:val="st"/>
    <w:rsid w:val="005104AC"/>
  </w:style>
  <w:style w:type="character" w:styleId="Zvraznn">
    <w:name w:val="Emphasis"/>
    <w:uiPriority w:val="20"/>
    <w:qFormat/>
    <w:rsid w:val="005104AC"/>
    <w:rPr>
      <w:i/>
      <w:iCs/>
    </w:rPr>
  </w:style>
  <w:style w:type="paragraph" w:styleId="Obsah1">
    <w:name w:val="toc 1"/>
    <w:basedOn w:val="Normln"/>
    <w:next w:val="Normln"/>
    <w:autoRedefine/>
    <w:uiPriority w:val="39"/>
    <w:unhideWhenUsed/>
    <w:rsid w:val="007B1BC6"/>
  </w:style>
  <w:style w:type="paragraph" w:styleId="Obsah2">
    <w:name w:val="toc 2"/>
    <w:basedOn w:val="Normln"/>
    <w:next w:val="Normln"/>
    <w:autoRedefine/>
    <w:uiPriority w:val="39"/>
    <w:unhideWhenUsed/>
    <w:rsid w:val="007B1BC6"/>
    <w:pPr>
      <w:ind w:left="240"/>
    </w:pPr>
  </w:style>
  <w:style w:type="character" w:customStyle="1" w:styleId="Nadpis6Char">
    <w:name w:val="Nadpis 6 Char"/>
    <w:link w:val="Nadpis6"/>
    <w:uiPriority w:val="9"/>
    <w:semiHidden/>
    <w:rsid w:val="00054F85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054F85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054F85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054F85"/>
    <w:rPr>
      <w:rFonts w:ascii="Cambria" w:hAnsi="Cambr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9E0A0D"/>
    <w:pPr>
      <w:tabs>
        <w:tab w:val="left" w:pos="1320"/>
        <w:tab w:val="right" w:leader="dot" w:pos="9060"/>
      </w:tabs>
      <w:spacing w:line="276" w:lineRule="auto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toric@bosniafarma.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enko.radovic@uzzb.gov.b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upravabihzzb@bih.net.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4958-78A6-427D-AE6A-E789ADA9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21</Pages>
  <Words>5709</Words>
  <Characters>38654</Characters>
  <Application>Microsoft Office Word</Application>
  <DocSecurity>0</DocSecurity>
  <Lines>322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</vt:lpstr>
    </vt:vector>
  </TitlesOfParts>
  <Company/>
  <LinksUpToDate>false</LinksUpToDate>
  <CharactersWithSpaces>44275</CharactersWithSpaces>
  <SharedDoc>false</SharedDoc>
  <HLinks>
    <vt:vector size="198" baseType="variant">
      <vt:variant>
        <vt:i4>1507386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_Toc368657479</vt:lpwstr>
      </vt:variant>
      <vt:variant>
        <vt:i4>1507386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_Toc368657478</vt:lpwstr>
      </vt:variant>
      <vt:variant>
        <vt:i4>1507386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_Toc368657477</vt:lpwstr>
      </vt:variant>
      <vt:variant>
        <vt:i4>1507386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_Toc368657476</vt:lpwstr>
      </vt:variant>
      <vt:variant>
        <vt:i4>1507386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_Toc368657475</vt:lpwstr>
      </vt:variant>
      <vt:variant>
        <vt:i4>1507386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_Toc368657474</vt:lpwstr>
      </vt:variant>
      <vt:variant>
        <vt:i4>1507386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_Toc368657473</vt:lpwstr>
      </vt:variant>
      <vt:variant>
        <vt:i4>1507386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_Toc368657472</vt:lpwstr>
      </vt:variant>
      <vt:variant>
        <vt:i4>1507386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_Toc368657471</vt:lpwstr>
      </vt:variant>
      <vt:variant>
        <vt:i4>1507386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_Toc368657470</vt:lpwstr>
      </vt:variant>
      <vt:variant>
        <vt:i4>1441850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_Toc368657469</vt:lpwstr>
      </vt:variant>
      <vt:variant>
        <vt:i4>1441850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_Toc368657468</vt:lpwstr>
      </vt:variant>
      <vt:variant>
        <vt:i4>1441850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_Toc368657467</vt:lpwstr>
      </vt:variant>
      <vt:variant>
        <vt:i4>1441850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_Toc368657466</vt:lpwstr>
      </vt:variant>
      <vt:variant>
        <vt:i4>1441850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_Toc368657465</vt:lpwstr>
      </vt:variant>
      <vt:variant>
        <vt:i4>1441850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_Toc368657464</vt:lpwstr>
      </vt:variant>
      <vt:variant>
        <vt:i4>1441850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_Toc368657463</vt:lpwstr>
      </vt:variant>
      <vt:variant>
        <vt:i4>1441850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_Toc368657462</vt:lpwstr>
      </vt:variant>
      <vt:variant>
        <vt:i4>1441850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_Toc368657461</vt:lpwstr>
      </vt:variant>
      <vt:variant>
        <vt:i4>1441850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_Toc368657460</vt:lpwstr>
      </vt:variant>
      <vt:variant>
        <vt:i4>1376314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_Toc368657459</vt:lpwstr>
      </vt:variant>
      <vt:variant>
        <vt:i4>1376314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_Toc368657458</vt:lpwstr>
      </vt:variant>
      <vt:variant>
        <vt:i4>1376314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_Toc368657457</vt:lpwstr>
      </vt:variant>
      <vt:variant>
        <vt:i4>1376314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_Toc368657456</vt:lpwstr>
      </vt:variant>
      <vt:variant>
        <vt:i4>1376314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_Toc368657455</vt:lpwstr>
      </vt:variant>
      <vt:variant>
        <vt:i4>1376314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_Toc368657454</vt:lpwstr>
      </vt:variant>
      <vt:variant>
        <vt:i4>1376314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_Toc368657453</vt:lpwstr>
      </vt:variant>
      <vt:variant>
        <vt:i4>1376314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_Toc368657452</vt:lpwstr>
      </vt:variant>
      <vt:variant>
        <vt:i4>1376314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_Toc368657451</vt:lpwstr>
      </vt:variant>
      <vt:variant>
        <vt:i4>1376314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_Toc368657450</vt:lpwstr>
      </vt:variant>
      <vt:variant>
        <vt:i4>6619200</vt:i4>
      </vt:variant>
      <vt:variant>
        <vt:i4>6</vt:i4>
      </vt:variant>
      <vt:variant>
        <vt:i4>0</vt:i4>
      </vt:variant>
      <vt:variant>
        <vt:i4>5</vt:i4>
      </vt:variant>
      <vt:variant>
        <vt:lpwstr>mailto:btoric@bosniafarma.ba</vt:lpwstr>
      </vt:variant>
      <vt:variant>
        <vt:lpwstr/>
      </vt:variant>
      <vt:variant>
        <vt:i4>7798855</vt:i4>
      </vt:variant>
      <vt:variant>
        <vt:i4>3</vt:i4>
      </vt:variant>
      <vt:variant>
        <vt:i4>0</vt:i4>
      </vt:variant>
      <vt:variant>
        <vt:i4>5</vt:i4>
      </vt:variant>
      <vt:variant>
        <vt:lpwstr>mailto:radenko.radovic@uzzb.gov.ba</vt:lpwstr>
      </vt:variant>
      <vt:variant>
        <vt:lpwstr/>
      </vt:variant>
      <vt:variant>
        <vt:i4>5111865</vt:i4>
      </vt:variant>
      <vt:variant>
        <vt:i4>0</vt:i4>
      </vt:variant>
      <vt:variant>
        <vt:i4>0</vt:i4>
      </vt:variant>
      <vt:variant>
        <vt:i4>5</vt:i4>
      </vt:variant>
      <vt:variant>
        <vt:lpwstr>mailto:upravabihzzb@bih.net.ba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</dc:title>
  <dc:creator>rejtharova</dc:creator>
  <cp:lastModifiedBy>Hynek Ciboch</cp:lastModifiedBy>
  <cp:revision>17</cp:revision>
  <cp:lastPrinted>2009-06-15T10:10:00Z</cp:lastPrinted>
  <dcterms:created xsi:type="dcterms:W3CDTF">2013-10-25T06:33:00Z</dcterms:created>
  <dcterms:modified xsi:type="dcterms:W3CDTF">2013-10-25T11:46:00Z</dcterms:modified>
</cp:coreProperties>
</file>